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wordprocessingml.numbering+xml" PartName="/word/numbering.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package.core-properties+xml" PartName="/docProps/cor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body>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9.1 · Three categories of debt securities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debt security · classification · management's</w:t>
            </w:r>
          </w:p>
        </w:tc>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D</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transfers · securities · portfolio</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B</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election · irrevocable · fair value</w:t>
            </w:r>
          </w:p>
        </w:tc>
        <w:tc>
          <w:tcPr>
            <w:tcW w:type="pct" w:w="1667"/>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C</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E</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24  </w:t>
            </w:r>
            <w:r>
              <w:rPr>
                <w:sz w:val="17"/>
                <w:szCs w:val="17"/>
              </w:rPr>
              <w:t xml:space="preserve">B</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25  </w:t>
            </w:r>
            <w:r>
              <w:rPr>
                <w:sz w:val="17"/>
                <w:szCs w:val="17"/>
              </w:rPr>
              <w:t xml:space="preserve">2026: 6,000 · 5,093 · 907 · 100,952</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26  </w:t>
            </w:r>
            <w:r>
              <w:rPr>
                <w:sz w:val="17"/>
                <w:szCs w:val="17"/>
              </w:rPr>
              <w:t xml:space="preserve">2027: 6,000 · 5,048 · 952 · 100,000</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27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28  </w:t>
            </w:r>
            <w:r>
              <w:rPr>
                <w:sz w:val="17"/>
                <w:szCs w:val="17"/>
              </w:rPr>
              <w:t xml:space="preserve">Compare with the model earlier in this handout.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29  </w:t>
            </w:r>
            <w:r>
              <w:rPr>
                <w:sz w:val="17"/>
                <w:szCs w:val="17"/>
              </w:rPr>
              <w:t xml:space="preserve">A debt security gives its holder a right to interest and to repayment, like a bond. An equity security gives an ownership interest, like shares of common stock. This section is about debt securities. Section 9.4 covers equity securities.</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E</w:t>
            </w:r>
          </w:p>
        </w:tc>
        <w:tc>
          <w:tcPr>
            <w:tcW w:type="pct" w:w="1667"/>
            <w:shd w:fill="FBFAF6" w:val="clear"/>
            <w:tcMar>
              <w:top w:type="dxa" w:w="40"/>
              <w:left w:type="dxa" w:w="100"/>
              <w:bottom w:type="dxa" w:w="40"/>
              <w:right w:type="dxa" w:w="100"/>
            </w:tcMar>
          </w:tcPr>
          <w:p>
            <w:pPr>
              <w:spacing w:before="24" w:after="24"/>
            </w:pPr>
            <w:r>
              <w:rPr>
                <w:sz w:val="16"/>
                <w:szCs w:val="16"/>
              </w:rPr>
              <w:t xml:space="preserve"/>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“Section 9.4 covers equity securities. When a company buys a debt security, it classifies it into one of three categories, and it reassesses the classification at each reporting date. The category depends on management's intent and ability, not on the type of bond.”</w:t>
      </w:r>
    </w:p>
    <w:p>
      <w:pPr>
        <w:spacing w:after="18"/>
        <w:ind w:left="300" w:hanging="300"/>
      </w:pPr>
      <w:r>
        <w:rPr>
          <w:b/>
          <w:bCs/>
          <w:color w:val="8186EF"/>
          <w:sz w:val="16"/>
          <w:szCs w:val="16"/>
        </w:rPr>
        <w:t xml:space="preserve">2  </w:t>
      </w:r>
      <w:r>
        <w:rPr>
          <w:sz w:val="16"/>
          <w:szCs w:val="16"/>
        </w:rPr>
        <w:t xml:space="preserve">The book writes: “If the company would sell the bond when interest rates change or when it needs cash, it does not have the intent to hold it. And if it sells or transfers HTM securities for other reasons, it taints the whole HTM portfolio, which raises doubt about its intent for all its other HTM securities.”</w:t>
      </w:r>
    </w:p>
    <w:p>
      <w:pPr>
        <w:spacing w:after="18"/>
        <w:ind w:left="300" w:hanging="300"/>
      </w:pPr>
      <w:r>
        <w:rPr>
          <w:b/>
          <w:bCs/>
          <w:color w:val="8186EF"/>
          <w:sz w:val="16"/>
          <w:szCs w:val="16"/>
        </w:rPr>
        <w:t xml:space="preserve">3  </w:t>
      </w:r>
      <w:r>
        <w:rPr>
          <w:sz w:val="16"/>
          <w:szCs w:val="16"/>
        </w:rPr>
        <w:t xml:space="preserve">The book writes: “The election is irrevocable, and all changes in fair value then go to net income. The same bond can be trading, AFS or HTM. Read the facts about intent and ability. A company that might sell when rates change cannot use HTM.”</w:t>
      </w:r>
    </w:p>
    <w:p>
      <w:pPr>
        <w:spacing w:after="18"/>
        <w:ind w:left="300" w:hanging="300"/>
      </w:pPr>
      <w:r>
        <w:rPr>
          <w:b/>
          <w:bCs/>
          <w:color w:val="8186EF"/>
          <w:sz w:val="16"/>
          <w:szCs w:val="16"/>
        </w:rPr>
        <w:t xml:space="preserve">4  </w:t>
      </w:r>
      <w:r>
        <w:rPr>
          <w:sz w:val="16"/>
          <w:szCs w:val="16"/>
        </w:rPr>
        <w:t xml:space="preserve">The framework defines the elements, and every amount belongs to one of them.</w:t>
      </w:r>
    </w:p>
    <w:p>
      <w:pPr>
        <w:spacing w:after="18"/>
        <w:ind w:left="300" w:hanging="300"/>
      </w:pPr>
      <w:r>
        <w:rPr>
          <w:b/>
          <w:bCs/>
          <w:color w:val="8186EF"/>
          <w:sz w:val="16"/>
          <w:szCs w:val="16"/>
        </w:rPr>
        <w:t xml:space="preserve">5  </w:t>
      </w:r>
      <w:r>
        <w:rPr>
          <w:sz w:val="16"/>
          <w:szCs w:val="16"/>
        </w:rPr>
        <w:t xml:space="preserve">The book numbers “Three categories of debt securities” as section 9.1.</w:t>
      </w:r>
    </w:p>
    <w:p>
      <w:pPr>
        <w:spacing w:after="18"/>
        <w:ind w:left="300" w:hanging="300"/>
      </w:pPr>
      <w:r>
        <w:rPr>
          <w:b/>
          <w:bCs/>
          <w:color w:val="8186EF"/>
          <w:sz w:val="16"/>
          <w:szCs w:val="16"/>
        </w:rPr>
        <w:t xml:space="preserve">6  </w:t>
      </w:r>
      <w:r>
        <w:rPr>
          <w:sz w:val="16"/>
          <w:szCs w:val="16"/>
        </w:rPr>
        <w:t xml:space="preserve">Both intent and ability are required. B is wrong: A one-year view is not enough; the intent must cover the whole period to maturity. C is wrong: The purchase price does not decide the category.</w:t>
      </w:r>
    </w:p>
    <w:p>
      <w:pPr>
        <w:spacing w:after="18"/>
        <w:ind w:left="300" w:hanging="300"/>
      </w:pPr>
      <w:r>
        <w:rPr>
          <w:b/>
          <w:bCs/>
          <w:color w:val="8186EF"/>
          <w:sz w:val="16"/>
          <w:szCs w:val="16"/>
        </w:rPr>
        <w:t xml:space="preserve">7  </w:t>
      </w:r>
      <w:r>
        <w:rPr>
          <w:sz w:val="16"/>
          <w:szCs w:val="16"/>
        </w:rPr>
        <w:t xml:space="preserve">HTM securities are not remeasured to fair value. A is wrong: Fair value is only disclosed for HTM. B is wrong: Face value is reached only at maturity.</w:t>
      </w:r>
    </w:p>
    <w:p>
      <w:pPr>
        <w:spacing w:after="18"/>
        <w:ind w:left="300" w:hanging="300"/>
      </w:pPr>
      <w:r>
        <w:rPr>
          <w:b/>
          <w:bCs/>
          <w:color w:val="8186EF"/>
          <w:sz w:val="16"/>
          <w:szCs w:val="16"/>
        </w:rPr>
        <w:t xml:space="preserve">8  </w:t>
      </w:r>
      <w:r>
        <w:rPr>
          <w:sz w:val="16"/>
          <w:szCs w:val="16"/>
        </w:rPr>
        <w:t xml:space="preserve">HTM follows CECL; AFS uses an allowance capped by the fair-value floor. B is wrong: AFS has its own model with the fair-value floor. C is wrong: Expected losses are recorded before any default.</w:t>
      </w:r>
    </w:p>
    <w:p>
      <w:pPr>
        <w:spacing w:after="18"/>
        <w:ind w:left="300" w:hanging="300"/>
      </w:pPr>
      <w:r>
        <w:rPr>
          <w:b/>
          <w:bCs/>
          <w:color w:val="8186EF"/>
          <w:sz w:val="16"/>
          <w:szCs w:val="16"/>
        </w:rPr>
        <w:t xml:space="preserve">9  </w:t>
      </w:r>
      <w:r>
        <w:rPr>
          <w:sz w:val="16"/>
          <w:szCs w:val="16"/>
        </w:rPr>
        <w:t xml:space="preserve">IFRS 9 allows the FVOCI election for shares; U.S. GAAP puts all changes on shares in net income. A is wrong: Both frameworks measure trading debt at fair value through income. C is wrong: Both frameworks use the equity method.</w:t>
      </w:r>
    </w:p>
    <w:p>
      <w:pPr>
        <w:spacing w:after="18"/>
        <w:ind w:left="300" w:hanging="300"/>
      </w:pPr>
      <w:r>
        <w:rPr>
          <w:b/>
          <w:bCs/>
          <w:color w:val="8186EF"/>
          <w:sz w:val="16"/>
          <w:szCs w:val="16"/>
        </w:rPr>
        <w:t xml:space="preserve">10  </w:t>
      </w:r>
      <w:r>
        <w:rPr>
          <w:sz w:val="16"/>
          <w:szCs w:val="16"/>
        </w:rPr>
        <w:t xml:space="preserve">Every cycle settles one rule and shows where it comes from.</w:t>
      </w:r>
    </w:p>
    <w:p>
      <w:pPr>
        <w:spacing w:after="18"/>
        <w:ind w:left="300" w:hanging="300"/>
      </w:pPr>
      <w:r>
        <w:rPr>
          <w:b/>
          <w:bCs/>
          <w:color w:val="8186EF"/>
          <w:sz w:val="16"/>
          <w:szCs w:val="16"/>
        </w:rPr>
        <w:t xml:space="preserve">11  </w:t>
      </w:r>
      <w:r>
        <w:rPr>
          <w:sz w:val="16"/>
          <w:szCs w:val="16"/>
        </w:rPr>
        <w:t xml:space="preserve">CMA questions use exact terms, and one word can change the answer.</w:t>
      </w:r>
    </w:p>
    <w:p>
      <w:pPr>
        <w:spacing w:after="18"/>
        <w:ind w:left="300" w:hanging="300"/>
      </w:pPr>
      <w:r>
        <w:rPr>
          <w:b/>
          <w:bCs/>
          <w:color w:val="8186EF"/>
          <w:sz w:val="16"/>
          <w:szCs w:val="16"/>
        </w:rPr>
        <w:t xml:space="preserve">17  </w:t>
      </w:r>
      <w:r>
        <w:rPr>
          <w:sz w:val="16"/>
          <w:szCs w:val="16"/>
        </w:rPr>
        <w:t xml:space="preserve">Revenue is recognized as earned, measured by the effective-interest method, not by the cash received. A is wrong: Under the cash basis, revenue would equal the cash received. B is wrong: That is a method for bad debts.</w:t>
      </w:r>
    </w:p>
    <w:p>
      <w:pPr>
        <w:spacing w:after="18"/>
        <w:ind w:left="300" w:hanging="300"/>
      </w:pPr>
      <w:r>
        <w:rPr>
          <w:b/>
          <w:bCs/>
          <w:color w:val="8186EF"/>
          <w:sz w:val="16"/>
          <w:szCs w:val="16"/>
        </w:rPr>
        <w:t xml:space="preserve">18  </w:t>
      </w:r>
      <w:r>
        <w:rPr>
          <w:sz w:val="16"/>
          <w:szCs w:val="16"/>
        </w:rPr>
        <w:t xml:space="preserve">HTM securities are measured at amortized cost, like receivables. B is wrong: Trading securities are at fair value through net income; no allowance is needed. C is wrong: AFS has a separate model with the fair-value floor.</w:t>
      </w:r>
    </w:p>
    <w:p>
      <w:pPr>
        <w:spacing w:after="18"/>
        <w:ind w:left="300" w:hanging="300"/>
      </w:pPr>
      <w:r>
        <w:rPr>
          <w:b/>
          <w:bCs/>
          <w:color w:val="8186EF"/>
          <w:sz w:val="16"/>
          <w:szCs w:val="16"/>
        </w:rPr>
        <w:t xml:space="preserve">24  </w:t>
      </w:r>
      <w:r>
        <w:rPr>
          <w:sz w:val="16"/>
          <w:szCs w:val="16"/>
        </w:rPr>
        <w:t xml:space="preserve">The book’s own table gives 5,048 as the interest revenue of 2027.</w:t>
      </w:r>
    </w:p>
    <w:p>
      <w:pPr>
        <w:spacing w:after="18"/>
        <w:ind w:left="300" w:hanging="300"/>
      </w:pPr>
      <w:r>
        <w:rPr>
          <w:b/>
          <w:bCs/>
          <w:color w:val="8186EF"/>
          <w:sz w:val="16"/>
          <w:szCs w:val="16"/>
        </w:rPr>
        <w:t xml:space="preserve">27  </w:t>
      </w:r>
      <w:r>
        <w:rPr>
          <w:sz w:val="16"/>
          <w:szCs w:val="16"/>
        </w:rPr>
        <w:t xml:space="preserve">Every item on a Workshop sheet is settled by something printed on the same sheet.</w:t>
      </w:r>
    </w:p>
    <w:p/>
    <w:p>
      <w:pPr>
        <w:sectPr>
          <w:headerReference w:type="default" r:id="rIdHdr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9.2 · Measuring debt securities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bond premium · bond discount · effective-interest method</w:t>
            </w:r>
          </w:p>
        </w:tc>
        <w:tc>
          <w:tcPr>
            <w:tcW w:type="pct" w:w="1667"/>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Equity, no significant influence: Fair value · Net income · —</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D</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accumulated · reclassification adjustment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Equity, no readily determinable fair value: Measurement alternative · Net income (price changes, impairment) · —</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B</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unrealized · immediately · accumulated</w:t>
            </w:r>
          </w:p>
        </w:tc>
        <w:tc>
          <w:tcPr>
            <w:tcW w:type="pct" w:w="1667"/>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Equity method: Cost + share of income − dividends · Not recognized · —</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C</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bond premium · bond discount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B</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Reclassified to net income: Available-for-sale (debt)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24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 Trading (debt), Held-to-maturity (debt), Equity, no significant influence, Equity, no readily determinable fair value, Equity method</w:t>
            </w:r>
          </w:p>
        </w:tc>
        <w:tc>
          <w:tcPr>
            <w:tcW w:type="pct" w:w="1667"/>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25  </w:t>
            </w:r>
            <w:r>
              <w:rPr>
                <w:sz w:val="17"/>
                <w:szCs w:val="17"/>
              </w:rPr>
              <w:t xml:space="preserve">Compare with the model earlier in this handout.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Available-for-sale (debt): Fair value · OCI (credit losses: net income) · Reclassified to net income</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26  </w:t>
            </w:r>
            <w:r>
              <w:rPr>
                <w:sz w:val="17"/>
                <w:szCs w:val="17"/>
              </w:rPr>
              <w:t xml:space="preserve">Figure F09-03 summarizes the measurement of every category. Trading and AFS securities are reported at fair value: the price the company would receive if it sold the security in an orderly transaction. HTM securities are reported at amortized cost. The main difference between trading and AFS is where the unrealized holding gain or loss goes. For trading it g</w:t>
            </w:r>
          </w:p>
        </w:tc>
      </w:tr>
      <w:tr>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Held-to-maturity (debt): Amortized cost − allowance · Not recognized · —</w:t>
            </w:r>
          </w:p>
        </w:tc>
        <w:tc>
          <w:tcPr>
            <w:tcW w:type="pct" w:w="1667"/>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E</w:t>
            </w:r>
          </w:p>
        </w:tc>
        <w:tc>
          <w:tcPr>
            <w:tcW w:type="pct" w:w="1667"/>
            <w:tcMar>
              <w:top w:type="dxa" w:w="40"/>
              <w:left w:type="dxa" w:w="100"/>
              <w:bottom w:type="dxa" w:w="40"/>
              <w:right w:type="dxa" w:w="100"/>
            </w:tcMar>
          </w:tcPr>
          <w:p>
            <w:pPr>
              <w:spacing w:before="24" w:after="24"/>
            </w:pPr>
            <w:r>
              <w:rPr>
                <w:sz w:val="16"/>
                <w:szCs w:val="16"/>
              </w:rPr>
              <w:t xml:space="preserve"/>
            </w:r>
          </w:p>
        </w:tc>
      </w:tr>
    </w:tbl>
    <w:p/>
    <w:tbl>
      <w:tblPr>
        <w:tblW w:type="pct" w:w="100%"/>
        <w:tblLayout w:type="fixed"/>
        <w:tblBorders>
          <w:top w:val="single" w:color="1F7A6A" w:sz="8"/>
          <w:left w:val="single" w:color="1F7A6A" w:sz="8"/>
          <w:bottom w:val="single" w:color="1F7A6A" w:sz="8"/>
          <w:right w:val="single" w:color="1F7A6A" w:sz="8"/>
          <w:insideH w:val="single" w:color="1F7A6A" w:sz="8"/>
          <w:insideV w:val="single" w:color="1F7A6A" w:sz="8"/>
        </w:tblBorders>
      </w:tblPr>
      <w:tblGrid>
        <w:gridCol w:w="9600"/>
      </w:tblGrid>
      <w:tr>
        <w:tc>
          <w:tcPr>
            <w:tcW w:type="pct" w:w="5000"/>
            <w:shd w:fill="EEF6F4" w:val="clear"/>
            <w:tcMar>
              <w:top w:type="dxa" w:w="70"/>
              <w:left w:type="dxa" w:w="130"/>
              <w:bottom w:type="dxa" w:w="70"/>
              <w:right w:type="dxa" w:w="130"/>
            </w:tcMar>
          </w:tcPr>
          <w:p>
            <w:pPr>
              <w:spacing w:before="34" w:after="18"/>
            </w:pPr>
            <w:r>
              <w:rPr>
                <w:b/>
                <w:bCs/>
                <w:color w:val="1F7A6A"/>
                <w:sz w:val="17"/>
                <w:szCs w:val="17"/>
              </w:rPr>
              <w:t xml:space="preserve">13  </w:t>
            </w:r>
            <w:r>
              <w:rPr>
                <w:b/>
                <w:bCs/>
                <w:color w:val="1F7A6A"/>
                <w:sz w:val="16"/>
                <w:szCs w:val="16"/>
              </w:rPr>
              <w:t xml:space="preserve">what the book says</w:t>
            </w:r>
          </w:p>
          <w:p>
            <w:pPr>
              <w:spacing w:after="34"/>
              <w:ind w:left="300"/>
            </w:pPr>
            <w:r>
              <w:rPr>
                <w:sz w:val="17"/>
                <w:szCs w:val="17"/>
              </w:rPr>
              <w:t xml:space="preserve">A bond is bought at a bond premium when its stated interest rate is higher than the market rate, and at a bond discount when it is lower.</w:t>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“A bond is bought at a bond premium when its stated interest rate is higher than the market rate, and at a bond discount when it is lower. Under the effective-interest method, interest revenue for each year is the carrying amount at the start of the year multiplied by the market rate at purchase.”</w:t>
      </w:r>
    </w:p>
    <w:p>
      <w:pPr>
        <w:spacing w:after="18"/>
        <w:ind w:left="300" w:hanging="300"/>
      </w:pPr>
      <w:r>
        <w:rPr>
          <w:b/>
          <w:bCs/>
          <w:color w:val="8186EF"/>
          <w:sz w:val="16"/>
          <w:szCs w:val="16"/>
        </w:rPr>
        <w:t xml:space="preserve">2  </w:t>
      </w:r>
      <w:r>
        <w:rPr>
          <w:sz w:val="16"/>
          <w:szCs w:val="16"/>
        </w:rPr>
        <w:t xml:space="preserve">The book writes: “While Orontes holds an AFS bond, its unrealized gains and losses build up in accumulated OCI, part of equity. When Orontes sells the bond, the realized gain or loss moves to net income through a reclassification adjustment, sometimes called recycling.”</w:t>
      </w:r>
    </w:p>
    <w:p>
      <w:pPr>
        <w:spacing w:after="18"/>
        <w:ind w:left="300" w:hanging="300"/>
      </w:pPr>
      <w:r>
        <w:rPr>
          <w:b/>
          <w:bCs/>
          <w:color w:val="8186EF"/>
          <w:sz w:val="16"/>
          <w:szCs w:val="16"/>
        </w:rPr>
        <w:t xml:space="preserve">3  </w:t>
      </w:r>
      <w:r>
        <w:rPr>
          <w:sz w:val="16"/>
          <w:szCs w:val="16"/>
        </w:rPr>
        <w:t xml:space="preserve">The book writes: “When a security moves into trading, any unrealized gain or loss not yet in net income goes to net income immediately. When an AFS security moves to HTM, the unrealized amount stays in accumulated OCI and is amortized over the remaining life.”</w:t>
      </w:r>
    </w:p>
    <w:p>
      <w:pPr>
        <w:spacing w:after="18"/>
        <w:ind w:left="300" w:hanging="300"/>
      </w:pPr>
      <w:r>
        <w:rPr>
          <w:b/>
          <w:bCs/>
          <w:color w:val="8186EF"/>
          <w:sz w:val="16"/>
          <w:szCs w:val="16"/>
        </w:rPr>
        <w:t xml:space="preserve">4  </w:t>
      </w:r>
      <w:r>
        <w:rPr>
          <w:sz w:val="16"/>
          <w:szCs w:val="16"/>
        </w:rPr>
        <w:t xml:space="preserve">The book pairs Equity method with “Cost + share of income − dividends”.</w:t>
      </w:r>
    </w:p>
    <w:p>
      <w:pPr>
        <w:spacing w:after="18"/>
        <w:ind w:left="300" w:hanging="300"/>
      </w:pPr>
      <w:r>
        <w:rPr>
          <w:b/>
          <w:bCs/>
          <w:color w:val="8186EF"/>
          <w:sz w:val="16"/>
          <w:szCs w:val="16"/>
        </w:rPr>
        <w:t xml:space="preserve">5  </w:t>
      </w:r>
      <w:r>
        <w:rPr>
          <w:sz w:val="16"/>
          <w:szCs w:val="16"/>
        </w:rPr>
        <w:t xml:space="preserve">The book’s own table gives Fair value as the balance sheet amount of Trading (debt).</w:t>
      </w:r>
    </w:p>
    <w:p>
      <w:pPr>
        <w:spacing w:after="18"/>
        <w:ind w:left="300" w:hanging="300"/>
      </w:pPr>
      <w:r>
        <w:rPr>
          <w:b/>
          <w:bCs/>
          <w:color w:val="8186EF"/>
          <w:sz w:val="16"/>
          <w:szCs w:val="16"/>
        </w:rPr>
        <w:t xml:space="preserve">14  </w:t>
      </w:r>
      <w:r>
        <w:rPr>
          <w:sz w:val="16"/>
          <w:szCs w:val="16"/>
        </w:rPr>
        <w:t xml:space="preserve">The book gives — as the on sale, oci is of Trading (debt).</w:t>
      </w:r>
    </w:p>
    <w:p>
      <w:pPr>
        <w:spacing w:after="18"/>
        <w:ind w:left="300" w:hanging="300"/>
      </w:pPr>
      <w:r>
        <w:rPr>
          <w:b/>
          <w:bCs/>
          <w:color w:val="8186EF"/>
          <w:sz w:val="16"/>
          <w:szCs w:val="16"/>
        </w:rPr>
        <w:t xml:space="preserve">15  </w:t>
      </w:r>
      <w:r>
        <w:rPr>
          <w:sz w:val="16"/>
          <w:szCs w:val="16"/>
        </w:rPr>
        <w:t xml:space="preserve">Selling HTM securities outside the permitted cases calls the company's intent into question. A is wrong: A need for cash is not one of the permitted reasons. B is wrong: A realized gain on sale goes to net income.</w:t>
      </w:r>
    </w:p>
    <w:p>
      <w:pPr>
        <w:spacing w:after="18"/>
        <w:ind w:left="300" w:hanging="300"/>
      </w:pPr>
      <w:r>
        <w:rPr>
          <w:b/>
          <w:bCs/>
          <w:color w:val="8186EF"/>
          <w:sz w:val="16"/>
          <w:szCs w:val="16"/>
        </w:rPr>
        <w:t xml:space="preserve">16  </w:t>
      </w:r>
      <w:r>
        <w:rPr>
          <w:sz w:val="16"/>
          <w:szCs w:val="16"/>
        </w:rPr>
        <w:t xml:space="preserve">Every cycle settles one rule and shows where it comes from.</w:t>
      </w:r>
    </w:p>
    <w:p>
      <w:pPr>
        <w:spacing w:after="18"/>
        <w:ind w:left="300" w:hanging="300"/>
      </w:pPr>
      <w:r>
        <w:rPr>
          <w:b/>
          <w:bCs/>
          <w:color w:val="8186EF"/>
          <w:sz w:val="16"/>
          <w:szCs w:val="16"/>
        </w:rPr>
        <w:t xml:space="preserve">17  </w:t>
      </w:r>
      <w:r>
        <w:rPr>
          <w:sz w:val="16"/>
          <w:szCs w:val="16"/>
        </w:rPr>
        <w:t xml:space="preserve">CMA questions use exact terms, and one word can change the answer.</w:t>
      </w:r>
    </w:p>
    <w:p>
      <w:pPr>
        <w:spacing w:after="18"/>
        <w:ind w:left="300" w:hanging="300"/>
      </w:pPr>
      <w:r>
        <w:rPr>
          <w:b/>
          <w:bCs/>
          <w:color w:val="8186EF"/>
          <w:sz w:val="16"/>
          <w:szCs w:val="16"/>
        </w:rPr>
        <w:t xml:space="preserve">23  </w:t>
      </w:r>
      <w:r>
        <w:rPr>
          <w:sz w:val="16"/>
          <w:szCs w:val="16"/>
        </w:rPr>
        <w:t xml:space="preserve">The book’s own table gives Cost + share of income − dividends as the balance sheet amount of Equity method.</w:t>
      </w:r>
    </w:p>
    <w:p>
      <w:pPr>
        <w:spacing w:after="18"/>
        <w:ind w:left="300" w:hanging="300"/>
      </w:pPr>
      <w:r>
        <w:rPr>
          <w:b/>
          <w:bCs/>
          <w:color w:val="8186EF"/>
          <w:sz w:val="16"/>
          <w:szCs w:val="16"/>
        </w:rPr>
        <w:t xml:space="preserve">24  </w:t>
      </w:r>
      <w:r>
        <w:rPr>
          <w:sz w:val="16"/>
          <w:szCs w:val="16"/>
        </w:rPr>
        <w:t xml:space="preserve">Every item on a Workshop sheet is settled by something printed on the same sheet.</w:t>
      </w:r>
    </w:p>
    <w:p/>
    <w:p>
      <w:pPr>
        <w:sectPr>
          <w:headerReference w:type="default" r:id="rIdHdr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9.3 · Credit losses on debt securities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securities · amortized · receivables</w:t>
            </w:r>
          </w:p>
        </w:tc>
        <w:tc>
          <w:tcPr>
            <w:tcW w:type="pct" w:w="1667"/>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B</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allowance · amortized · fair value</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E</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allowance · amortized · fair value</w:t>
            </w:r>
          </w:p>
        </w:tc>
        <w:tc>
          <w:tcPr>
            <w:tcW w:type="pct" w:w="1667"/>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Compare with the model earlier in this handout.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HTM securities are measured at amortized cost, so they follow CECL, like the receivables in Chapter 6: the company records an allowance for lifetime expected credit losses from day one. For very safe bonds, such as U.S. Treasury bonds, the expected loss can be zero.</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D</w:t>
            </w:r>
          </w:p>
        </w:tc>
        <w:tc>
          <w:tcPr>
            <w:tcW w:type="pct" w:w="1667"/>
            <w:tcMar>
              <w:top w:type="dxa" w:w="40"/>
              <w:left w:type="dxa" w:w="100"/>
              <w:bottom w:type="dxa" w:w="40"/>
              <w:right w:type="dxa" w:w="100"/>
            </w:tcMar>
          </w:tcPr>
          <w:p>
            <w:pPr>
              <w:spacing w:before="24" w:after="24"/>
            </w:pPr>
            <w:r>
              <w:rPr>
                <w:sz w:val="16"/>
                <w:szCs w:val="16"/>
              </w:rPr>
              <w:t xml:space="preserve"/>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“HTM securities are measured at amortized cost, so they follow CECL, like the receivables in Chapter 6: the company records an allowance for lifetime expected credit losses from day one. For very safe bonds, such as U.S. Treasury bonds, the expected loss can be zero.”</w:t>
      </w:r>
    </w:p>
    <w:p>
      <w:pPr>
        <w:spacing w:after="18"/>
        <w:ind w:left="300" w:hanging="300"/>
      </w:pPr>
      <w:r>
        <w:rPr>
          <w:b/>
          <w:bCs/>
          <w:color w:val="8186EF"/>
          <w:sz w:val="16"/>
          <w:szCs w:val="16"/>
        </w:rPr>
        <w:t xml:space="preserve">2  </w:t>
      </w:r>
      <w:r>
        <w:rPr>
          <w:sz w:val="16"/>
          <w:szCs w:val="16"/>
        </w:rPr>
        <w:t xml:space="preserve">The book writes: “The credit part is recorded in an allowance through net income. The rest of the decline goes to OCI. An AFS bond has an amortized cost of $50,000 and a fair value of $44,000. The allowance can never be larger than amortized cost minus fair value: $6,000.”</w:t>
      </w:r>
    </w:p>
    <w:p>
      <w:pPr>
        <w:spacing w:after="18"/>
        <w:ind w:left="300" w:hanging="300"/>
      </w:pPr>
      <w:r>
        <w:rPr>
          <w:b/>
          <w:bCs/>
          <w:color w:val="8186EF"/>
          <w:sz w:val="16"/>
          <w:szCs w:val="16"/>
        </w:rPr>
        <w:t xml:space="preserve">3  </w:t>
      </w:r>
      <w:r>
        <w:rPr>
          <w:sz w:val="16"/>
          <w:szCs w:val="16"/>
        </w:rPr>
        <w:t xml:space="preserve">The book writes: “AFS allowance ≤ amortized cost − fair value. If the company intends to sell, there is no allowance: write the bond down to fair value. A. Record an allowance for the credit part only. B. Write the bond down to fair value through net income.”</w:t>
      </w:r>
    </w:p>
    <w:p>
      <w:pPr>
        <w:spacing w:after="18"/>
        <w:ind w:left="300" w:hanging="300"/>
      </w:pPr>
      <w:r>
        <w:rPr>
          <w:b/>
          <w:bCs/>
          <w:color w:val="8186EF"/>
          <w:sz w:val="16"/>
          <w:szCs w:val="16"/>
        </w:rPr>
        <w:t xml:space="preserve">4  </w:t>
      </w:r>
      <w:r>
        <w:rPr>
          <w:sz w:val="16"/>
          <w:szCs w:val="16"/>
        </w:rPr>
        <w:t xml:space="preserve">The book pairs E with “Equity method”.</w:t>
      </w:r>
    </w:p>
    <w:p>
      <w:pPr>
        <w:spacing w:after="18"/>
        <w:ind w:left="300" w:hanging="300"/>
      </w:pPr>
      <w:r>
        <w:rPr>
          <w:b/>
          <w:bCs/>
          <w:color w:val="8186EF"/>
          <w:sz w:val="16"/>
          <w:szCs w:val="16"/>
        </w:rPr>
        <w:t xml:space="preserve">5  </w:t>
      </w:r>
      <w:r>
        <w:rPr>
          <w:sz w:val="16"/>
          <w:szCs w:val="16"/>
        </w:rPr>
        <w:t xml:space="preserve">The book’s own table gives Trading as the category of A.</w:t>
      </w:r>
    </w:p>
    <w:p>
      <w:pPr>
        <w:spacing w:after="18"/>
        <w:ind w:left="300" w:hanging="300"/>
      </w:pPr>
      <w:r>
        <w:rPr>
          <w:b/>
          <w:bCs/>
          <w:color w:val="8186EF"/>
          <w:sz w:val="16"/>
          <w:szCs w:val="16"/>
        </w:rPr>
        <w:t xml:space="preserve">6  </w:t>
      </w:r>
      <w:r>
        <w:rPr>
          <w:sz w:val="16"/>
          <w:szCs w:val="16"/>
        </w:rPr>
        <w:t xml:space="preserve">Cost minus the premium amortized in 2025. A is wrong: The bond reaches face value only at maturity. B is wrong: This is fair value, not amortized cost.</w:t>
      </w:r>
    </w:p>
    <w:p>
      <w:pPr>
        <w:spacing w:after="18"/>
        <w:ind w:left="300" w:hanging="300"/>
      </w:pPr>
      <w:r>
        <w:rPr>
          <w:b/>
          <w:bCs/>
          <w:color w:val="8186EF"/>
          <w:sz w:val="16"/>
          <w:szCs w:val="16"/>
        </w:rPr>
        <w:t xml:space="preserve">7  </w:t>
      </w:r>
      <w:r>
        <w:rPr>
          <w:sz w:val="16"/>
          <w:szCs w:val="16"/>
        </w:rPr>
        <w:t xml:space="preserve">Every cycle settles one rule and shows where it comes from.</w:t>
      </w:r>
    </w:p>
    <w:p>
      <w:pPr>
        <w:spacing w:after="18"/>
        <w:ind w:left="300" w:hanging="300"/>
      </w:pPr>
      <w:r>
        <w:rPr>
          <w:b/>
          <w:bCs/>
          <w:color w:val="8186EF"/>
          <w:sz w:val="16"/>
          <w:szCs w:val="16"/>
        </w:rPr>
        <w:t xml:space="preserve">8  </w:t>
      </w:r>
      <w:r>
        <w:rPr>
          <w:sz w:val="16"/>
          <w:szCs w:val="16"/>
        </w:rPr>
        <w:t xml:space="preserve">CMA questions use exact terms, and one word can change the answer.</w:t>
      </w:r>
    </w:p>
    <w:p>
      <w:pPr>
        <w:spacing w:after="18"/>
        <w:ind w:left="300" w:hanging="300"/>
      </w:pPr>
      <w:r>
        <w:rPr>
          <w:b/>
          <w:bCs/>
          <w:color w:val="8186EF"/>
          <w:sz w:val="16"/>
          <w:szCs w:val="16"/>
        </w:rPr>
        <w:t xml:space="preserve">18  </w:t>
      </w:r>
      <w:r>
        <w:rPr>
          <w:sz w:val="16"/>
          <w:szCs w:val="16"/>
        </w:rPr>
        <w:t xml:space="preserve">Every item on a Workshop sheet is settled by something printed on the same sheet.</w:t>
      </w:r>
    </w:p>
    <w:p/>
    <w:p>
      <w:pPr>
        <w:sectPr>
          <w:headerReference w:type="default" r:id="rIdHdr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9.4 · Equity securities and the equity method</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significant influence · equity method · investee</w:t>
            </w:r>
          </w:p>
        </w:tc>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dividends · investment · supplier</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C</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significant influence · equity method · fair value option</w:t>
            </w:r>
          </w:p>
        </w:tc>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D</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Compare with the model earlier in this handout.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significant influence · equity method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For shares, the key question is how much influence the investor has over the investee, the company whose shares it holds. Figure F09-06 shows the three levels.</w:t>
            </w:r>
          </w:p>
        </w:tc>
      </w:tr>
    </w:tbl>
    <w:p/>
    <w:tbl>
      <w:tblPr>
        <w:tblW w:type="pct" w:w="100%"/>
        <w:tblLayout w:type="fixed"/>
        <w:tblBorders>
          <w:top w:val="single" w:color="1F7A6A" w:sz="8"/>
          <w:left w:val="single" w:color="1F7A6A" w:sz="8"/>
          <w:bottom w:val="single" w:color="1F7A6A" w:sz="8"/>
          <w:right w:val="single" w:color="1F7A6A" w:sz="8"/>
          <w:insideH w:val="single" w:color="1F7A6A" w:sz="8"/>
          <w:insideV w:val="single" w:color="1F7A6A" w:sz="8"/>
        </w:tblBorders>
      </w:tblPr>
      <w:tblGrid>
        <w:gridCol w:w="9600"/>
      </w:tblGrid>
      <w:tr>
        <w:tc>
          <w:tcPr>
            <w:tcW w:type="pct" w:w="5000"/>
            <w:shd w:fill="EEF6F4" w:val="clear"/>
            <w:tcMar>
              <w:top w:type="dxa" w:w="70"/>
              <w:left w:type="dxa" w:w="130"/>
              <w:bottom w:type="dxa" w:w="70"/>
              <w:right w:type="dxa" w:w="130"/>
            </w:tcMar>
          </w:tcPr>
          <w:p>
            <w:pPr>
              <w:spacing w:before="34" w:after="18"/>
            </w:pPr>
            <w:r>
              <w:rPr>
                <w:b/>
                <w:bCs/>
                <w:color w:val="1F7A6A"/>
                <w:sz w:val="17"/>
                <w:szCs w:val="17"/>
              </w:rPr>
              <w:t xml:space="preserve">6  </w:t>
            </w:r>
            <w:r>
              <w:rPr>
                <w:b/>
                <w:bCs/>
                <w:color w:val="1F7A6A"/>
                <w:sz w:val="16"/>
                <w:szCs w:val="16"/>
              </w:rPr>
              <w:t xml:space="preserve">what the book says</w:t>
            </w:r>
          </w:p>
          <w:p>
            <w:pPr>
              <w:spacing w:after="34"/>
              <w:ind w:left="300"/>
            </w:pPr>
            <w:r>
              <w:rPr>
                <w:sz w:val="17"/>
                <w:szCs w:val="17"/>
              </w:rPr>
              <w:t xml:space="preserve">And when an investor first gains significant influence, it starts the equity method from that date; it does not restate prior years.</w:t>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“With significant influence, the investor uses the equity method. Under the equity method, the investment starts at cost. It increases by the investor's share of the investee's net income and decreases by the dividends the investor receives.”</w:t>
      </w:r>
    </w:p>
    <w:p>
      <w:pPr>
        <w:spacing w:after="18"/>
        <w:ind w:left="300" w:hanging="300"/>
      </w:pPr>
      <w:r>
        <w:rPr>
          <w:b/>
          <w:bCs/>
          <w:color w:val="8186EF"/>
          <w:sz w:val="16"/>
          <w:szCs w:val="16"/>
        </w:rPr>
        <w:t xml:space="preserve">2  </w:t>
      </w:r>
      <w:r>
        <w:rPr>
          <w:sz w:val="16"/>
          <w:szCs w:val="16"/>
        </w:rPr>
        <w:t xml:space="preserve">The book writes: “The dividends are not income, because they only return part of the investment. Orontes and Jordan Glass Co. On January 1, 2025, Orontes buys 30% of Jordan Glass Co., its bottle supplier, for $1,200,000.”</w:t>
      </w:r>
    </w:p>
    <w:p>
      <w:pPr>
        <w:spacing w:after="18"/>
        <w:ind w:left="300" w:hanging="300"/>
      </w:pPr>
      <w:r>
        <w:rPr>
          <w:b/>
          <w:bCs/>
          <w:color w:val="8186EF"/>
          <w:sz w:val="16"/>
          <w:szCs w:val="16"/>
        </w:rPr>
        <w:t xml:space="preserve">3  </w:t>
      </w:r>
      <w:r>
        <w:rPr>
          <w:sz w:val="16"/>
          <w:szCs w:val="16"/>
        </w:rPr>
        <w:t xml:space="preserve">The book writes: “Profits on sales between the two companies are eliminated until the goods are sold to outsiders. And when an investor first gains significant influence, it starts the equity method from that date; it does not restate prior years. An investor may also elect the fair value option for an equity-method investment.”</w:t>
      </w:r>
    </w:p>
    <w:p>
      <w:pPr>
        <w:spacing w:after="18"/>
        <w:ind w:left="300" w:hanging="300"/>
      </w:pPr>
      <w:r>
        <w:rPr>
          <w:b/>
          <w:bCs/>
          <w:color w:val="8186EF"/>
          <w:sz w:val="16"/>
          <w:szCs w:val="16"/>
        </w:rPr>
        <w:t xml:space="preserve">4  </w:t>
      </w:r>
      <w:r>
        <w:rPr>
          <w:sz w:val="16"/>
          <w:szCs w:val="16"/>
        </w:rPr>
        <w:t xml:space="preserve">The book pairs E with “Shares of Amman Cold Storage Co. (25%)”.</w:t>
      </w:r>
    </w:p>
    <w:p>
      <w:pPr>
        <w:spacing w:after="18"/>
        <w:ind w:left="300" w:hanging="300"/>
      </w:pPr>
      <w:r>
        <w:rPr>
          <w:b/>
          <w:bCs/>
          <w:color w:val="8186EF"/>
          <w:sz w:val="16"/>
          <w:szCs w:val="16"/>
        </w:rPr>
        <w:t xml:space="preserve">5  </w:t>
      </w:r>
      <w:r>
        <w:rPr>
          <w:sz w:val="16"/>
          <w:szCs w:val="16"/>
        </w:rPr>
        <w:t xml:space="preserve">The book’s own table gives Corporate bond as the investment of A.</w:t>
      </w:r>
    </w:p>
    <w:p>
      <w:pPr>
        <w:spacing w:after="18"/>
        <w:ind w:left="300" w:hanging="300"/>
      </w:pPr>
      <w:r>
        <w:rPr>
          <w:b/>
          <w:bCs/>
          <w:color w:val="8186EF"/>
          <w:sz w:val="16"/>
          <w:szCs w:val="16"/>
        </w:rPr>
        <w:t xml:space="preserve">7  </w:t>
      </w:r>
      <w:r>
        <w:rPr>
          <w:sz w:val="16"/>
          <w:szCs w:val="16"/>
        </w:rPr>
        <w:t xml:space="preserve">The book gives cost 40,000; fair value 42,000 as the amounts, dec 31, 2025 of A.</w:t>
      </w:r>
    </w:p>
    <w:p>
      <w:pPr>
        <w:spacing w:after="18"/>
        <w:ind w:left="300" w:hanging="300"/>
      </w:pPr>
      <w:r>
        <w:rPr>
          <w:b/>
          <w:bCs/>
          <w:color w:val="8186EF"/>
          <w:sz w:val="16"/>
          <w:szCs w:val="16"/>
        </w:rPr>
        <w:t xml:space="preserve">8  </w:t>
      </w:r>
      <w:r>
        <w:rPr>
          <w:sz w:val="16"/>
          <w:szCs w:val="16"/>
        </w:rPr>
        <w:t xml:space="preserve">Fair value minus amortized cost: the loss goes to net income for trading securities. A is wrong: This compares fair value with face, ignoring amortized cost. C is wrong: OCI is for AFS; trading changes go to net income.</w:t>
      </w:r>
    </w:p>
    <w:p>
      <w:pPr>
        <w:spacing w:after="18"/>
        <w:ind w:left="300" w:hanging="300"/>
      </w:pPr>
      <w:r>
        <w:rPr>
          <w:b/>
          <w:bCs/>
          <w:color w:val="8186EF"/>
          <w:sz w:val="16"/>
          <w:szCs w:val="16"/>
        </w:rPr>
        <w:t xml:space="preserve">9  </w:t>
      </w:r>
      <w:r>
        <w:rPr>
          <w:sz w:val="16"/>
          <w:szCs w:val="16"/>
        </w:rPr>
        <w:t xml:space="preserve">Every cycle settles one rule and shows where it comes from.</w:t>
      </w:r>
    </w:p>
    <w:p>
      <w:pPr>
        <w:spacing w:after="18"/>
        <w:ind w:left="300" w:hanging="300"/>
      </w:pPr>
      <w:r>
        <w:rPr>
          <w:b/>
          <w:bCs/>
          <w:color w:val="8186EF"/>
          <w:sz w:val="16"/>
          <w:szCs w:val="16"/>
        </w:rPr>
        <w:t xml:space="preserve">10  </w:t>
      </w:r>
      <w:r>
        <w:rPr>
          <w:sz w:val="16"/>
          <w:szCs w:val="16"/>
        </w:rPr>
        <w:t xml:space="preserve">CMA questions use exact terms, and one word can change the answer.</w:t>
      </w:r>
    </w:p>
    <w:p>
      <w:pPr>
        <w:spacing w:after="18"/>
        <w:ind w:left="300" w:hanging="300"/>
      </w:pPr>
      <w:r>
        <w:rPr>
          <w:b/>
          <w:bCs/>
          <w:color w:val="8186EF"/>
          <w:sz w:val="16"/>
          <w:szCs w:val="16"/>
        </w:rPr>
        <w:t xml:space="preserve">15  </w:t>
      </w:r>
      <w:r>
        <w:rPr>
          <w:sz w:val="16"/>
          <w:szCs w:val="16"/>
        </w:rPr>
        <w:t xml:space="preserve">The glossary on this page pairs “أوراق مالية متاحة للبيع” with available-for-sale (AFS) securities.</w:t>
      </w:r>
    </w:p>
    <w:p>
      <w:pPr>
        <w:spacing w:after="18"/>
        <w:ind w:left="300" w:hanging="300"/>
      </w:pPr>
      <w:r>
        <w:rPr>
          <w:b/>
          <w:bCs/>
          <w:color w:val="8186EF"/>
          <w:sz w:val="16"/>
          <w:szCs w:val="16"/>
        </w:rPr>
        <w:t xml:space="preserve">16  </w:t>
      </w:r>
      <w:r>
        <w:rPr>
          <w:sz w:val="16"/>
          <w:szCs w:val="16"/>
        </w:rPr>
        <w:t xml:space="preserve">Every item on a Workshop sheet is settled by something printed on the same sheet.</w:t>
      </w:r>
    </w:p>
    <w:p/>
    <w:p>
      <w:pPr>
        <w:sectPr>
          <w:headerReference w:type="default" r:id="rIdHdr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9.5 · The whole chapter</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bond premium · bond discount · effective-interest method</w:t>
            </w:r>
          </w:p>
        </w:tc>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D</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allowance · amortized · fair value</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investee · significant influence · equity method · fair value option</w:t>
            </w:r>
          </w:p>
        </w:tc>
        <w:tc>
          <w:tcPr>
            <w:tcW w:type="pct" w:w="1667"/>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C</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24  </w:t>
            </w:r>
            <w:r>
              <w:rPr>
                <w:sz w:val="17"/>
                <w:szCs w:val="17"/>
              </w:rPr>
              <w:t xml:space="preserve">D</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25  </w:t>
            </w:r>
            <w:r>
              <w:rPr>
                <w:sz w:val="17"/>
                <w:szCs w:val="17"/>
              </w:rPr>
              <w:t xml:space="preserve">C</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26  </w:t>
            </w:r>
            <w:r>
              <w:rPr>
                <w:sz w:val="17"/>
                <w:szCs w:val="17"/>
              </w:rPr>
              <w:t xml:space="preserve">B</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27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E</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28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F</w:t>
            </w:r>
          </w:p>
        </w:tc>
        <w:tc>
          <w:tcPr>
            <w:tcW w:type="pct" w:w="1667"/>
            <w:tcMar>
              <w:top w:type="dxa" w:w="40"/>
              <w:left w:type="dxa" w:w="100"/>
              <w:bottom w:type="dxa" w:w="40"/>
              <w:right w:type="dxa" w:w="100"/>
            </w:tcMar>
          </w:tcPr>
          <w:p>
            <w:pPr>
              <w:spacing w:before="22" w:after="22"/>
            </w:pPr>
            <w:r>
              <w:rPr>
                <w:b/>
                <w:bCs/>
                <w:color w:val="8186EF"/>
                <w:sz w:val="16"/>
                <w:szCs w:val="16"/>
              </w:rPr>
              <w:t xml:space="preserve">29  </w:t>
            </w:r>
            <w:r>
              <w:rPr>
                <w:sz w:val="17"/>
                <w:szCs w:val="17"/>
              </w:rPr>
              <w:t xml:space="preserve">Compare with the model earlier in this handout.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30  </w:t>
            </w:r>
            <w:r>
              <w:rPr>
                <w:sz w:val="17"/>
                <w:szCs w:val="17"/>
              </w:rPr>
              <w:t xml:space="preserve">9.1: Three categories of debt securities. 9.2: Measuring debt securities. 9.3: Credit losses on debt securities. 9.4: Equity securities and the equity method.</w:t>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“A bond is bought at a bond premium when its stated interest rate is higher than the market rate, and at a bond discount when it is lower. Under the effective-interest method, interest revenue for each year is the carrying amount at the start of the year multiplied by the market rate at purchase.”</w:t>
      </w:r>
    </w:p>
    <w:p>
      <w:pPr>
        <w:spacing w:after="18"/>
        <w:ind w:left="300" w:hanging="300"/>
      </w:pPr>
      <w:r>
        <w:rPr>
          <w:b/>
          <w:bCs/>
          <w:color w:val="8186EF"/>
          <w:sz w:val="16"/>
          <w:szCs w:val="16"/>
        </w:rPr>
        <w:t xml:space="preserve">2  </w:t>
      </w:r>
      <w:r>
        <w:rPr>
          <w:sz w:val="16"/>
          <w:szCs w:val="16"/>
        </w:rPr>
        <w:t xml:space="preserve">The book writes: “The credit part is recorded in an allowance through net income. The rest of the decline goes to OCI. An AFS bond has an amortized cost of $50,000 and a fair value of $44,000. The allowance can never be larger than amortized cost minus fair value: $6,000.”</w:t>
      </w:r>
    </w:p>
    <w:p>
      <w:pPr>
        <w:spacing w:after="18"/>
        <w:ind w:left="300" w:hanging="300"/>
      </w:pPr>
      <w:r>
        <w:rPr>
          <w:b/>
          <w:bCs/>
          <w:color w:val="8186EF"/>
          <w:sz w:val="16"/>
          <w:szCs w:val="16"/>
        </w:rPr>
        <w:t xml:space="preserve">3  </w:t>
      </w:r>
      <w:r>
        <w:rPr>
          <w:sz w:val="16"/>
          <w:szCs w:val="16"/>
        </w:rPr>
        <w:t xml:space="preserve">The book writes: “Losses reduce the investment only to zero, unless the investor has guaranteed the investee's debts. Profits on sales between the two companies are eliminated until the goods are sold to outsiders. And when an investor first gains significant influence, it starts the equity method from that date; it does not restate prior years. An investor may also elect the fair value option for an equity-method investment.”</w:t>
      </w:r>
    </w:p>
    <w:p>
      <w:pPr>
        <w:spacing w:after="18"/>
        <w:ind w:left="300" w:hanging="300"/>
      </w:pPr>
      <w:r>
        <w:rPr>
          <w:b/>
          <w:bCs/>
          <w:color w:val="8186EF"/>
          <w:sz w:val="16"/>
          <w:szCs w:val="16"/>
        </w:rPr>
        <w:t xml:space="preserve">4  </w:t>
      </w:r>
      <w:r>
        <w:rPr>
          <w:sz w:val="16"/>
          <w:szCs w:val="16"/>
        </w:rPr>
        <w:t xml:space="preserve">The map shows the order the decisions have to be taken in.</w:t>
      </w:r>
    </w:p>
    <w:p>
      <w:pPr>
        <w:spacing w:after="18"/>
        <w:ind w:left="300" w:hanging="300"/>
      </w:pPr>
      <w:r>
        <w:rPr>
          <w:b/>
          <w:bCs/>
          <w:color w:val="8186EF"/>
          <w:sz w:val="16"/>
          <w:szCs w:val="16"/>
        </w:rPr>
        <w:t xml:space="preserve">5  </w:t>
      </w:r>
      <w:r>
        <w:rPr>
          <w:sz w:val="16"/>
          <w:szCs w:val="16"/>
        </w:rPr>
        <w:t xml:space="preserve">The book numbers “Three categories of debt securities” as section 9.1.</w:t>
      </w:r>
    </w:p>
    <w:p>
      <w:pPr>
        <w:spacing w:after="18"/>
        <w:ind w:left="300" w:hanging="300"/>
      </w:pPr>
      <w:r>
        <w:rPr>
          <w:b/>
          <w:bCs/>
          <w:color w:val="8186EF"/>
          <w:sz w:val="16"/>
          <w:szCs w:val="16"/>
        </w:rPr>
        <w:t xml:space="preserve">10  </w:t>
      </w:r>
      <w:r>
        <w:rPr>
          <w:sz w:val="16"/>
          <w:szCs w:val="16"/>
        </w:rPr>
        <w:t xml:space="preserve">Cost + share of income − extra depreciation − dividends. B is wrong: This forgets the extra depreciation. C is wrong: This does not deduct the dividends received.</w:t>
      </w:r>
    </w:p>
    <w:p>
      <w:pPr>
        <w:spacing w:after="18"/>
        <w:ind w:left="300" w:hanging="300"/>
      </w:pPr>
      <w:r>
        <w:rPr>
          <w:b/>
          <w:bCs/>
          <w:color w:val="8186EF"/>
          <w:sz w:val="16"/>
          <w:szCs w:val="16"/>
        </w:rPr>
        <w:t xml:space="preserve">11  </w:t>
      </w:r>
      <w:r>
        <w:rPr>
          <w:sz w:val="16"/>
          <w:szCs w:val="16"/>
        </w:rPr>
        <w:t xml:space="preserve">Equity-method goodwill is part of the investment and is not amortized. A is wrong: Amortization of goodwill is a private-company option for acquired goodwill, not an equity-method rule. B is wrong: It is part of the cost of the investment.</w:t>
      </w:r>
    </w:p>
    <w:p>
      <w:pPr>
        <w:spacing w:after="18"/>
        <w:ind w:left="300" w:hanging="300"/>
      </w:pPr>
      <w:r>
        <w:rPr>
          <w:b/>
          <w:bCs/>
          <w:color w:val="8186EF"/>
          <w:sz w:val="16"/>
          <w:szCs w:val="16"/>
        </w:rPr>
        <w:t xml:space="preserve">12  </w:t>
      </w:r>
      <w:r>
        <w:rPr>
          <w:sz w:val="16"/>
          <w:szCs w:val="16"/>
        </w:rPr>
        <w:t xml:space="preserve">Since ASU 2016-07 the change is applied prospectively. A is wrong: Retroactive restatement was removed by ASU 2016-07. B is wrong: It starts on the date influence is obtained.</w:t>
      </w:r>
    </w:p>
    <w:p>
      <w:pPr>
        <w:spacing w:after="18"/>
        <w:ind w:left="300" w:hanging="300"/>
      </w:pPr>
      <w:r>
        <w:rPr>
          <w:b/>
          <w:bCs/>
          <w:color w:val="8186EF"/>
          <w:sz w:val="16"/>
          <w:szCs w:val="16"/>
        </w:rPr>
        <w:t xml:space="preserve">13  </w:t>
      </w:r>
      <w:r>
        <w:rPr>
          <w:sz w:val="16"/>
          <w:szCs w:val="16"/>
        </w:rPr>
        <w:t xml:space="preserve">It is not bought to trade in the near term, and the possible sales rule out HTM. A is wrong: Selling in response to rates or cash needs shows no positive intent to hold. B is wrong: Trading needs the purpose of selling in the near term.</w:t>
      </w:r>
    </w:p>
    <w:p>
      <w:pPr>
        <w:spacing w:after="18"/>
        <w:ind w:left="300" w:hanging="300"/>
      </w:pPr>
      <w:r>
        <w:rPr>
          <w:b/>
          <w:bCs/>
          <w:color w:val="8186EF"/>
          <w:sz w:val="16"/>
          <w:szCs w:val="16"/>
        </w:rPr>
        <w:t xml:space="preserve">14  </w:t>
      </w:r>
      <w:r>
        <w:rPr>
          <w:sz w:val="16"/>
          <w:szCs w:val="16"/>
        </w:rPr>
        <w:t xml:space="preserve">Only debt securities have a maturity; shares never qualify. B is wrong: Shares have no maturity date. C is wrong: Equity securities never use the HTM category.</w:t>
      </w:r>
    </w:p>
    <w:p>
      <w:pPr>
        <w:spacing w:after="18"/>
        <w:ind w:left="300" w:hanging="300"/>
      </w:pPr>
      <w:r>
        <w:rPr>
          <w:b/>
          <w:bCs/>
          <w:color w:val="8186EF"/>
          <w:sz w:val="16"/>
          <w:szCs w:val="16"/>
        </w:rPr>
        <w:t xml:space="preserve">15  </w:t>
      </w:r>
      <w:r>
        <w:rPr>
          <w:sz w:val="16"/>
          <w:szCs w:val="16"/>
        </w:rPr>
        <w:t xml:space="preserve">Beginning carrying amount × market rate. A is wrong: This is the premium amortization. B is wrong: This applies the market rate to face value instead of the carrying amount.</w:t>
      </w:r>
    </w:p>
    <w:p>
      <w:pPr>
        <w:spacing w:after="18"/>
        <w:ind w:left="300" w:hanging="300"/>
      </w:pPr>
      <w:r>
        <w:rPr>
          <w:b/>
          <w:bCs/>
          <w:color w:val="8186EF"/>
          <w:sz w:val="16"/>
          <w:szCs w:val="16"/>
        </w:rPr>
        <w:t xml:space="preserve">16  </w:t>
      </w:r>
      <w:r>
        <w:rPr>
          <w:sz w:val="16"/>
          <w:szCs w:val="16"/>
        </w:rPr>
        <w:t xml:space="preserve">Sale price minus amortized cost; the accumulated OCI is reclassified. A is wrong: The gain is realized on the sale and goes to net income. C is wrong: This is the 2025 unrealized loss.</w:t>
      </w:r>
    </w:p>
    <w:p>
      <w:pPr>
        <w:spacing w:after="18"/>
        <w:ind w:left="300" w:hanging="300"/>
      </w:pPr>
      <w:r>
        <w:rPr>
          <w:b/>
          <w:bCs/>
          <w:color w:val="8186EF"/>
          <w:sz w:val="16"/>
          <w:szCs w:val="16"/>
        </w:rPr>
        <w:t xml:space="preserve">17  </w:t>
      </w:r>
      <w:r>
        <w:rPr>
          <w:sz w:val="16"/>
          <w:szCs w:val="16"/>
        </w:rPr>
        <w:t xml:space="preserve">Every later answer depends on the adjusted exhibit.</w:t>
      </w:r>
    </w:p>
    <w:p>
      <w:pPr>
        <w:spacing w:after="18"/>
        <w:ind w:left="300" w:hanging="300"/>
      </w:pPr>
      <w:r>
        <w:rPr>
          <w:b/>
          <w:bCs/>
          <w:color w:val="8186EF"/>
          <w:sz w:val="16"/>
          <w:szCs w:val="16"/>
        </w:rPr>
        <w:t xml:space="preserve">24  </w:t>
      </w:r>
      <w:r>
        <w:rPr>
          <w:sz w:val="16"/>
          <w:szCs w:val="16"/>
        </w:rPr>
        <w:t xml:space="preserve">AFS unrealized gains and losses go to OCI. A is wrong: Net income is for trading securities and shares. B is wrong: AFS is measured at fair value; HTM stays at amortized cost.</w:t>
      </w:r>
    </w:p>
    <w:p>
      <w:pPr>
        <w:spacing w:after="18"/>
        <w:ind w:left="300" w:hanging="300"/>
      </w:pPr>
      <w:r>
        <w:rPr>
          <w:b/>
          <w:bCs/>
          <w:color w:val="8186EF"/>
          <w:sz w:val="16"/>
          <w:szCs w:val="16"/>
        </w:rPr>
        <w:t xml:space="preserve">25  </w:t>
      </w:r>
      <w:r>
        <w:rPr>
          <w:sz w:val="16"/>
          <w:szCs w:val="16"/>
        </w:rPr>
        <w:t xml:space="preserve">The credit loss is limited to amortized cost minus fair value. A is wrong: The present value shows a credit loss, so an allowance is needed. B is wrong: This is the Case A amount.</w:t>
      </w:r>
    </w:p>
    <w:p>
      <w:pPr>
        <w:spacing w:after="18"/>
        <w:ind w:left="300" w:hanging="300"/>
      </w:pPr>
      <w:r>
        <w:rPr>
          <w:b/>
          <w:bCs/>
          <w:color w:val="8186EF"/>
          <w:sz w:val="16"/>
          <w:szCs w:val="16"/>
        </w:rPr>
        <w:t xml:space="preserve">26  </w:t>
      </w:r>
      <w:r>
        <w:rPr>
          <w:sz w:val="16"/>
          <w:szCs w:val="16"/>
        </w:rPr>
        <w:t xml:space="preserve">With an intent to sell, the whole decline goes to net income as a write-down. A is wrong: The allowance approach applies only when the company does not intend to sell. C is wrong: The loss can no longer stay in OCI.</w:t>
      </w:r>
    </w:p>
    <w:p>
      <w:pPr>
        <w:spacing w:after="18"/>
        <w:ind w:left="300" w:hanging="300"/>
      </w:pPr>
      <w:r>
        <w:rPr>
          <w:b/>
          <w:bCs/>
          <w:color w:val="8186EF"/>
          <w:sz w:val="16"/>
          <w:szCs w:val="16"/>
        </w:rPr>
        <w:t xml:space="preserve">27  </w:t>
      </w:r>
      <w:r>
        <w:rPr>
          <w:sz w:val="16"/>
          <w:szCs w:val="16"/>
        </w:rPr>
        <w:t xml:space="preserve">Shares without significant influence are measured at fair value through net income. B is wrong: U.S. GAAP has no OCI option for shares. C is wrong: Listed shares have a readily determinable fair value.</w:t>
      </w:r>
    </w:p>
    <w:p>
      <w:pPr>
        <w:spacing w:after="18"/>
        <w:ind w:left="300" w:hanging="300"/>
      </w:pPr>
      <w:r>
        <w:rPr>
          <w:b/>
          <w:bCs/>
          <w:color w:val="8186EF"/>
          <w:sz w:val="16"/>
          <w:szCs w:val="16"/>
        </w:rPr>
        <w:t xml:space="preserve">28  </w:t>
      </w:r>
      <w:r>
        <w:rPr>
          <w:sz w:val="16"/>
          <w:szCs w:val="16"/>
        </w:rPr>
        <w:t xml:space="preserve">Every later answer depends on the adjusted exhibit.</w:t>
      </w:r>
    </w:p>
    <w:p/>
    <w:p>
      <w:pPr>
        <w:sectPr>
          <w:headerReference w:type="default" r:id="rIdHdr5"/>
          <w:pgSz w:w="11906" w:h="16838" w:orient="portrait"/>
          <w:pgMar w:top="1180" w:right="1000" w:bottom="900" w:left="1000" w:header="708" w:footer="708" w:gutter="0"/>
          <w:docGrid w:linePitch="360"/>
          <w:pgNumType w:start="1"/>
        </w:sectPr>
      </w:pPr>
    </w:p>
    <w:sectPr>
      <w:headerReference w:type="default" r:id="rIdHdr5"/>
      <w:pgSz w:w="11906" w:h="16838" w:orient="portrait"/>
      <w:pgMar w:top="1180" w:right="1000" w:bottom="900" w:left="1000" w:header="708" w:footer="708" w:gutter="0"/>
      <w:docGrid w:linePitch="360"/>
      <w:pgNumTyp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9.1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9.2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9.3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9.4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9.5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defaultTabStop w:val="720"/>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Relationships xmlns="http://schemas.openxmlformats.org/package/2006/relationships"><Relationship Id="rIdstyles" Target="styles.xml" Type="http://schemas.openxmlformats.org/officeDocument/2006/relationships/styles"/><Relationship Id="rIdnumbering" Target="numbering.xml" Type="http://schemas.openxmlformats.org/officeDocument/2006/relationships/numbering"/><Relationship Id="rIdfontTable" Target="fontTable.xml" Type="http://schemas.openxmlformats.org/officeDocument/2006/relationships/fontTable"/><Relationship Id="rIdsettings" Target="settings.xml" Type="http://schemas.openxmlformats.org/officeDocument/2006/relationships/settings"/><Relationship Id="rIdHdr1" Target="header1.xml" Type="http://schemas.openxmlformats.org/officeDocument/2006/relationships/header"/><Relationship Id="rIdHdr2" Target="header2.xml" Type="http://schemas.openxmlformats.org/officeDocument/2006/relationships/header"/><Relationship Id="rIdHdr3" Target="header3.xml" Type="http://schemas.openxmlformats.org/officeDocument/2006/relationships/header"/><Relationship Id="rIdHdr4" Target="header4.xml" Type="http://schemas.openxmlformats.org/officeDocument/2006/relationships/header"/><Relationship Id="rIdHdr5" Target="header5.xml" Type="http://schemas.openxmlformats.org/officeDocument/2006/relationships/header"/></Relationships>
</file>

<file path=docProps/core.xml><?xml version="1.0" encoding="utf-8"?>
<cp:coreProperties xmlns:cp="http://schemas.openxmlformats.org/package/2006/metadata/core-properties" xmlns:dc="http://purl.org/dc/elements/1.1/" xmlns:dcterms="http://purl.org/dc/terms/" xmlns:xsi="http://www.w3.org/2001/XMLSchema-instance">
  <dc:title>CMA Part 1 · Book 1 · Chapter 9 — answer keys</dc:title>
  <dc:subject>Investments in Debt and Equity Securities</dc:subject>
  <cp:category>Student Book</cp:category>
</cp:coreProperties>
</file>