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12.1 · What makes a liability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discounted · Customer · liabilities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liabilities · declaration · distributable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Amounts owed to suppliers for goods and services · Current tax not yet paid · Customer payments received before delivery · Cash dividends declared, not yet paid</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“Because the time is short, they are not discounted to present value. Customer deposits are contract liabilities, as Chapter 11 showed: they become revenue when Orontes delivers.”</w:t>
      </w:r>
    </w:p>
    <w:p>
      <w:pPr>
        <w:spacing w:after="18"/>
        <w:ind w:left="300" w:hanging="300"/>
      </w:pPr>
      <w:r>
        <w:rPr>
          <w:b/>
          <w:bCs/>
          <w:color w:val="8186EF"/>
          <w:sz w:val="16"/>
          <w:szCs w:val="16"/>
        </w:rPr>
        <w:t xml:space="preserve">2  </w:t>
      </w:r>
      <w:r>
        <w:rPr>
          <w:sz w:val="16"/>
          <w:szCs w:val="16"/>
        </w:rPr>
        <w:t xml:space="preserve">The book writes: “Customer deposits are contract liabilities, as Chapter 11 showed: they become revenue when Orontes delivers. Cash dividends become a liability on the declaration date. A stock dividend distributable is not a liability, because no assets will be paid.”</w:t>
      </w:r>
    </w:p>
    <w:p>
      <w:pPr>
        <w:spacing w:after="18"/>
        <w:ind w:left="300" w:hanging="300"/>
      </w:pPr>
      <w:r>
        <w:rPr>
          <w:b/>
          <w:bCs/>
          <w:color w:val="8186EF"/>
          <w:sz w:val="16"/>
          <w:szCs w:val="16"/>
        </w:rPr>
        <w:t xml:space="preserve">3  </w:t>
      </w:r>
      <w:r>
        <w:rPr>
          <w:sz w:val="16"/>
          <w:szCs w:val="16"/>
        </w:rPr>
        <w:t xml:space="preserve">From the book’s own table “Orontes, December 31, 2025 (Chapter 2)”: The book’s own table “Orontes, December 31, 2025 (Chapter 2)” settles these: for Accounts payable it is Amounts owed to suppliers for goods and services and for Income taxes payable it is Current tax not yet paid and for Contract liabilities it is Customer payments received before delivery and for Dividends payable it is Cash dividends declared, not yet paid.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makes a liability current” as section 12.1.</w:t>
      </w:r>
    </w:p>
    <w:p>
      <w:pPr>
        <w:spacing w:after="18"/>
        <w:ind w:left="300" w:hanging="300"/>
      </w:pPr>
      <w:r>
        <w:rPr>
          <w:b/>
          <w:bCs/>
          <w:color w:val="8186EF"/>
          <w:sz w:val="16"/>
          <w:szCs w:val="16"/>
        </w:rPr>
        <w:t xml:space="preserve">6  </w:t>
      </w:r>
      <w:r>
        <w:rPr>
          <w:sz w:val="16"/>
          <w:szCs w:val="16"/>
        </w:rPr>
        <w:t xml:space="preserve">No assets will be paid for a stock dividend. A is wrong: A declared cash dividend is a liability. C is wrong: Tax collected is owed to the government.</w:t>
      </w:r>
    </w:p>
    <w:p>
      <w:pPr>
        <w:spacing w:after="18"/>
        <w:ind w:left="300" w:hanging="300"/>
      </w:pPr>
      <w:r>
        <w:rPr>
          <w:b/>
          <w:bCs/>
          <w:color w:val="8186EF"/>
          <w:sz w:val="16"/>
          <w:szCs w:val="16"/>
        </w:rPr>
        <w:t xml:space="preserve">7  </w:t>
      </w:r>
      <w:r>
        <w:rPr>
          <w:sz w:val="16"/>
          <w:szCs w:val="16"/>
        </w:rPr>
        <w:t xml:space="preserve">Total = sales × 1.05, so sales = 10,500 ÷ 1.05. A is wrong: Sales tax is not revenue. B is wrong: The 5% applies to sales, not to the total.</w:t>
      </w:r>
    </w:p>
    <w:p>
      <w:pPr>
        <w:spacing w:after="18"/>
        <w:ind w:left="300" w:hanging="300"/>
      </w:pPr>
      <w:r>
        <w:rPr>
          <w:b/>
          <w:bCs/>
          <w:color w:val="8186EF"/>
          <w:sz w:val="16"/>
          <w:szCs w:val="16"/>
        </w:rPr>
        <w:t xml:space="preserve">8  </w:t>
      </w:r>
      <w:r>
        <w:rPr>
          <w:sz w:val="16"/>
          <w:szCs w:val="16"/>
        </w:rPr>
        <w:t xml:space="preserve">The employer holds the amount for the government. A is wrong: The tax is the employees' cost, already included in gross wages. C is wrong: It is not the employer's own tax.</w:t>
      </w:r>
    </w:p>
    <w:p>
      <w:pPr>
        <w:spacing w:after="18"/>
        <w:ind w:left="300" w:hanging="300"/>
      </w:pPr>
      <w:r>
        <w:rPr>
          <w:b/>
          <w:bCs/>
          <w:color w:val="8186EF"/>
          <w:sz w:val="16"/>
          <w:szCs w:val="16"/>
        </w:rPr>
        <w:t xml:space="preserve">9  </w:t>
      </w:r>
      <w:r>
        <w:rPr>
          <w:sz w:val="16"/>
          <w:szCs w:val="16"/>
        </w:rPr>
        <w:t xml:space="preserve">Gross wages plus the employer's social security. A is wrong: This is the amount owed to the authorities. B is wrong: Net pay is only what employees receive.</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rule does not apply to trade payables and accruals in the operating cycle. A is wrong: Bank loans can qualify. B is wrong: Commercial paper can qualify.</w:t>
      </w:r>
    </w:p>
    <w:p>
      <w:pPr>
        <w:spacing w:after="18"/>
        <w:ind w:left="300" w:hanging="300"/>
      </w:pPr>
      <w:r>
        <w:rPr>
          <w:b/>
          <w:bCs/>
          <w:color w:val="8186EF"/>
          <w:sz w:val="16"/>
          <w:szCs w:val="16"/>
        </w:rPr>
        <w:t xml:space="preserve">13  </w:t>
      </w:r>
      <w:r>
        <w:rPr>
          <w:sz w:val="16"/>
          <w:szCs w:val="16"/>
        </w:rPr>
        <w:t xml:space="preserve">Long coverage suggests an extra service. A is wrong: Legal requirements suggest assurance. C is wrong: Repairing existing defects is assurance.</w:t>
      </w:r>
    </w:p>
    <w:p>
      <w:pPr>
        <w:spacing w:after="18"/>
        <w:ind w:left="300" w:hanging="300"/>
      </w:pPr>
      <w:r>
        <w:rPr>
          <w:b/>
          <w:bCs/>
          <w:color w:val="8186EF"/>
          <w:sz w:val="16"/>
          <w:szCs w:val="16"/>
        </w:rPr>
        <w:t xml:space="preserve">14  </w:t>
      </w:r>
      <w:r>
        <w:rPr>
          <w:sz w:val="16"/>
          <w:szCs w:val="16"/>
        </w:rPr>
        <w:t xml:space="preserve">Matching: the cost belongs to the revenue it supports. B is wrong: This is a cash basis. C is wrong: The obligation exists from the sale.</w:t>
      </w:r>
    </w:p>
    <w:p>
      <w:pPr>
        <w:spacing w:after="18"/>
        <w:ind w:left="300" w:hanging="300"/>
      </w:pPr>
      <w:r>
        <w:rPr>
          <w:b/>
          <w:bCs/>
          <w:color w:val="8186EF"/>
          <w:sz w:val="16"/>
          <w:szCs w:val="16"/>
        </w:rPr>
        <w:t xml:space="preserve">15  </w:t>
      </w:r>
      <w:r>
        <w:rPr>
          <w:sz w:val="16"/>
          <w:szCs w:val="16"/>
        </w:rPr>
        <w:t xml:space="preserve">80% of the minimum inventory of $3,125,000. A is wrong: This is the part that stays current. C is wrong: The noncurrent amount is limited to what is available.</w:t>
      </w:r>
    </w:p>
    <w:p>
      <w:pPr>
        <w:spacing w:after="18"/>
        <w:ind w:left="300" w:hanging="300"/>
      </w:pPr>
      <w:r>
        <w:rPr>
          <w:b/>
          <w:bCs/>
          <w:color w:val="8186EF"/>
          <w:sz w:val="16"/>
          <w:szCs w:val="16"/>
        </w:rPr>
        <w:t xml:space="preserve">16  </w:t>
      </w:r>
      <w:r>
        <w:rPr>
          <w:sz w:val="16"/>
          <w:szCs w:val="16"/>
        </w:rPr>
        <w:t xml:space="preserve">Gross wages plus the employer's social security. A is wrong: This is the amount owed to the authorities. B is wrong: Net pay is only what employees receive.</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12.2 · Payroll, taxes collected and compensated absences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liabilities · withholding</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withholding · payroll taxes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collected · customers · government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“Payroll creates several liabilities. The employer deducts withholding, such as income tax and the employees' share of social security, from gross wages.”</w:t>
      </w:r>
    </w:p>
    <w:p>
      <w:pPr>
        <w:spacing w:after="18"/>
        <w:ind w:left="300" w:hanging="300"/>
      </w:pPr>
      <w:r>
        <w:rPr>
          <w:b/>
          <w:bCs/>
          <w:color w:val="8186EF"/>
          <w:sz w:val="16"/>
          <w:szCs w:val="16"/>
        </w:rPr>
        <w:t xml:space="preserve">2  </w:t>
      </w:r>
      <w:r>
        <w:rPr>
          <w:sz w:val="16"/>
          <w:szCs w:val="16"/>
        </w:rPr>
        <w:t xml:space="preserve">The book writes: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w:t>
      </w:r>
    </w:p>
    <w:p>
      <w:pPr>
        <w:spacing w:after="18"/>
        <w:ind w:left="300" w:hanging="300"/>
      </w:pPr>
      <w:r>
        <w:rPr>
          <w:b/>
          <w:bCs/>
          <w:color w:val="8186EF"/>
          <w:sz w:val="16"/>
          <w:szCs w:val="16"/>
        </w:rPr>
        <w:t xml:space="preserve">3  </w:t>
      </w:r>
      <w:r>
        <w:rPr>
          <w:sz w:val="16"/>
          <w:szCs w:val="16"/>
        </w:rPr>
        <w:t xml:space="preserve">The book writes: “Barada's total payroll cost is the gross wages plus its own social security. Sales tax and VAT collected from customers are also owed to the government.”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makes a liability current” as section 12.1.</w:t>
      </w:r>
    </w:p>
    <w:p>
      <w:pPr>
        <w:spacing w:after="18"/>
        <w:ind w:left="300" w:hanging="300"/>
      </w:pPr>
      <w:r>
        <w:rPr>
          <w:b/>
          <w:bCs/>
          <w:color w:val="8186EF"/>
          <w:sz w:val="16"/>
          <w:szCs w:val="16"/>
        </w:rPr>
        <w:t xml:space="preserve">6  </w:t>
      </w:r>
      <w:r>
        <w:rPr>
          <w:sz w:val="16"/>
          <w:szCs w:val="16"/>
        </w:rPr>
        <w:t xml:space="preserve">The employer's own social security: 7% of $40,000. A is wrong: The employer's share is an expense. C is wrong: Income tax withheld belongs to the employees.</w:t>
      </w:r>
    </w:p>
    <w:p>
      <w:pPr>
        <w:spacing w:after="18"/>
        <w:ind w:left="300" w:hanging="300"/>
      </w:pPr>
      <w:r>
        <w:rPr>
          <w:b/>
          <w:bCs/>
          <w:color w:val="8186EF"/>
          <w:sz w:val="16"/>
          <w:szCs w:val="16"/>
        </w:rPr>
        <w:t xml:space="preserve">7  </w:t>
      </w:r>
      <w:r>
        <w:rPr>
          <w:sz w:val="16"/>
          <w:szCs w:val="16"/>
        </w:rPr>
        <w:t xml:space="preserve">Nonvesting, nonaccumulating sick pay need not be accrued. B is wrong: Only rights that vest or accumulate must be accrued. C is wrong: It is not a contingency to disclose.</w:t>
      </w:r>
    </w:p>
    <w:p>
      <w:pPr>
        <w:spacing w:after="18"/>
        <w:ind w:left="300" w:hanging="300"/>
      </w:pPr>
      <w:r>
        <w:rPr>
          <w:b/>
          <w:bCs/>
          <w:color w:val="8186EF"/>
          <w:sz w:val="16"/>
          <w:szCs w:val="16"/>
        </w:rPr>
        <w:t xml:space="preserve">8  </w:t>
      </w:r>
      <w:r>
        <w:rPr>
          <w:sz w:val="16"/>
          <w:szCs w:val="16"/>
        </w:rPr>
        <w:t xml:space="preserve">Long coverage suggests an extra service. A is wrong: Legal requirements suggest assurance. C is wrong: Repairing existing defects is assurance.</w:t>
      </w:r>
    </w:p>
    <w:p>
      <w:pPr>
        <w:spacing w:after="18"/>
        <w:ind w:left="300" w:hanging="300"/>
      </w:pPr>
      <w:r>
        <w:rPr>
          <w:b/>
          <w:bCs/>
          <w:color w:val="8186EF"/>
          <w:sz w:val="16"/>
          <w:szCs w:val="16"/>
        </w:rPr>
        <w:t xml:space="preserve">9  </w:t>
      </w:r>
      <w:r>
        <w:rPr>
          <w:sz w:val="16"/>
          <w:szCs w:val="16"/>
        </w:rPr>
        <w:t xml:space="preserve">Matching: the cost belongs to the revenue it supports. B is wrong: This is a cash basis. C is wrong: The obligation exists from the sale.</w:t>
      </w:r>
    </w:p>
    <w:p>
      <w:pPr>
        <w:spacing w:after="18"/>
        <w:ind w:left="300" w:hanging="300"/>
      </w:pPr>
      <w:r>
        <w:rPr>
          <w:b/>
          <w:bCs/>
          <w:color w:val="8186EF"/>
          <w:sz w:val="16"/>
          <w:szCs w:val="16"/>
        </w:rPr>
        <w:t xml:space="preserve">10  </w:t>
      </w:r>
      <w:r>
        <w:rPr>
          <w:sz w:val="16"/>
          <w:szCs w:val="16"/>
        </w:rPr>
        <w:t xml:space="preserve">IAS 37 uses a lower threshold than the U.S. 'probable'. A is wrong: Virtual certainty is the test for contingent assets. C is wrong: This is a cash basis.</w:t>
      </w:r>
    </w:p>
    <w:p>
      <w:pPr>
        <w:spacing w:after="18"/>
        <w:ind w:left="300" w:hanging="300"/>
      </w:pPr>
      <w:r>
        <w:rPr>
          <w:b/>
          <w:bCs/>
          <w:color w:val="8186EF"/>
          <w:sz w:val="16"/>
          <w:szCs w:val="16"/>
        </w:rPr>
        <w:t xml:space="preserve">11  </w:t>
      </w:r>
      <w:r>
        <w:rPr>
          <w:sz w:val="16"/>
          <w:szCs w:val="16"/>
        </w:rPr>
        <w:t xml:space="preserve">Debt repaid with current assets first stays current. A is wrong: Bonds are a normal way to refinance. B is wrong: U.S. GAAP counts refinancing before issuance.</w:t>
      </w:r>
    </w:p>
    <w:p>
      <w:pPr>
        <w:spacing w:after="18"/>
        <w:ind w:left="300" w:hanging="300"/>
      </w:pPr>
      <w:r>
        <w:rPr>
          <w:b/>
          <w:bCs/>
          <w:color w:val="8186EF"/>
          <w:sz w:val="16"/>
          <w:szCs w:val="16"/>
        </w:rPr>
        <w:t xml:space="preserve">12  </w:t>
      </w:r>
      <w:r>
        <w:rPr>
          <w:sz w:val="16"/>
          <w:szCs w:val="16"/>
        </w:rPr>
        <w:t xml:space="preserve">Debt principal is a financing item. A is wrong: Trade payables arise from operations. C is wrong: Customer deposits arise from operations.</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14  </w:t>
      </w:r>
      <w:r>
        <w:rPr>
          <w:sz w:val="16"/>
          <w:szCs w:val="16"/>
        </w:rPr>
        <w:t xml:space="preserve">The term tables in each section are the book’s own.</w:t>
      </w:r>
    </w:p>
    <w:p>
      <w:pPr>
        <w:spacing w:after="18"/>
        <w:ind w:left="300" w:hanging="300"/>
      </w:pPr>
      <w:r>
        <w:rPr>
          <w:b/>
          <w:bCs/>
          <w:color w:val="8186EF"/>
          <w:sz w:val="16"/>
          <w:szCs w:val="16"/>
        </w:rPr>
        <w:t xml:space="preserve">15  </w:t>
      </w:r>
      <w:r>
        <w:rPr>
          <w:sz w:val="16"/>
          <w:szCs w:val="16"/>
        </w:rPr>
        <w:t xml:space="preserve">Short-term liabilities are measured at the amount to be paid. B is wrong: Long-term liabilities such as bonds are discounted. C is wrong: Trade payables are at the amount owed, not fair value.</w:t>
      </w:r>
    </w:p>
    <w:p>
      <w:pPr>
        <w:spacing w:after="18"/>
        <w:ind w:left="300" w:hanging="300"/>
      </w:pPr>
      <w:r>
        <w:rPr>
          <w:b/>
          <w:bCs/>
          <w:color w:val="8186EF"/>
          <w:sz w:val="16"/>
          <w:szCs w:val="16"/>
        </w:rPr>
        <w:t xml:space="preserve">16  </w:t>
      </w:r>
      <w:r>
        <w:rPr>
          <w:sz w:val="16"/>
          <w:szCs w:val="16"/>
        </w:rPr>
        <w:t xml:space="preserve">It gives only assurance, not an extra service. A is wrong: No extra service is promised. C is wrong: Repairs are probable and estimable, so they are accrued.</w:t>
      </w:r>
    </w:p>
    <w:p>
      <w:pPr>
        <w:spacing w:after="18"/>
        <w:ind w:left="300" w:hanging="300"/>
      </w:pPr>
      <w:r>
        <w:rPr>
          <w:b/>
          <w:bCs/>
          <w:color w:val="8186EF"/>
          <w:sz w:val="16"/>
          <w:szCs w:val="16"/>
        </w:rPr>
        <w:t xml:space="preserve">17  </w:t>
      </w:r>
      <w:r>
        <w:rPr>
          <w:sz w:val="16"/>
          <w:szCs w:val="16"/>
        </w:rPr>
        <w:t xml:space="preserve">Debt principal is a financing item. A is wrong: Trade payables arise from operations. C is wrong: Customer deposits arise from operations.</w:t>
      </w:r>
    </w:p>
    <w:p>
      <w:pPr>
        <w:spacing w:after="18"/>
        <w:ind w:left="300" w:hanging="300"/>
      </w:pPr>
      <w:r>
        <w:rPr>
          <w:b/>
          <w:bCs/>
          <w:color w:val="8186EF"/>
          <w:sz w:val="16"/>
          <w:szCs w:val="16"/>
        </w:rPr>
        <w:t xml:space="preserve">18  </w:t>
      </w:r>
      <w:r>
        <w:rPr>
          <w:sz w:val="16"/>
          <w:szCs w:val="16"/>
        </w:rPr>
        <w:t xml:space="preserve">Debt repaid with current assets first stays current. A is wrong: Bonds are a normal way to refinance. B is wrong: U.S. GAAP counts refinancing before issuance.</w:t>
      </w:r>
    </w:p>
    <w:p>
      <w:pPr>
        <w:spacing w:after="18"/>
        <w:ind w:left="300" w:hanging="300"/>
      </w:pPr>
      <w:r>
        <w:rPr>
          <w:b/>
          <w:bCs/>
          <w:color w:val="8186EF"/>
          <w:sz w:val="16"/>
          <w:szCs w:val="16"/>
        </w:rPr>
        <w:t xml:space="preserve">19  </w:t>
      </w:r>
      <w:r>
        <w:rPr>
          <w:sz w:val="16"/>
          <w:szCs w:val="16"/>
        </w:rPr>
        <w:t xml:space="preserve">The share proceeds demonstrate ability up to that amount. A is wrong: Equity issued to refinance can support noncurrent classification. B is wrong: This is the part that stays current.</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12.3 · Short-term debt expected to be refinanced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statements · short-term · qualifying financing agreement</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noncurrent · refinanced · liabilities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refinanced · noncurrent</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 short-term obligation is normally current. It may be shown as noncurrent only if the company intends to refinance it on a long-term basis and shows that it can. Chapter 2 introduced this rule; here we apply it in detail.</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company shows its ability in one of two ways, before the statements are issued. It can actually refinance: issue long-term debt or shares after the balance sheet date and use the cash for the short-term debt. Or it can sign a qualifying financing agreement.”</w:t>
      </w:r>
    </w:p>
    <w:p>
      <w:pPr>
        <w:spacing w:after="18"/>
        <w:ind w:left="300" w:hanging="300"/>
      </w:pPr>
      <w:r>
        <w:rPr>
          <w:b/>
          <w:bCs/>
          <w:color w:val="8186EF"/>
          <w:sz w:val="16"/>
          <w:szCs w:val="16"/>
        </w:rPr>
        <w:t xml:space="preserve">2  </w:t>
      </w:r>
      <w:r>
        <w:rPr>
          <w:sz w:val="16"/>
          <w:szCs w:val="16"/>
        </w:rPr>
        <w:t xml:space="preserve">The book writes: “The noncurrent amount cannot exceed the amount refinanced or available. Debt repaid with current assets before the new financing is obtained stays current. Refinanced debt moves to noncurrent liabilities, never to equity, even when shares are issued.”</w:t>
      </w:r>
    </w:p>
    <w:p>
      <w:pPr>
        <w:spacing w:after="18"/>
        <w:ind w:left="300" w:hanging="300"/>
      </w:pPr>
      <w:r>
        <w:rPr>
          <w:b/>
          <w:bCs/>
          <w:color w:val="8186EF"/>
          <w:sz w:val="16"/>
          <w:szCs w:val="16"/>
        </w:rPr>
        <w:t xml:space="preserve">3  </w:t>
      </w:r>
      <w:r>
        <w:rPr>
          <w:sz w:val="16"/>
          <w:szCs w:val="16"/>
        </w:rPr>
        <w:t xml:space="preserve">The book writes: “Repaid first, refinanced later: still current. Refinanced with shares: noncurrent liability up to the proceeds, not equity. A 'material adverse change' clause makes the agreement fail.”</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makes a liability current” as section 12.1.</w:t>
      </w:r>
    </w:p>
    <w:p>
      <w:pPr>
        <w:spacing w:after="18"/>
        <w:ind w:left="300" w:hanging="300"/>
      </w:pPr>
      <w:r>
        <w:rPr>
          <w:b/>
          <w:bCs/>
          <w:color w:val="8186EF"/>
          <w:sz w:val="16"/>
          <w:szCs w:val="16"/>
        </w:rPr>
        <w:t xml:space="preserve">6  </w:t>
      </w:r>
      <w:r>
        <w:rPr>
          <w:sz w:val="16"/>
          <w:szCs w:val="16"/>
        </w:rPr>
        <w:t xml:space="preserve">Amounts owed to the state are not breakage; they remain a liability. A is wrong: Breakage is recognized only for amounts the retailer expects to keep. B is wrong: Gift cards are contract liabilities until used.</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11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12.4 · IFRS and covenants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scenarios · commercial paper</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covenants · classification · amendments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Can make the debt noncurrent · Noncurrent if the waiver lasts more than one year · Consider only violations at the balance sheet date</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“In scenarios A, C and D above, an IFRS company would show the whole commercial paper as current. Covenants follow the same logic.”</w:t>
      </w:r>
    </w:p>
    <w:p>
      <w:pPr>
        <w:spacing w:after="18"/>
        <w:ind w:left="300" w:hanging="300"/>
      </w:pPr>
      <w:r>
        <w:rPr>
          <w:b/>
          <w:bCs/>
          <w:color w:val="8186EF"/>
          <w:sz w:val="16"/>
          <w:szCs w:val="16"/>
        </w:rPr>
        <w:t xml:space="preserve">2  </w:t>
      </w:r>
      <w:r>
        <w:rPr>
          <w:sz w:val="16"/>
          <w:szCs w:val="16"/>
        </w:rPr>
        <w:t xml:space="preserve">The book writes: “Under IFRS, only covenants that must be met on or before the reporting date affect classification; future covenants are disclosed. The IAS 1 amendments on classification and covenants apply from January 1, 2024, and are testable now as IFRS contrasts.”</w:t>
      </w:r>
    </w:p>
    <w:p>
      <w:pPr>
        <w:spacing w:after="18"/>
        <w:ind w:left="300" w:hanging="300"/>
      </w:pPr>
      <w:r>
        <w:rPr>
          <w:b/>
          <w:bCs/>
          <w:color w:val="8186EF"/>
          <w:sz w:val="16"/>
          <w:szCs w:val="16"/>
        </w:rPr>
        <w:t xml:space="preserve">3  </w:t>
      </w:r>
      <w:r>
        <w:rPr>
          <w:sz w:val="16"/>
          <w:szCs w:val="16"/>
        </w:rPr>
        <w:t xml:space="preserve">From the book’s own table “Situation”: The book’s own table “Situation” settles these: for Refinancing agreed after the reporting date, before issuance it is Can make the debt noncurrent and for Waiver of a covenant breach received after the reporting date it is Noncurrent if the waiver lasts more than one year and for Covenants tested after the reporting date it is Consider only violations at the balance sheet date.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Refinancing agreed after the reporting date, before issuance with “Can make the debt noncurrent”.</w:t>
      </w:r>
    </w:p>
    <w:p>
      <w:pPr>
        <w:spacing w:after="18"/>
        <w:ind w:left="300" w:hanging="300"/>
      </w:pPr>
      <w:r>
        <w:rPr>
          <w:b/>
          <w:bCs/>
          <w:color w:val="8186EF"/>
          <w:sz w:val="16"/>
          <w:szCs w:val="16"/>
        </w:rPr>
        <w:t xml:space="preserve">6  </w:t>
      </w:r>
      <w:r>
        <w:rPr>
          <w:sz w:val="16"/>
          <w:szCs w:val="16"/>
        </w:rPr>
        <w:t xml:space="preserve">Both intent and demonstrated ability are required. A is wrong: Intent alone is not enough. B is wrong: Ability must be demonstrated by refinancing or a qualifying agreement.</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12.5 · Warranties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warranty liability · service-type warranty</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separately · service-type · dispensers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separately · allowance · warranty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company estimates the repair cost at the time of sale, records warranty expense and a warranty liability, and reduces the liability as repairs are made. A service-type warranty gives the customer an extra service, such as extended cover.”</w:t>
      </w:r>
    </w:p>
    <w:p>
      <w:pPr>
        <w:spacing w:after="18"/>
        <w:ind w:left="300" w:hanging="300"/>
      </w:pPr>
      <w:r>
        <w:rPr>
          <w:b/>
          <w:bCs/>
          <w:color w:val="8186EF"/>
          <w:sz w:val="16"/>
          <w:szCs w:val="16"/>
        </w:rPr>
        <w:t xml:space="preserve">2  </w:t>
      </w:r>
      <w:r>
        <w:rPr>
          <w:sz w:val="16"/>
          <w:szCs w:val="16"/>
        </w:rPr>
        <w:t xml:space="preserve">The book writes: “A warranty that customers can buy separately is always service-type. Suppose Orontes sells 2,000 beverage dispensers in 2026 for $3,000,000, with a one-year assurance warranty. It expects repairs to cost 2% of sales.”</w:t>
      </w:r>
    </w:p>
    <w:p>
      <w:pPr>
        <w:spacing w:after="18"/>
        <w:ind w:left="300" w:hanging="300"/>
      </w:pPr>
      <w:r>
        <w:rPr>
          <w:b/>
          <w:bCs/>
          <w:color w:val="8186EF"/>
          <w:sz w:val="16"/>
          <w:szCs w:val="16"/>
        </w:rPr>
        <w:t xml:space="preserve">3  </w:t>
      </w:r>
      <w:r>
        <w:rPr>
          <w:sz w:val="16"/>
          <w:szCs w:val="16"/>
        </w:rPr>
        <w:t xml:space="preserve">The book writes: “Extended plan sold separately: defer revenue; do not accrue a cost. Expense warranty costs in the year of the sale, not when repairs are paid. Arabic مخصص can mean a U.S. allowance, a liability or an IFRS provision; use warranty liability here.”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makes a liability current” as section 12.1.</w:t>
      </w:r>
    </w:p>
    <w:p>
      <w:pPr>
        <w:spacing w:after="18"/>
        <w:ind w:left="300" w:hanging="300"/>
      </w:pPr>
      <w:r>
        <w:rPr>
          <w:b/>
          <w:bCs/>
          <w:color w:val="8186EF"/>
          <w:sz w:val="16"/>
          <w:szCs w:val="16"/>
        </w:rPr>
        <w:t xml:space="preserve">6  </w:t>
      </w:r>
      <w:r>
        <w:rPr>
          <w:sz w:val="16"/>
          <w:szCs w:val="16"/>
        </w:rPr>
        <w:t xml:space="preserve">A subjective acceleration clause makes the agreement fail. A is wrong: This agreement qualifies. C is wrong: A missed payment is objectively determinable.</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CMA questions use exact terms, and the glossary on the page is what defines them here.</w:t>
      </w:r>
    </w:p>
    <w:p>
      <w:pPr>
        <w:spacing w:after="18"/>
        <w:ind w:left="300" w:hanging="300"/>
      </w:pPr>
      <w:r>
        <w:rPr>
          <w:b/>
          <w:bCs/>
          <w:color w:val="8186EF"/>
          <w:sz w:val="16"/>
          <w:szCs w:val="16"/>
        </w:rPr>
        <w:t xml:space="preserve">11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liabilities · declaration · distributable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noncurrent · refinanced · liabilities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covenants · classification · amendments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12.1: What makes a liability current. 12.2: Payroll, taxes collected and compensated absences. 12.3: Short-term debt expected to be refinanced. 12.4: IFRS and covenants. 12.5: Warranties.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“Customer deposits are contract liabilities, as Chapter 11 showed: they become revenue when Orontes delivers. Cash dividends become a liability on the declaration date. A stock dividend distributable is not a liability, because no assets will be paid.”</w:t>
      </w:r>
    </w:p>
    <w:p>
      <w:pPr>
        <w:spacing w:after="18"/>
        <w:ind w:left="300" w:hanging="300"/>
      </w:pPr>
      <w:r>
        <w:rPr>
          <w:b/>
          <w:bCs/>
          <w:color w:val="8186EF"/>
          <w:sz w:val="16"/>
          <w:szCs w:val="16"/>
        </w:rPr>
        <w:t xml:space="preserve">2  </w:t>
      </w:r>
      <w:r>
        <w:rPr>
          <w:sz w:val="16"/>
          <w:szCs w:val="16"/>
        </w:rPr>
        <w:t xml:space="preserve">The book writes: “The noncurrent amount cannot exceed the amount refinanced or available. Debt repaid with current assets before the new financing is obtained stays current. Refinanced debt moves to noncurrent liabilities, never to equity, even when shares are issued.”</w:t>
      </w:r>
    </w:p>
    <w:p>
      <w:pPr>
        <w:spacing w:after="18"/>
        <w:ind w:left="300" w:hanging="300"/>
      </w:pPr>
      <w:r>
        <w:rPr>
          <w:b/>
          <w:bCs/>
          <w:color w:val="8186EF"/>
          <w:sz w:val="16"/>
          <w:szCs w:val="16"/>
        </w:rPr>
        <w:t xml:space="preserve">3  </w:t>
      </w:r>
      <w:r>
        <w:rPr>
          <w:sz w:val="16"/>
          <w:szCs w:val="16"/>
        </w:rPr>
        <w:t xml:space="preserve">The book writes: “Under IFRS, only covenants that must be met on or before the reporting date affect classification; future covenants are disclosed. The IAS 1 amendments on classification and covenants apply from January 1, 2024, and are testable now as IFRS contrasts.”</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“What makes a liability current” as section 12.1.</w:t>
      </w:r>
    </w:p>
    <w:p>
      <w:pPr>
        <w:spacing w:after="18"/>
        <w:ind w:left="300" w:hanging="300"/>
      </w:pPr>
      <w:r>
        <w:rPr>
          <w:b/>
          <w:bCs/>
          <w:color w:val="8186EF"/>
          <w:sz w:val="16"/>
          <w:szCs w:val="16"/>
        </w:rPr>
        <w:t xml:space="preserve">11  </w:t>
      </w:r>
      <w:r>
        <w:rPr>
          <w:sz w:val="16"/>
          <w:szCs w:val="16"/>
        </w:rPr>
        <w:t xml:space="preserve">A separately sold warranty is a service-type performance obligation. A is wrong: The service has not yet been provided. B is wrong: It is revenue, not a cost reduction.</w:t>
      </w:r>
    </w:p>
    <w:p>
      <w:pPr>
        <w:spacing w:after="18"/>
        <w:ind w:left="300" w:hanging="300"/>
      </w:pPr>
      <w:r>
        <w:rPr>
          <w:b/>
          <w:bCs/>
          <w:color w:val="8186EF"/>
          <w:sz w:val="16"/>
          <w:szCs w:val="16"/>
        </w:rPr>
        <w:t xml:space="preserve">12  </w:t>
      </w:r>
      <w:r>
        <w:rPr>
          <w:sz w:val="16"/>
          <w:szCs w:val="16"/>
        </w:rPr>
        <w:t xml:space="preserve">Accrual of $24,000 minus $9,000 of repairs. A is wrong: Future repairs are still expected. B is wrong: This is the repairs already made.</w:t>
      </w:r>
    </w:p>
    <w:p>
      <w:pPr>
        <w:spacing w:after="18"/>
        <w:ind w:left="300" w:hanging="300"/>
      </w:pPr>
      <w:r>
        <w:rPr>
          <w:b/>
          <w:bCs/>
          <w:color w:val="8186EF"/>
          <w:sz w:val="16"/>
          <w:szCs w:val="16"/>
        </w:rPr>
        <w:t xml:space="preserve">13  </w:t>
      </w:r>
      <w:r>
        <w:rPr>
          <w:sz w:val="16"/>
          <w:szCs w:val="16"/>
        </w:rPr>
        <w:t xml:space="preserve">ASC 606 treats an inseparable combination as a single obligation. B is wrong: The service element cannot be treated only as a cost. C is wrong: The service element must be accounted for.</w:t>
      </w:r>
    </w:p>
    <w:p>
      <w:pPr>
        <w:spacing w:after="18"/>
        <w:ind w:left="300" w:hanging="300"/>
      </w:pPr>
      <w:r>
        <w:rPr>
          <w:b/>
          <w:bCs/>
          <w:color w:val="8186EF"/>
          <w:sz w:val="16"/>
          <w:szCs w:val="16"/>
        </w:rPr>
        <w:t xml:space="preserve">14  </w:t>
      </w:r>
      <w:r>
        <w:rPr>
          <w:sz w:val="16"/>
          <w:szCs w:val="16"/>
        </w:rPr>
        <w:t xml:space="preserve">The share proceeds demonstrate ability up to that amount. A is wrong: Equity issued to refinance can support noncurrent classification. B is wrong: This is the part that stays current.</w:t>
      </w:r>
    </w:p>
    <w:p>
      <w:pPr>
        <w:spacing w:after="18"/>
        <w:ind w:left="300" w:hanging="300"/>
      </w:pPr>
      <w:r>
        <w:rPr>
          <w:b/>
          <w:bCs/>
          <w:color w:val="8186EF"/>
          <w:sz w:val="16"/>
          <w:szCs w:val="16"/>
        </w:rPr>
        <w:t xml:space="preserve">15  </w:t>
      </w:r>
      <w:r>
        <w:rPr>
          <w:sz w:val="16"/>
          <w:szCs w:val="16"/>
        </w:rPr>
        <w:t xml:space="preserve">It gives only assurance, not an extra service. A is wrong: No extra service is promised. C is wrong: Repairs are probable and estimable, so they are accrued.</w:t>
      </w:r>
    </w:p>
    <w:p>
      <w:pPr>
        <w:spacing w:after="18"/>
        <w:ind w:left="300" w:hanging="300"/>
      </w:pPr>
      <w:r>
        <w:rPr>
          <w:b/>
          <w:bCs/>
          <w:color w:val="8186EF"/>
          <w:sz w:val="16"/>
          <w:szCs w:val="16"/>
        </w:rPr>
        <w:t xml:space="preserve">16  </w:t>
      </w:r>
      <w:r>
        <w:rPr>
          <w:sz w:val="16"/>
          <w:szCs w:val="16"/>
        </w:rPr>
        <w:t xml:space="preserve">The refinancing happened after the statements were issued. A is wrong: Ability must be shown before issuance. B is wrong: Nothing supports noncurrent classification at issuance.</w:t>
      </w:r>
    </w:p>
    <w:p>
      <w:pPr>
        <w:spacing w:after="18"/>
        <w:ind w:left="300" w:hanging="300"/>
      </w:pPr>
      <w:r>
        <w:rPr>
          <w:b/>
          <w:bCs/>
          <w:color w:val="8186EF"/>
          <w:sz w:val="16"/>
          <w:szCs w:val="16"/>
        </w:rPr>
        <w:t xml:space="preserve">17  </w:t>
      </w:r>
      <w:r>
        <w:rPr>
          <w:sz w:val="16"/>
          <w:szCs w:val="16"/>
        </w:rPr>
        <w:t xml:space="preserve">Every later answer depends on the adjusted exhibit.</w:t>
      </w:r>
    </w:p>
    <w:p>
      <w:pPr>
        <w:spacing w:after="18"/>
        <w:ind w:left="300" w:hanging="300"/>
      </w:pPr>
      <w:r>
        <w:rPr>
          <w:b/>
          <w:bCs/>
          <w:color w:val="8186EF"/>
          <w:sz w:val="16"/>
          <w:szCs w:val="16"/>
        </w:rPr>
        <w:t xml:space="preserve">24  </w:t>
      </w:r>
      <w:r>
        <w:rPr>
          <w:sz w:val="16"/>
          <w:szCs w:val="16"/>
        </w:rPr>
        <w:t xml:space="preserve">ASC 470 requires this disclosure. B is wrong: Disclosure is required. C is wrong: The disclosure is broader.</w:t>
      </w:r>
    </w:p>
    <w:p>
      <w:pPr>
        <w:spacing w:after="18"/>
        <w:ind w:left="300" w:hanging="300"/>
      </w:pPr>
      <w:r>
        <w:rPr>
          <w:b/>
          <w:bCs/>
          <w:color w:val="8186EF"/>
          <w:sz w:val="16"/>
          <w:szCs w:val="16"/>
        </w:rPr>
        <w:t xml:space="preserve">25  </w:t>
      </w:r>
      <w:r>
        <w:rPr>
          <w:sz w:val="16"/>
          <w:szCs w:val="16"/>
        </w:rPr>
        <w:t xml:space="preserve">Every later answer depends on the adjusted exhibit.</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12 — answer keys</dc:title>
  <dc:subject>Current Liabilities and Warranties</dc:subject>
  <cp:category>Student Book</cp:category>
</cp:coreProperties>
</file>