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13.1 · Why book income and taxable income differ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statements · government · taxable income</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differently · Interperiod tax allocation · transactions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3,958,800 · 989,700 · 889,700 · 839,700</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Financial statements follow U.S. GAAP and are prepared for investors. Tax returns follow tax law and are prepared for the government. The two sets of rules have different goals, so taxable income is usually not the same as income before income taxes.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“Financial statements follow U.S. GAAP and are prepared for investors. Tax returns follow tax law and are prepared for the government. The two sets of rules have different goals, so taxable income is usually not the same as income before income taxes.”</w:t>
      </w:r>
    </w:p>
    <w:p>
      <w:pPr>
        <w:spacing w:after="18"/>
        <w:ind w:left="300" w:hanging="300"/>
      </w:pPr>
      <w:r>
        <w:rPr>
          <w:b/>
          <w:bCs/>
          <w:color w:val="8186EF"/>
          <w:sz w:val="16"/>
          <w:szCs w:val="16"/>
        </w:rPr>
        <w:t xml:space="preserve">2  </w:t>
      </w:r>
      <w:r>
        <w:rPr>
          <w:sz w:val="16"/>
          <w:szCs w:val="16"/>
        </w:rPr>
        <w:t xml:space="preserve">The book writes: “If a company simply reported the tax it paid, its tax expense would jump around when the rules timed items differently. Interperiod tax allocation solves this. The company recognizes the tax effects of transactions in the same periods as the transactions themselves, using deferred taxes.”</w:t>
      </w:r>
    </w:p>
    <w:p>
      <w:pPr>
        <w:spacing w:after="18"/>
        <w:ind w:left="300" w:hanging="300"/>
      </w:pPr>
      <w:r>
        <w:rPr>
          <w:b/>
          <w:bCs/>
          <w:color w:val="8186EF"/>
          <w:sz w:val="16"/>
          <w:szCs w:val="16"/>
        </w:rPr>
        <w:t xml:space="preserve">3  </w:t>
      </w:r>
      <w:r>
        <w:rPr>
          <w:sz w:val="16"/>
          <w:szCs w:val="16"/>
        </w:rPr>
        <w:t xml:space="preserve">From the book’s own table “Orontes Foods Inc., 2025 (whole USD)”: The book’s own table “Orontes Foods Inc., 2025 (whole USD)” settles these: for Income before income taxes it is 3,958,800 and for Income tax expense (25% combined federal and state rate) it is 989,700 and for Current tax expense (taxes on 2025 taxable income) it is 889,700 and for Income taxes paid in cash (Chapter 5) it is 839,700.</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3,958,800 as the amount of Income before income taxes.</w:t>
      </w:r>
    </w:p>
    <w:p>
      <w:pPr>
        <w:spacing w:after="18"/>
        <w:ind w:left="300" w:hanging="300"/>
      </w:pPr>
      <w:r>
        <w:rPr>
          <w:b/>
          <w:bCs/>
          <w:color w:val="8186EF"/>
          <w:sz w:val="16"/>
          <w:szCs w:val="16"/>
        </w:rPr>
        <w:t xml:space="preserve">6  </w:t>
      </w:r>
      <w:r>
        <w:rPr>
          <w:sz w:val="16"/>
          <w:szCs w:val="16"/>
        </w:rPr>
        <w:t xml:space="preserve">Total expense has a current and a deferred part. B is wrong: Cash paid also depends on the timing of payments. C is wrong: That is current tax only.</w:t>
      </w:r>
    </w:p>
    <w:p>
      <w:pPr>
        <w:spacing w:after="18"/>
        <w:ind w:left="300" w:hanging="300"/>
      </w:pPr>
      <w:r>
        <w:rPr>
          <w:b/>
          <w:bCs/>
          <w:color w:val="8186EF"/>
          <w:sz w:val="16"/>
          <w:szCs w:val="16"/>
        </w:rPr>
        <w:t xml:space="preserve">7  </w:t>
      </w:r>
      <w:r>
        <w:rPr>
          <w:sz w:val="16"/>
          <w:szCs w:val="16"/>
        </w:rPr>
        <w:t xml:space="preserve">Permanent differences change taxable income and the expense. B is wrong: This ignores both permanent differences. C is wrong: This subtracts the fine and adds the interest (reversed).</w:t>
      </w:r>
    </w:p>
    <w:p>
      <w:pPr>
        <w:spacing w:after="18"/>
        <w:ind w:left="300" w:hanging="300"/>
      </w:pPr>
      <w:r>
        <w:rPr>
          <w:b/>
          <w:bCs/>
          <w:color w:val="8186EF"/>
          <w:sz w:val="16"/>
          <w:szCs w:val="16"/>
        </w:rPr>
        <w:t xml:space="preserve">8  </w:t>
      </w:r>
      <w:r>
        <w:rPr>
          <w:sz w:val="16"/>
          <w:szCs w:val="16"/>
        </w:rPr>
        <w:t xml:space="preserve">Step 1 of the uncertain tax position model. B is wrong: Certainty is not required. C is wrong: The U.S. test is 'more likely than not'.</w:t>
      </w:r>
    </w:p>
    <w:p>
      <w:pPr>
        <w:spacing w:after="18"/>
        <w:ind w:left="300" w:hanging="300"/>
      </w:pPr>
      <w:r>
        <w:rPr>
          <w:b/>
          <w:bCs/>
          <w:color w:val="8186EF"/>
          <w:sz w:val="16"/>
          <w:szCs w:val="16"/>
        </w:rPr>
        <w:t xml:space="preserve">9  </w:t>
      </w:r>
      <w:r>
        <w:rPr>
          <w:sz w:val="16"/>
          <w:szCs w:val="16"/>
        </w:rPr>
        <w:t xml:space="preserve">Taxes paid = current tax − increase in taxes payable (Chapter 5). A is wrong: Deferred tax is not paid in the current year. C is wrong: The OCI tax effect is noncash.</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16  </w:t>
      </w:r>
      <w:r>
        <w:rPr>
          <w:sz w:val="16"/>
          <w:szCs w:val="16"/>
        </w:rPr>
        <w:t xml:space="preserve">They are in one income but never in the other. A is wrong: Permanent differences never reverse. B is wrong: Permanent differences never reverse.</w:t>
      </w:r>
    </w:p>
    <w:p>
      <w:pPr>
        <w:spacing w:after="18"/>
        <w:ind w:left="300" w:hanging="300"/>
      </w:pPr>
      <w:r>
        <w:rPr>
          <w:b/>
          <w:bCs/>
          <w:color w:val="8186EF"/>
          <w:sz w:val="16"/>
          <w:szCs w:val="16"/>
        </w:rPr>
        <w:t xml:space="preserve">17  </w:t>
      </w:r>
      <w:r>
        <w:rPr>
          <w:sz w:val="16"/>
          <w:szCs w:val="16"/>
        </w:rPr>
        <w:t xml:space="preserve">Recent cumulative losses are strong negative evidence. B is wrong: Profits support realization. C is wrong: Reversing DTLs are a source of taxable income.</w:t>
      </w:r>
    </w:p>
    <w:p>
      <w:pPr>
        <w:spacing w:after="18"/>
        <w:ind w:left="300" w:hanging="300"/>
      </w:pPr>
      <w:r>
        <w:rPr>
          <w:b/>
          <w:bCs/>
          <w:color w:val="8186EF"/>
          <w:sz w:val="16"/>
          <w:szCs w:val="16"/>
        </w:rPr>
        <w:t xml:space="preserve">18  </w:t>
      </w:r>
      <w:r>
        <w:rPr>
          <w:sz w:val="16"/>
          <w:szCs w:val="16"/>
        </w:rPr>
        <w:t xml:space="preserve">Post-2017 federal NOLs have no carryback and an 80% limit. A is wrong: Carrybacks were removed for most companies. C is wrong: The 20-year limit applied to older losses.</w:t>
      </w:r>
    </w:p>
    <w:p>
      <w:pPr>
        <w:spacing w:after="18"/>
        <w:ind w:left="300" w:hanging="300"/>
      </w:pPr>
      <w:r>
        <w:rPr>
          <w:b/>
          <w:bCs/>
          <w:color w:val="8186EF"/>
          <w:sz w:val="16"/>
          <w:szCs w:val="16"/>
        </w:rPr>
        <w:t xml:space="preserve">19  </w:t>
      </w:r>
      <w:r>
        <w:rPr>
          <w:sz w:val="16"/>
          <w:szCs w:val="16"/>
        </w:rPr>
        <w:t xml:space="preserve">IAS 12 recognizes only the probable amount. A is wrong: This is the U.S. GAAP presentation. B is wrong: The probable part is recognized.</w:t>
      </w:r>
    </w:p>
    <w:p>
      <w:pPr>
        <w:spacing w:after="18"/>
        <w:ind w:left="300" w:hanging="300"/>
      </w:pPr>
      <w:r>
        <w:rPr>
          <w:b/>
          <w:bCs/>
          <w:color w:val="8186EF"/>
          <w:sz w:val="16"/>
          <w:szCs w:val="16"/>
        </w:rPr>
        <w:t xml:space="preserve">20  </w:t>
      </w:r>
      <w:r>
        <w:rPr>
          <w:sz w:val="16"/>
          <w:szCs w:val="16"/>
        </w:rPr>
        <w:t xml:space="preserve">Taxes paid = current tax − increase in taxes payable (Chapter 5). A is wrong: Deferred tax is not paid in the current year. C is wrong: The OCI tax effect is noncash.</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13.2 · Temporary and permanent differences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temporary difference · tax basis · taxable temporary difference · taxable income · deductible temporary difference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taxable income · effective tax rate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deferred tax liability · deferred tax asset</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taxable temporary difference · deductible temporary difference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 temporary difference arises when the tax basis of an asset or liability differs from its carrying amount on the balance sheet. It reverses in later years. A taxable temporary difference will increase future taxable income; a deductible temporary difference will reduce it.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6  </w:t>
            </w:r>
            <w:r>
              <w:rPr>
                <w:b/>
                <w:bCs/>
                <w:color w:val="1F7A6A"/>
                <w:sz w:val="16"/>
                <w:szCs w:val="16"/>
              </w:rPr>
              <w:t xml:space="preserve">what the book says</w:t>
            </w:r>
          </w:p>
          <w:p>
            <w:pPr>
              <w:spacing w:after="34"/>
              <w:ind w:left="300"/>
            </w:pPr>
            <w:r>
              <w:rPr>
                <w:sz w:val="17"/>
                <w:szCs w:val="17"/>
              </w:rPr>
              <w:t xml:space="preserve">A taxable temporary difference will increase future taxable income; a deductible temporary difference will reduce it.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temporary difference arises when the tax basis of an asset or liability differs from its carrying amount on the balance sheet. A taxable temporary difference will increase future taxable income; a deductible temporary difference will reduce it.”</w:t>
      </w:r>
    </w:p>
    <w:p>
      <w:pPr>
        <w:spacing w:after="18"/>
        <w:ind w:left="300" w:hanging="300"/>
      </w:pPr>
      <w:r>
        <w:rPr>
          <w:b/>
          <w:bCs/>
          <w:color w:val="8186EF"/>
          <w:sz w:val="16"/>
          <w:szCs w:val="16"/>
        </w:rPr>
        <w:t xml:space="preserve">2  </w:t>
      </w:r>
      <w:r>
        <w:rPr>
          <w:sz w:val="16"/>
          <w:szCs w:val="16"/>
        </w:rPr>
        <w:t xml:space="preserve">The book writes: “The item is in book income but never in taxable income, or the reverse. Tax-exempt municipal bond interest and fines are common examples. Permanent differences create no deferred tax; they only change the effective tax rate.”</w:t>
      </w:r>
    </w:p>
    <w:p>
      <w:pPr>
        <w:spacing w:after="18"/>
        <w:ind w:left="300" w:hanging="300"/>
      </w:pPr>
      <w:r>
        <w:rPr>
          <w:b/>
          <w:bCs/>
          <w:color w:val="8186EF"/>
          <w:sz w:val="16"/>
          <w:szCs w:val="16"/>
        </w:rPr>
        <w:t xml:space="preserve">3  </w:t>
      </w:r>
      <w:r>
        <w:rPr>
          <w:sz w:val="16"/>
          <w:szCs w:val="16"/>
        </w:rPr>
        <w:t xml:space="preserve">The book writes: “Tax depreciation faster than book: less tax now, more later: deferred tax liability. Warranty accrued now, deductible when paid: more tax now, less later: deferred tax asset. Fines and municipal interest: permanent, no deferred tax.”</w:t>
      </w:r>
    </w:p>
    <w:p>
      <w:pPr>
        <w:spacing w:after="18"/>
        <w:ind w:left="300" w:hanging="300"/>
      </w:pPr>
      <w:r>
        <w:rPr>
          <w:b/>
          <w:bCs/>
          <w:color w:val="8186EF"/>
          <w:sz w:val="16"/>
          <w:szCs w:val="16"/>
        </w:rPr>
        <w:t xml:space="preserve">4  </w:t>
      </w:r>
      <w:r>
        <w:rPr>
          <w:sz w:val="16"/>
          <w:szCs w:val="16"/>
        </w:rPr>
        <w:t xml:space="preserve">The book pairs Life insurance premiums when the company is the beneficiary with “Permanent”.</w:t>
      </w:r>
    </w:p>
    <w:p>
      <w:pPr>
        <w:spacing w:after="18"/>
        <w:ind w:left="300" w:hanging="300"/>
      </w:pPr>
      <w:r>
        <w:rPr>
          <w:b/>
          <w:bCs/>
          <w:color w:val="8186EF"/>
          <w:sz w:val="16"/>
          <w:szCs w:val="16"/>
        </w:rPr>
        <w:t xml:space="preserve">5  </w:t>
      </w:r>
      <w:r>
        <w:rPr>
          <w:sz w:val="16"/>
          <w:szCs w:val="16"/>
        </w:rPr>
        <w:t xml:space="preserve">The book’s own table gives Temporary, taxable as the type of difference of Tax depreciation faster than book (bonus, MACRS).</w:t>
      </w:r>
    </w:p>
    <w:p>
      <w:pPr>
        <w:spacing w:after="18"/>
        <w:ind w:left="300" w:hanging="300"/>
      </w:pPr>
      <w:r>
        <w:rPr>
          <w:b/>
          <w:bCs/>
          <w:color w:val="8186EF"/>
          <w:sz w:val="16"/>
          <w:szCs w:val="16"/>
        </w:rPr>
        <w:t xml:space="preserve">7  </w:t>
      </w:r>
      <w:r>
        <w:rPr>
          <w:sz w:val="16"/>
          <w:szCs w:val="16"/>
        </w:rPr>
        <w:t xml:space="preserve">The book gives Deferred tax liability as the creates of Tax depreciation faster than book (bonus, MACRS).</w:t>
      </w:r>
    </w:p>
    <w:p>
      <w:pPr>
        <w:spacing w:after="18"/>
        <w:ind w:left="300" w:hanging="300"/>
      </w:pPr>
      <w:r>
        <w:rPr>
          <w:b/>
          <w:bCs/>
          <w:color w:val="8186EF"/>
          <w:sz w:val="16"/>
          <w:szCs w:val="16"/>
        </w:rPr>
        <w:t xml:space="preserve">8  </w:t>
      </w:r>
      <w:r>
        <w:rPr>
          <w:sz w:val="16"/>
          <w:szCs w:val="16"/>
        </w:rPr>
        <w:t xml:space="preserve">Increase in DTL of $80,000 less increase in DTA of $20,000. B is wrong: This ignores the DTA. C is wrong: This adds the DTA increase.</w:t>
      </w:r>
    </w:p>
    <w:p>
      <w:pPr>
        <w:spacing w:after="18"/>
        <w:ind w:left="300" w:hanging="300"/>
      </w:pPr>
      <w:r>
        <w:rPr>
          <w:b/>
          <w:bCs/>
          <w:color w:val="8186EF"/>
          <w:sz w:val="16"/>
          <w:szCs w:val="16"/>
        </w:rPr>
        <w:t xml:space="preserve">9  </w:t>
      </w:r>
      <w:r>
        <w:rPr>
          <w:sz w:val="16"/>
          <w:szCs w:val="16"/>
        </w:rPr>
        <w:t xml:space="preserve">Post-2017 federal NOLs have no carryback and an 80% limit. A is wrong: Carrybacks were removed for most companies. C is wrong: The 20-year limit applied to older losses.</w:t>
      </w:r>
    </w:p>
    <w:p>
      <w:pPr>
        <w:spacing w:after="18"/>
        <w:ind w:left="300" w:hanging="300"/>
      </w:pPr>
      <w:r>
        <w:rPr>
          <w:b/>
          <w:bCs/>
          <w:color w:val="8186EF"/>
          <w:sz w:val="16"/>
          <w:szCs w:val="16"/>
        </w:rPr>
        <w:t xml:space="preserve">10  </w:t>
      </w:r>
      <w:r>
        <w:rPr>
          <w:sz w:val="16"/>
          <w:szCs w:val="16"/>
        </w:rPr>
        <w:t xml:space="preserve">IAS 12 recognizes only the probable amount. A is wrong: This is the U.S. GAAP presentation. B is wrong: The probable part is recognized.</w:t>
      </w:r>
    </w:p>
    <w:p>
      <w:pPr>
        <w:spacing w:after="18"/>
        <w:ind w:left="300" w:hanging="300"/>
      </w:pPr>
      <w:r>
        <w:rPr>
          <w:b/>
          <w:bCs/>
          <w:color w:val="8186EF"/>
          <w:sz w:val="16"/>
          <w:szCs w:val="16"/>
        </w:rPr>
        <w:t xml:space="preserve">11  </w:t>
      </w:r>
      <w:r>
        <w:rPr>
          <w:sz w:val="16"/>
          <w:szCs w:val="16"/>
        </w:rPr>
        <w:t xml:space="preserve">It is treated like an alternative minimum tax. A is wrong: No deferred taxes are recorded for it. C is wrong: Existing deferred taxes are not remeasured.</w:t>
      </w:r>
    </w:p>
    <w:p>
      <w:pPr>
        <w:spacing w:after="18"/>
        <w:ind w:left="300" w:hanging="300"/>
      </w:pPr>
      <w:r>
        <w:rPr>
          <w:b/>
          <w:bCs/>
          <w:color w:val="8186EF"/>
          <w:sz w:val="16"/>
          <w:szCs w:val="16"/>
        </w:rPr>
        <w:t xml:space="preserve">12  </w:t>
      </w:r>
      <w:r>
        <w:rPr>
          <w:sz w:val="16"/>
          <w:szCs w:val="16"/>
        </w:rPr>
        <w:t xml:space="preserve">Every cycle settles one rule and shows where it comes from.</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book’s own table gives Permanent difference as the category of Municipal bond interest.</w:t>
      </w:r>
    </w:p>
    <w:p>
      <w:pPr>
        <w:spacing w:after="18"/>
        <w:ind w:left="300" w:hanging="300"/>
      </w:pPr>
      <w:r>
        <w:rPr>
          <w:b/>
          <w:bCs/>
          <w:color w:val="8186EF"/>
          <w:sz w:val="16"/>
          <w:szCs w:val="16"/>
        </w:rPr>
        <w:t xml:space="preserve">19  </w:t>
      </w:r>
      <w:r>
        <w:rPr>
          <w:sz w:val="16"/>
          <w:szCs w:val="16"/>
        </w:rPr>
        <w:t xml:space="preserve">The book’s own table gives Permanent difference as the category of Late-filing fine.</w:t>
      </w:r>
    </w:p>
    <w:p>
      <w:pPr>
        <w:spacing w:after="18"/>
        <w:ind w:left="300" w:hanging="300"/>
      </w:pPr>
      <w:r>
        <w:rPr>
          <w:b/>
          <w:bCs/>
          <w:color w:val="8186EF"/>
          <w:sz w:val="16"/>
          <w:szCs w:val="16"/>
        </w:rPr>
        <w:t xml:space="preserve">20  </w:t>
      </w:r>
      <w:r>
        <w:rPr>
          <w:sz w:val="16"/>
          <w:szCs w:val="16"/>
        </w:rPr>
        <w:t xml:space="preserve">The 5% threshold applies to the statutory-rate tax. A is wrong: The threshold is not based on revenue. C is wrong: The threshold is 5% of the statutory tax.</w:t>
      </w:r>
    </w:p>
    <w:p>
      <w:pPr>
        <w:spacing w:after="18"/>
        <w:ind w:left="300" w:hanging="300"/>
      </w:pPr>
      <w:r>
        <w:rPr>
          <w:b/>
          <w:bCs/>
          <w:color w:val="8186EF"/>
          <w:sz w:val="16"/>
          <w:szCs w:val="16"/>
        </w:rPr>
        <w:t xml:space="preserve">21  </w:t>
      </w:r>
      <w:r>
        <w:rPr>
          <w:sz w:val="16"/>
          <w:szCs w:val="16"/>
        </w:rPr>
        <w:t xml:space="preserve">Depreciation creates a DTL; the litigation accrual creates a DTA. B is wrong: Both are permanent differences. C is wrong: Both are deductible differences.</w:t>
      </w:r>
    </w:p>
    <w:p>
      <w:pPr>
        <w:spacing w:after="18"/>
        <w:ind w:left="300" w:hanging="300"/>
      </w:pPr>
      <w:r>
        <w:rPr>
          <w:b/>
          <w:bCs/>
          <w:color w:val="8186EF"/>
          <w:sz w:val="16"/>
          <w:szCs w:val="16"/>
        </w:rPr>
        <w:t xml:space="preserve">22  </w:t>
      </w:r>
      <w:r>
        <w:rPr>
          <w:sz w:val="16"/>
          <w:szCs w:val="16"/>
        </w:rPr>
        <w:t xml:space="preserve">The book’s own table gives Permanent as the type of difference of Life insurance premiums when the company is the beneficiary.</w:t>
      </w:r>
    </w:p>
    <w:p>
      <w:pPr>
        <w:spacing w:after="18"/>
        <w:ind w:left="300" w:hanging="300"/>
      </w:pPr>
      <w:r>
        <w:rPr>
          <w:b/>
          <w:bCs/>
          <w:color w:val="8186EF"/>
          <w:sz w:val="16"/>
          <w:szCs w:val="16"/>
        </w:rPr>
        <w:t xml:space="preserve">23  </w:t>
      </w:r>
      <w:r>
        <w:rPr>
          <w:sz w:val="16"/>
          <w:szCs w:val="16"/>
        </w:rPr>
        <w:t xml:space="preserve">Every item on a Workshop sheet is settled by something printed on the same sheet.</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13.3 · Measuring current and deferred taxes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taxable income · enacted tax rate</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taxable income · enacted tax rate · Deferred tax expense · deferred tax liability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deferred tax liability · deferred tax asset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U.S. GAAP uses the balance sheet approach. Current tax is taxable income times the tax rate. Deferred tax liabilities and assets are the temporary differences times the enacted tax rate that will apply when they reverse. Deferred tax expense is the change in the net deferred tax liability during the year.</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“U.S. GAAP uses the balance sheet approach. Current tax is taxable income times the tax rate. Deferred tax liabilities and assets are the temporary differences times the enacted tax rate that will apply when they reverse.”</w:t>
      </w:r>
    </w:p>
    <w:p>
      <w:pPr>
        <w:spacing w:after="18"/>
        <w:ind w:left="300" w:hanging="300"/>
      </w:pPr>
      <w:r>
        <w:rPr>
          <w:b/>
          <w:bCs/>
          <w:color w:val="8186EF"/>
          <w:sz w:val="16"/>
          <w:szCs w:val="16"/>
        </w:rPr>
        <w:t xml:space="preserve">2  </w:t>
      </w:r>
      <w:r>
        <w:rPr>
          <w:sz w:val="16"/>
          <w:szCs w:val="16"/>
        </w:rPr>
        <w:t xml:space="preserve">The book writes: “Current tax is taxable income times the tax rate. Deferred tax liabilities and assets are the temporary differences times the enacted tax rate that will apply when they reverse. Deferred tax expense is the change in the net deferred tax liability during the year.”</w:t>
      </w:r>
    </w:p>
    <w:p>
      <w:pPr>
        <w:spacing w:after="18"/>
        <w:ind w:left="300" w:hanging="300"/>
      </w:pPr>
      <w:r>
        <w:rPr>
          <w:b/>
          <w:bCs/>
          <w:color w:val="8186EF"/>
          <w:sz w:val="16"/>
          <w:szCs w:val="16"/>
        </w:rPr>
        <w:t xml:space="preserve">3  </w:t>
      </w:r>
      <w:r>
        <w:rPr>
          <w:sz w:val="16"/>
          <w:szCs w:val="16"/>
        </w:rPr>
        <w:t xml:space="preserve">The book writes: “Deferred taxes follow from the same differences. The equipment creates a deferred tax liability of $150,000, and the warranty a deferred tax asset of $9,500.”</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357,000 as the amount of Current tax expense.</w:t>
      </w:r>
    </w:p>
    <w:p>
      <w:pPr>
        <w:spacing w:after="18"/>
        <w:ind w:left="300" w:hanging="300"/>
      </w:pPr>
      <w:r>
        <w:rPr>
          <w:b/>
          <w:bCs/>
          <w:color w:val="8186EF"/>
          <w:sz w:val="16"/>
          <w:szCs w:val="16"/>
        </w:rPr>
        <w:t xml:space="preserve">6  </w:t>
      </w:r>
      <w:r>
        <w:rPr>
          <w:sz w:val="16"/>
          <w:szCs w:val="16"/>
        </w:rPr>
        <w:t xml:space="preserve">The book’s own table gives 24.875% as the % of pretax income of Total income tax expense.</w:t>
      </w:r>
    </w:p>
    <w:p>
      <w:pPr>
        <w:spacing w:after="18"/>
        <w:ind w:left="300" w:hanging="300"/>
      </w:pPr>
      <w:r>
        <w:rPr>
          <w:b/>
          <w:bCs/>
          <w:color w:val="8186EF"/>
          <w:sz w:val="16"/>
          <w:szCs w:val="16"/>
        </w:rPr>
        <w:t xml:space="preserve">7  </w:t>
      </w:r>
      <w:r>
        <w:rPr>
          <w:sz w:val="16"/>
          <w:szCs w:val="16"/>
        </w:rPr>
        <w:t xml:space="preserve">Less tax now means more tax later. A is wrong: A DTA arises when tax is paid earlier, not later. B is wrong: The difference reverses over the asset's life.</w:t>
      </w:r>
    </w:p>
    <w:p>
      <w:pPr>
        <w:spacing w:after="18"/>
        <w:ind w:left="300" w:hanging="300"/>
      </w:pPr>
      <w:r>
        <w:rPr>
          <w:b/>
          <w:bCs/>
          <w:color w:val="8186EF"/>
          <w:sz w:val="16"/>
          <w:szCs w:val="16"/>
        </w:rPr>
        <w:t xml:space="preserve">8  </w:t>
      </w:r>
      <w:r>
        <w:rPr>
          <w:sz w:val="16"/>
          <w:szCs w:val="16"/>
        </w:rPr>
        <w:t xml:space="preserve">The enactment date decides the period. A is wrong: The effective date is not the trigger. C is wrong: The effect is recorded at once, not spread.</w:t>
      </w:r>
    </w:p>
    <w:p>
      <w:pPr>
        <w:spacing w:after="18"/>
        <w:ind w:left="300" w:hanging="300"/>
      </w:pPr>
      <w:r>
        <w:rPr>
          <w:b/>
          <w:bCs/>
          <w:color w:val="8186EF"/>
          <w:sz w:val="16"/>
          <w:szCs w:val="16"/>
        </w:rPr>
        <w:t xml:space="preserve">9  </w:t>
      </w:r>
      <w:r>
        <w:rPr>
          <w:sz w:val="16"/>
          <w:szCs w:val="16"/>
        </w:rPr>
        <w:t xml:space="preserve">It is never taxable, so it never reverses. A is wrong: Depreciation differences reverse over the asset's life. C is wrong: The warranty becomes deductible when paid.</w:t>
      </w:r>
    </w:p>
    <w:p>
      <w:pPr>
        <w:spacing w:after="18"/>
        <w:ind w:left="300" w:hanging="300"/>
      </w:pPr>
      <w:r>
        <w:rPr>
          <w:b/>
          <w:bCs/>
          <w:color w:val="8186EF"/>
          <w:sz w:val="16"/>
          <w:szCs w:val="16"/>
        </w:rPr>
        <w:t xml:space="preserve">10  </w:t>
      </w:r>
      <w:r>
        <w:rPr>
          <w:sz w:val="16"/>
          <w:szCs w:val="16"/>
        </w:rPr>
        <w:t xml:space="preserve">25% of the 400,000 increase in net taxable temporary differences. B is wrong: This is the difference itself, before applying the rate. C is wrong: This is total tax expense.</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book’s own table gives 2,000,000 as the amount of Income before income taxes (book).</w:t>
      </w:r>
    </w:p>
    <w:p>
      <w:pPr>
        <w:spacing w:after="18"/>
        <w:ind w:left="300" w:hanging="300"/>
      </w:pPr>
      <w:r>
        <w:rPr>
          <w:b/>
          <w:bCs/>
          <w:color w:val="8186EF"/>
          <w:sz w:val="16"/>
          <w:szCs w:val="16"/>
        </w:rPr>
        <w:t xml:space="preserve">13  </w:t>
      </w:r>
      <w:r>
        <w:rPr>
          <w:sz w:val="16"/>
          <w:szCs w:val="16"/>
        </w:rPr>
        <w:t xml:space="preserve">The book’s own table gives (20,000) as the amount of Less: tax-exempt municipal interest (permanent).</w:t>
      </w:r>
    </w:p>
    <w:p>
      <w:pPr>
        <w:spacing w:after="18"/>
        <w:ind w:left="300" w:hanging="300"/>
      </w:pPr>
      <w:r>
        <w:rPr>
          <w:b/>
          <w:bCs/>
          <w:color w:val="8186EF"/>
          <w:sz w:val="16"/>
          <w:szCs w:val="16"/>
        </w:rPr>
        <w:t xml:space="preserve">14  </w:t>
      </w:r>
      <w:r>
        <w:rPr>
          <w:sz w:val="16"/>
          <w:szCs w:val="16"/>
        </w:rPr>
        <w:t xml:space="preserve">The book’s own table gives 10,000 as the amount of Add: fine, not deductible (permanent).</w:t>
      </w:r>
    </w:p>
    <w:p>
      <w:pPr>
        <w:spacing w:after="18"/>
        <w:ind w:left="300" w:hanging="300"/>
      </w:pPr>
      <w:r>
        <w:rPr>
          <w:b/>
          <w:bCs/>
          <w:color w:val="8186EF"/>
          <w:sz w:val="16"/>
          <w:szCs w:val="16"/>
        </w:rPr>
        <w:t xml:space="preserve">15  </w:t>
      </w:r>
      <w:r>
        <w:rPr>
          <w:sz w:val="16"/>
          <w:szCs w:val="16"/>
        </w:rPr>
        <w:t xml:space="preserve">U.S. GAAP records the full DTA and a separate allowance. A is wrong: This is the IFRS net approach. B is wrong: An allowance is needed for the part not expected to be realized.</w:t>
      </w:r>
    </w:p>
    <w:p>
      <w:pPr>
        <w:spacing w:after="18"/>
        <w:ind w:left="300" w:hanging="300"/>
      </w:pPr>
      <w:r>
        <w:rPr>
          <w:b/>
          <w:bCs/>
          <w:color w:val="8186EF"/>
          <w:sz w:val="16"/>
          <w:szCs w:val="16"/>
        </w:rPr>
        <w:t xml:space="preserve">16  </w:t>
      </w:r>
      <w:r>
        <w:rPr>
          <w:sz w:val="16"/>
          <w:szCs w:val="16"/>
        </w:rPr>
        <w:t xml:space="preserve">U.S. GAAP uses enacted rates only. A is wrong: Substantively enacted is an IFRS concept. B is wrong: There is no averaging.</w:t>
      </w:r>
    </w:p>
    <w:p>
      <w:pPr>
        <w:spacing w:after="18"/>
        <w:ind w:left="300" w:hanging="300"/>
      </w:pPr>
      <w:r>
        <w:rPr>
          <w:b/>
          <w:bCs/>
          <w:color w:val="8186EF"/>
          <w:sz w:val="16"/>
          <w:szCs w:val="16"/>
        </w:rPr>
        <w:t xml:space="preserve">17  </w:t>
      </w:r>
      <w:r>
        <w:rPr>
          <w:sz w:val="16"/>
          <w:szCs w:val="16"/>
        </w:rPr>
        <w:t xml:space="preserve">Deferred taxes match tax expense to the period of the related income. A is wrong: Cash taxes ignore timing differences. B is wrong: The two incomes still differ; deferred taxes account for it.</w:t>
      </w:r>
    </w:p>
    <w:p>
      <w:pPr>
        <w:spacing w:after="18"/>
        <w:ind w:left="300" w:hanging="300"/>
      </w:pPr>
      <w:r>
        <w:rPr>
          <w:b/>
          <w:bCs/>
          <w:color w:val="8186EF"/>
          <w:sz w:val="16"/>
          <w:szCs w:val="16"/>
        </w:rPr>
        <w:t xml:space="preserve">18  </w:t>
      </w:r>
      <w:r>
        <w:rPr>
          <w:sz w:val="16"/>
          <w:szCs w:val="16"/>
        </w:rPr>
        <w:t xml:space="preserve">25% of the 400,000 increase in net taxable temporary differences. B is wrong: This is the difference itself, before applying the rate. C is wrong: This is total tax expense.</w:t>
      </w:r>
    </w:p>
    <w:p>
      <w:pPr>
        <w:spacing w:after="18"/>
        <w:ind w:left="300" w:hanging="300"/>
      </w:pPr>
      <w:r>
        <w:rPr>
          <w:b/>
          <w:bCs/>
          <w:color w:val="8186EF"/>
          <w:sz w:val="16"/>
          <w:szCs w:val="16"/>
        </w:rPr>
        <w:t xml:space="preserve">19  </w:t>
      </w:r>
      <w:r>
        <w:rPr>
          <w:sz w:val="16"/>
          <w:szCs w:val="16"/>
        </w:rPr>
        <w:t xml:space="preserve">Pretax income adjusted for the permanent and temporary differences. A is wrong: This is the current tax, not taxable income. C is wrong: This ignores the temporary differences.</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13.4 · Rate changes, valuation allowances, losses and presentation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deferred tax asset · taxable income · valuation allowance</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net operating loss carryforward · deferred tax asset · taxable income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uncertain tax position · recognized</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When a new tax law changes the rate, the company remeasures its deferred taxes at once. The whole effect goes to income from continuing operations in the period that includes the enactment date, even if the original item was in OCI. For example, a U.S. tax law signed on July 4, 2025 changed several deduction rules; companies recorded the effects in the quart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deferred tax asset · taxable income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6  </w:t>
            </w:r>
            <w:r>
              <w:rPr>
                <w:b/>
                <w:bCs/>
                <w:color w:val="1F7A6A"/>
                <w:sz w:val="16"/>
                <w:szCs w:val="16"/>
              </w:rPr>
              <w:t xml:space="preserve">what the book says</w:t>
            </w:r>
          </w:p>
          <w:p>
            <w:pPr>
              <w:spacing w:after="34"/>
              <w:ind w:left="300"/>
            </w:pPr>
            <w:r>
              <w:rPr>
                <w:sz w:val="17"/>
                <w:szCs w:val="17"/>
              </w:rPr>
              <w:t xml:space="preserve">A deferred tax asset is useful only if the company will have enough taxable income to use it.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deferred tax asset is useful only if the company will have enough taxable income to use it. If it is more likely than not that some of the asset will not be realized, the company records a valuation allowance.”</w:t>
      </w:r>
    </w:p>
    <w:p>
      <w:pPr>
        <w:spacing w:after="18"/>
        <w:ind w:left="300" w:hanging="300"/>
      </w:pPr>
      <w:r>
        <w:rPr>
          <w:b/>
          <w:bCs/>
          <w:color w:val="8186EF"/>
          <w:sz w:val="16"/>
          <w:szCs w:val="16"/>
        </w:rPr>
        <w:t xml:space="preserve">2  </w:t>
      </w:r>
      <w:r>
        <w:rPr>
          <w:sz w:val="16"/>
          <w:szCs w:val="16"/>
        </w:rPr>
        <w:t xml:space="preserve">The book writes: “A tax loss creates a net operating loss carryforward, which is a deferred tax asset. Under current U.S. federal law, most losses cannot be carried back. They can be carried forward without a time limit, but they can reduce only 80% of taxable income in any year.”</w:t>
      </w:r>
    </w:p>
    <w:p>
      <w:pPr>
        <w:spacing w:after="18"/>
        <w:ind w:left="300" w:hanging="300"/>
      </w:pPr>
      <w:r>
        <w:rPr>
          <w:b/>
          <w:bCs/>
          <w:color w:val="8186EF"/>
          <w:sz w:val="16"/>
          <w:szCs w:val="16"/>
        </w:rPr>
        <w:t xml:space="preserve">3  </w:t>
      </w:r>
      <w:r>
        <w:rPr>
          <w:sz w:val="16"/>
          <w:szCs w:val="16"/>
        </w:rPr>
        <w:t xml:space="preserve">The book writes: “An uncertain tax position is recognized only if it is more likely than not to be accepted by the tax authority. The global minimum tax (Pillar Two) is treated as a current cost in the year it arises, with no deferred taxes.”</w:t>
      </w:r>
    </w:p>
    <w:p>
      <w:pPr>
        <w:spacing w:after="18"/>
        <w:ind w:left="300" w:hanging="300"/>
      </w:pPr>
      <w:r>
        <w:rPr>
          <w:b/>
          <w:bCs/>
          <w:color w:val="8186EF"/>
          <w:sz w:val="16"/>
          <w:szCs w:val="16"/>
        </w:rPr>
        <w:t xml:space="preserve">4  </w:t>
      </w:r>
      <w:r>
        <w:rPr>
          <w:sz w:val="16"/>
          <w:szCs w:val="16"/>
        </w:rPr>
        <w:t xml:space="preserve">The book pairs Equity-method income, taxed only when dividends are received with “________”.</w:t>
      </w:r>
    </w:p>
    <w:p>
      <w:pPr>
        <w:spacing w:after="18"/>
        <w:ind w:left="300" w:hanging="300"/>
      </w:pPr>
      <w:r>
        <w:rPr>
          <w:b/>
          <w:bCs/>
          <w:color w:val="8186EF"/>
          <w:sz w:val="16"/>
          <w:szCs w:val="16"/>
        </w:rPr>
        <w:t xml:space="preserve">5  </w:t>
      </w:r>
      <w:r>
        <w:rPr>
          <w:sz w:val="16"/>
          <w:szCs w:val="16"/>
        </w:rPr>
        <w:t xml:space="preserve">The book’s own table gives Permanent as the type of Tax-exempt municipal bond interest.</w:t>
      </w:r>
    </w:p>
    <w:p>
      <w:pPr>
        <w:spacing w:after="18"/>
        <w:ind w:left="300" w:hanging="300"/>
      </w:pPr>
      <w:r>
        <w:rPr>
          <w:b/>
          <w:bCs/>
          <w:color w:val="8186EF"/>
          <w:sz w:val="16"/>
          <w:szCs w:val="16"/>
        </w:rPr>
        <w:t xml:space="preserve">7  </w:t>
      </w:r>
      <w:r>
        <w:rPr>
          <w:sz w:val="16"/>
          <w:szCs w:val="16"/>
        </w:rPr>
        <w:t xml:space="preserve">The book gives None as the creates of Tax-exempt municipal bond interest.</w:t>
      </w:r>
    </w:p>
    <w:p>
      <w:pPr>
        <w:spacing w:after="18"/>
        <w:ind w:left="300" w:hanging="300"/>
      </w:pPr>
      <w:r>
        <w:rPr>
          <w:b/>
          <w:bCs/>
          <w:color w:val="8186EF"/>
          <w:sz w:val="16"/>
          <w:szCs w:val="16"/>
        </w:rPr>
        <w:t xml:space="preserve">8  </w:t>
      </w:r>
      <w:r>
        <w:rPr>
          <w:sz w:val="16"/>
          <w:szCs w:val="16"/>
        </w:rPr>
        <w:t xml:space="preserve">Intraperiod allocation keeps tax with the item that caused it. B is wrong: The temporary difference has a tax effect. C is wrong: The loss is not in taxable income now.</w:t>
      </w:r>
    </w:p>
    <w:p>
      <w:pPr>
        <w:spacing w:after="18"/>
        <w:ind w:left="300" w:hanging="300"/>
      </w:pPr>
      <w:r>
        <w:rPr>
          <w:b/>
          <w:bCs/>
          <w:color w:val="8186EF"/>
          <w:sz w:val="16"/>
          <w:szCs w:val="16"/>
        </w:rPr>
        <w:t xml:space="preserve">9  </w:t>
      </w:r>
      <w:r>
        <w:rPr>
          <w:sz w:val="16"/>
          <w:szCs w:val="16"/>
        </w:rPr>
        <w:t xml:space="preserve">Every cycle settles one rule and shows where it comes from.</w:t>
      </w:r>
    </w:p>
    <w:p>
      <w:pPr>
        <w:spacing w:after="18"/>
        <w:ind w:left="300" w:hanging="300"/>
      </w:pPr>
      <w:r>
        <w:rPr>
          <w:b/>
          <w:bCs/>
          <w:color w:val="8186EF"/>
          <w:sz w:val="16"/>
          <w:szCs w:val="16"/>
        </w:rPr>
        <w:t xml:space="preserve">10  </w:t>
      </w:r>
      <w:r>
        <w:rPr>
          <w:sz w:val="16"/>
          <w:szCs w:val="16"/>
        </w:rPr>
        <w:t xml:space="preserve">CMA questions use exact terms, and one word can change the answer.</w:t>
      </w:r>
    </w:p>
    <w:p>
      <w:pPr>
        <w:spacing w:after="18"/>
        <w:ind w:left="300" w:hanging="300"/>
      </w:pPr>
      <w:r>
        <w:rPr>
          <w:b/>
          <w:bCs/>
          <w:color w:val="8186EF"/>
          <w:sz w:val="16"/>
          <w:szCs w:val="16"/>
        </w:rPr>
        <w:t xml:space="preserve">11  </w:t>
      </w:r>
      <w:r>
        <w:rPr>
          <w:sz w:val="16"/>
          <w:szCs w:val="16"/>
        </w:rPr>
        <w:t xml:space="preserve">The term tables in each section are the book’s own.</w:t>
      </w:r>
    </w:p>
    <w:p>
      <w:pPr>
        <w:spacing w:after="18"/>
        <w:ind w:left="300" w:hanging="300"/>
      </w:pPr>
      <w:r>
        <w:rPr>
          <w:b/>
          <w:bCs/>
          <w:color w:val="8186EF"/>
          <w:sz w:val="16"/>
          <w:szCs w:val="16"/>
        </w:rPr>
        <w:t xml:space="preserve">12  </w:t>
      </w:r>
      <w:r>
        <w:rPr>
          <w:sz w:val="16"/>
          <w:szCs w:val="16"/>
        </w:rPr>
        <w:t xml:space="preserve">The book’s own table gives ________ as the type of Equity-method income, taxed only when dividends are received.</w:t>
      </w:r>
    </w:p>
    <w:p>
      <w:pPr>
        <w:spacing w:after="18"/>
        <w:ind w:left="300" w:hanging="300"/>
      </w:pPr>
      <w:r>
        <w:rPr>
          <w:b/>
          <w:bCs/>
          <w:color w:val="8186EF"/>
          <w:sz w:val="16"/>
          <w:szCs w:val="16"/>
        </w:rPr>
        <w:t xml:space="preserve">17  </w:t>
      </w:r>
      <w:r>
        <w:rPr>
          <w:sz w:val="16"/>
          <w:szCs w:val="16"/>
        </w:rPr>
        <w:t xml:space="preserve">Every item on a Workshop sheet is settled by something printed on the same sheet.</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13.5 · IFRS differences and disclosures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deferred tax asset · valuation allowance</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valuation allowance · contra-asset · substantively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400,000 · 12,000 · 6,000</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IAS 12 uses the same balance sheet approach, but Figure F13-10 shows important differences. The biggest one for the exam is the deferred tax asset: IFRS recognizes only the amount it is probable to use, while U.S. GAAP records the full asset and a separate valuation allowance.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biggest one for the exam is the deferred tax asset: IFRS recognizes only the amount it is probable to use, while U.S. GAAP records the full asset and a separate valuation allowance. ASU 2023-09 is testable now for public companies.”</w:t>
      </w:r>
    </w:p>
    <w:p>
      <w:pPr>
        <w:spacing w:after="18"/>
        <w:ind w:left="300" w:hanging="300"/>
      </w:pPr>
      <w:r>
        <w:rPr>
          <w:b/>
          <w:bCs/>
          <w:color w:val="8186EF"/>
          <w:sz w:val="16"/>
          <w:szCs w:val="16"/>
        </w:rPr>
        <w:t xml:space="preserve">2  </w:t>
      </w:r>
      <w:r>
        <w:rPr>
          <w:sz w:val="16"/>
          <w:szCs w:val="16"/>
        </w:rPr>
        <w:t xml:space="preserve">The book writes: “U.S. companies often call income tax expense the provision for income taxes. It is an expense, not an IAS 37 provision (مخصص) and not a reserve. Arabic مخصص التقييم, the valuation allowance, is a contra-asset, not a liability. Under IFRS it is substantively enacted.”</w:t>
      </w:r>
    </w:p>
    <w:p>
      <w:pPr>
        <w:spacing w:after="18"/>
        <w:ind w:left="300" w:hanging="300"/>
      </w:pPr>
      <w:r>
        <w:rPr>
          <w:b/>
          <w:bCs/>
          <w:color w:val="8186EF"/>
          <w:sz w:val="16"/>
          <w:szCs w:val="16"/>
        </w:rPr>
        <w:t xml:space="preserve">3  </w:t>
      </w:r>
      <w:r>
        <w:rPr>
          <w:sz w:val="16"/>
          <w:szCs w:val="16"/>
        </w:rPr>
        <w:t xml:space="preserve">From the book’s own table “Barada Wholesale, 2027 (whole USD)”: The book’s own table “Barada Wholesale, 2027 (whole USD)” settles these: for Income before income taxes, 2027 it is 400,000 and for Tax-exempt municipal bond interest included in income it is 12,000 and for Fine for a late customs filing (not deductible) it is 6,000.</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“Why book income and taxable income differ” as section 13.1.</w:t>
      </w:r>
    </w:p>
    <w:p>
      <w:pPr>
        <w:spacing w:after="18"/>
        <w:ind w:left="300" w:hanging="300"/>
      </w:pPr>
      <w:r>
        <w:rPr>
          <w:b/>
          <w:bCs/>
          <w:color w:val="8186EF"/>
          <w:sz w:val="16"/>
          <w:szCs w:val="16"/>
        </w:rPr>
        <w:t xml:space="preserve">6  </w:t>
      </w:r>
      <w:r>
        <w:rPr>
          <w:sz w:val="16"/>
          <w:szCs w:val="16"/>
        </w:rPr>
        <w:t xml:space="preserve">It reverses when the repairs are paid. A is wrong: Fines are never deductible. B is wrong: Municipal interest is never taxable.</w:t>
      </w:r>
    </w:p>
    <w:p>
      <w:pPr>
        <w:spacing w:after="18"/>
        <w:ind w:left="300" w:hanging="300"/>
      </w:pPr>
      <w:r>
        <w:rPr>
          <w:b/>
          <w:bCs/>
          <w:color w:val="8186EF"/>
          <w:sz w:val="16"/>
          <w:szCs w:val="16"/>
        </w:rPr>
        <w:t xml:space="preserve">7  </w:t>
      </w:r>
      <w:r>
        <w:rPr>
          <w:sz w:val="16"/>
          <w:szCs w:val="16"/>
        </w:rPr>
        <w:t xml:space="preserve">Every cycle settles one rule and shows where it comes from.</w:t>
      </w:r>
    </w:p>
    <w:p>
      <w:pPr>
        <w:spacing w:after="18"/>
        <w:ind w:left="300" w:hanging="300"/>
      </w:pPr>
      <w:r>
        <w:rPr>
          <w:b/>
          <w:bCs/>
          <w:color w:val="8186EF"/>
          <w:sz w:val="16"/>
          <w:szCs w:val="16"/>
        </w:rPr>
        <w:t xml:space="preserve">8  </w:t>
      </w:r>
      <w:r>
        <w:rPr>
          <w:sz w:val="16"/>
          <w:szCs w:val="16"/>
        </w:rPr>
        <w:t xml:space="preserve">CMA questions use exact terms, and one word can change the answer.</w:t>
      </w:r>
    </w:p>
    <w:p>
      <w:pPr>
        <w:spacing w:after="18"/>
        <w:ind w:left="300" w:hanging="300"/>
      </w:pPr>
      <w:r>
        <w:rPr>
          <w:b/>
          <w:bCs/>
          <w:color w:val="8186EF"/>
          <w:sz w:val="16"/>
          <w:szCs w:val="16"/>
        </w:rPr>
        <w:t xml:space="preserve">9  </w:t>
      </w:r>
      <w:r>
        <w:rPr>
          <w:sz w:val="16"/>
          <w:szCs w:val="16"/>
        </w:rPr>
        <w:t xml:space="preserve">The book’s own table pairs Recognizing deferred tax assets with “Record the full DTA, then a valuation allowance if realization is not more likely than not”.</w:t>
      </w:r>
    </w:p>
    <w:p>
      <w:pPr>
        <w:spacing w:after="18"/>
        <w:ind w:left="300" w:hanging="300"/>
      </w:pPr>
      <w:r>
        <w:rPr>
          <w:b/>
          <w:bCs/>
          <w:color w:val="8186EF"/>
          <w:sz w:val="16"/>
          <w:szCs w:val="16"/>
        </w:rPr>
        <w:t xml:space="preserve">15  </w:t>
      </w:r>
      <w:r>
        <w:rPr>
          <w:sz w:val="16"/>
          <w:szCs w:val="16"/>
        </w:rPr>
        <w:t xml:space="preserve">Every item on a Workshop sheet is settled by something printed on the same sheet.</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13.6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temporary difference · tax basis · taxable temporary difference · taxable income · deductible temporary difference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deferred tax asset · taxable income · valuation allowance · net operating loss carryforward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F</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valuation allowance · contra-asset · substantively</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13.1: Why book income and taxable income differ. 13.2: Temporary and permanent differences. 13.3: Measuring current and deferred taxes. 13.4: Rate changes, valuation allowances, losses and presentation. 13.5: IFRS differences and disclosures.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E</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temporary difference arises when the tax basis of an asset or liability differs from its carrying amount on the balance sheet. A taxable temporary difference will increase future taxable income; a deductible temporary difference will reduce it.”</w:t>
      </w:r>
    </w:p>
    <w:p>
      <w:pPr>
        <w:spacing w:after="18"/>
        <w:ind w:left="300" w:hanging="300"/>
      </w:pPr>
      <w:r>
        <w:rPr>
          <w:b/>
          <w:bCs/>
          <w:color w:val="8186EF"/>
          <w:sz w:val="16"/>
          <w:szCs w:val="16"/>
        </w:rPr>
        <w:t xml:space="preserve">2  </w:t>
      </w:r>
      <w:r>
        <w:rPr>
          <w:sz w:val="16"/>
          <w:szCs w:val="16"/>
        </w:rPr>
        <w:t xml:space="preserve">The book writes: “A deferred tax asset is useful only if the company will have enough taxable income to use it. If it is more likely than not that some of the asset will not be realized, the company records a valuation allowance. A tax loss creates a net operating loss carryforward, which is a deferred tax asset.”</w:t>
      </w:r>
    </w:p>
    <w:p>
      <w:pPr>
        <w:spacing w:after="18"/>
        <w:ind w:left="300" w:hanging="300"/>
      </w:pPr>
      <w:r>
        <w:rPr>
          <w:b/>
          <w:bCs/>
          <w:color w:val="8186EF"/>
          <w:sz w:val="16"/>
          <w:szCs w:val="16"/>
        </w:rPr>
        <w:t xml:space="preserve">3  </w:t>
      </w:r>
      <w:r>
        <w:rPr>
          <w:sz w:val="16"/>
          <w:szCs w:val="16"/>
        </w:rPr>
        <w:t xml:space="preserve">The book writes: “U.S. companies often call income tax expense the provision for income taxes. It is an expense, not an IAS 37 provision (مخصص) and not a reserve. Arabic مخصص التقييم, the valuation allowance, is a contra-asset, not a liability. Under IFRS it is substantively enacted.”</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“Why book income and taxable income differ” as section 13.1.</w:t>
      </w:r>
    </w:p>
    <w:p>
      <w:pPr>
        <w:spacing w:after="18"/>
        <w:ind w:left="300" w:hanging="300"/>
      </w:pPr>
      <w:r>
        <w:rPr>
          <w:b/>
          <w:bCs/>
          <w:color w:val="8186EF"/>
          <w:sz w:val="16"/>
          <w:szCs w:val="16"/>
        </w:rPr>
        <w:t xml:space="preserve">11  </w:t>
      </w:r>
      <w:r>
        <w:rPr>
          <w:sz w:val="16"/>
          <w:szCs w:val="16"/>
        </w:rPr>
        <w:t xml:space="preserve">Difference of $800,000 × 21%. A is wrong: This is only the 21% rate applied to the old DTL. C is wrong: The enacted rate at reversal must be used.</w:t>
      </w:r>
    </w:p>
    <w:p>
      <w:pPr>
        <w:spacing w:after="18"/>
        <w:ind w:left="300" w:hanging="300"/>
      </w:pPr>
      <w:r>
        <w:rPr>
          <w:b/>
          <w:bCs/>
          <w:color w:val="8186EF"/>
          <w:sz w:val="16"/>
          <w:szCs w:val="16"/>
        </w:rPr>
        <w:t xml:space="preserve">12  </w:t>
      </w:r>
      <w:r>
        <w:rPr>
          <w:sz w:val="16"/>
          <w:szCs w:val="16"/>
        </w:rPr>
        <w:t xml:space="preserve">Pretax income adjusted for the permanent and temporary differences. A is wrong: This is the current tax, not taxable income. C is wrong: This ignores the temporary differences.</w:t>
      </w:r>
    </w:p>
    <w:p>
      <w:pPr>
        <w:spacing w:after="18"/>
        <w:ind w:left="300" w:hanging="300"/>
      </w:pPr>
      <w:r>
        <w:rPr>
          <w:b/>
          <w:bCs/>
          <w:color w:val="8186EF"/>
          <w:sz w:val="16"/>
          <w:szCs w:val="16"/>
        </w:rPr>
        <w:t xml:space="preserve">13  </w:t>
      </w:r>
      <w:r>
        <w:rPr>
          <w:sz w:val="16"/>
          <w:szCs w:val="16"/>
        </w:rPr>
        <w:t xml:space="preserve">U.S. GAAP records the full DTA and a separate allowance. A is wrong: This is the IFRS net approach. B is wrong: An allowance is needed for the part not expected to be realized.</w:t>
      </w:r>
    </w:p>
    <w:p>
      <w:pPr>
        <w:spacing w:after="18"/>
        <w:ind w:left="300" w:hanging="300"/>
      </w:pPr>
      <w:r>
        <w:rPr>
          <w:b/>
          <w:bCs/>
          <w:color w:val="8186EF"/>
          <w:sz w:val="16"/>
          <w:szCs w:val="16"/>
        </w:rPr>
        <w:t xml:space="preserve">14  </w:t>
      </w:r>
      <w:r>
        <w:rPr>
          <w:sz w:val="16"/>
          <w:szCs w:val="16"/>
        </w:rPr>
        <w:t xml:space="preserve">U.S. GAAP uses enacted rates only. A is wrong: Substantively enacted is an IFRS concept. B is wrong: There is no averaging.</w:t>
      </w:r>
    </w:p>
    <w:p>
      <w:pPr>
        <w:spacing w:after="18"/>
        <w:ind w:left="300" w:hanging="300"/>
      </w:pPr>
      <w:r>
        <w:rPr>
          <w:b/>
          <w:bCs/>
          <w:color w:val="8186EF"/>
          <w:sz w:val="16"/>
          <w:szCs w:val="16"/>
        </w:rPr>
        <w:t xml:space="preserve">15  </w:t>
      </w:r>
      <w:r>
        <w:rPr>
          <w:sz w:val="16"/>
          <w:szCs w:val="16"/>
        </w:rPr>
        <w:t xml:space="preserve">Tax is paid now on income recognized later, so future tax will be lower. A is wrong: The direction is reversed. B is wrong: The difference reverses next year.</w:t>
      </w:r>
    </w:p>
    <w:p>
      <w:pPr>
        <w:spacing w:after="18"/>
        <w:ind w:left="300" w:hanging="300"/>
      </w:pPr>
      <w:r>
        <w:rPr>
          <w:b/>
          <w:bCs/>
          <w:color w:val="8186EF"/>
          <w:sz w:val="16"/>
          <w:szCs w:val="16"/>
        </w:rPr>
        <w:t xml:space="preserve">16  </w:t>
      </w:r>
      <w:r>
        <w:rPr>
          <w:sz w:val="16"/>
          <w:szCs w:val="16"/>
        </w:rPr>
        <w:t xml:space="preserve">Every later answer depends on the adjusted exhibit.</w:t>
      </w:r>
    </w:p>
    <w:p>
      <w:pPr>
        <w:spacing w:after="18"/>
        <w:ind w:left="300" w:hanging="300"/>
      </w:pPr>
      <w:r>
        <w:rPr>
          <w:b/>
          <w:bCs/>
          <w:color w:val="8186EF"/>
          <w:sz w:val="16"/>
          <w:szCs w:val="16"/>
        </w:rPr>
        <w:t xml:space="preserve">23  </w:t>
      </w:r>
      <w:r>
        <w:rPr>
          <w:sz w:val="16"/>
          <w:szCs w:val="16"/>
        </w:rPr>
        <w:t xml:space="preserve">Tax will be paid later, as cash is collected. A is wrong: Future taxable income will increase, not fall. C is wrong: The income will be taxed eventually.</w:t>
      </w:r>
    </w:p>
    <w:p>
      <w:pPr>
        <w:spacing w:after="18"/>
        <w:ind w:left="300" w:hanging="300"/>
      </w:pPr>
      <w:r>
        <w:rPr>
          <w:b/>
          <w:bCs/>
          <w:color w:val="8186EF"/>
          <w:sz w:val="16"/>
          <w:szCs w:val="16"/>
        </w:rPr>
        <w:t xml:space="preserve">24  </w:t>
      </w:r>
      <w:r>
        <w:rPr>
          <w:sz w:val="16"/>
          <w:szCs w:val="16"/>
        </w:rPr>
        <w:t xml:space="preserve">Every later answer depends on the adjusted exhibit.</w:t>
      </w:r>
    </w:p>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13.6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13 — answer keys</dc:title>
  <dc:subject>Income Taxes</dc:subject>
  <cp:category>Student Book</cp:category>
</cp:coreProperties>
</file>