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16.1 · What consolidated statements 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controlling financial interest · subsidiary · parent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subsidiary · parent · noncontrolling interest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parent · noncontrolling interest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Consolidated financial statements present a parent and its subsidiaries as a single economic entity. They are prepared mainly for the parent's shareholders and creditors, who need to see all the resources the group controls and all its obligations.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consolidates another entity when it has a controlling financial interest in it. Consolidation adds all of the subsidiary's assets, liabilities, revenues and expenses to the parent's, line by line, even when the parent owns less than all of its shares.”</w:t>
      </w:r>
    </w:p>
    <w:p>
      <w:pPr>
        <w:spacing w:after="18"/>
        <w:ind w:left="300" w:hanging="300"/>
      </w:pPr>
      <w:r>
        <w:rPr>
          <w:b/>
          <w:bCs/>
          <w:color w:val="8186EF"/>
          <w:sz w:val="16"/>
          <w:szCs w:val="16"/>
        </w:rPr>
        <w:t xml:space="preserve">2  </w:t>
      </w:r>
      <w:r>
        <w:rPr>
          <w:sz w:val="16"/>
          <w:szCs w:val="16"/>
        </w:rPr>
        <w:t xml:space="preserve">The book writes: “The part of a subsidiary's equity that the parent does not own is the noncontrolling interest (NCI). It is shown within consolidated equity, separately from the parent's equity.”</w:t>
      </w:r>
    </w:p>
    <w:p>
      <w:pPr>
        <w:spacing w:after="18"/>
        <w:ind w:left="300" w:hanging="300"/>
      </w:pPr>
      <w:r>
        <w:rPr>
          <w:b/>
          <w:bCs/>
          <w:color w:val="8186EF"/>
          <w:sz w:val="16"/>
          <w:szCs w:val="16"/>
        </w:rPr>
        <w:t xml:space="preserve">3  </w:t>
      </w:r>
      <w:r>
        <w:rPr>
          <w:sz w:val="16"/>
          <w:szCs w:val="16"/>
        </w:rPr>
        <w:t xml:space="preserve">The book writes: “Net income and comprehensive income are split between the parent and NCI on the face of the statements. These older terms still appear in many MENA and French texts. The exam uses noncontrolling interest (الحصص غير المسيطرة, participations ne donnant pas le contrôle).”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consolidated statements are” as section 16.1.</w:t>
      </w:r>
    </w:p>
    <w:p>
      <w:pPr>
        <w:spacing w:after="18"/>
        <w:ind w:left="300" w:hanging="300"/>
      </w:pPr>
      <w:r>
        <w:rPr>
          <w:b/>
          <w:bCs/>
          <w:color w:val="8186EF"/>
          <w:sz w:val="16"/>
          <w:szCs w:val="16"/>
        </w:rPr>
        <w:t xml:space="preserve">6  </w:t>
      </w:r>
      <w:r>
        <w:rPr>
          <w:sz w:val="16"/>
          <w:szCs w:val="16"/>
        </w:rPr>
        <w:t xml:space="preserve">Consolidation adds all the subsidiary's items; NCI is shown separately. A is wrong: Adding only 80% is proportionate consolidation. B is wrong: 20% is the NCI share, not what is consolidated.</w:t>
      </w:r>
    </w:p>
    <w:p>
      <w:pPr>
        <w:spacing w:after="18"/>
        <w:ind w:left="300" w:hanging="300"/>
      </w:pPr>
      <w:r>
        <w:rPr>
          <w:b/>
          <w:bCs/>
          <w:color w:val="8186EF"/>
          <w:sz w:val="16"/>
          <w:szCs w:val="16"/>
        </w:rPr>
        <w:t xml:space="preserve">7  </w:t>
      </w:r>
      <w:r>
        <w:rPr>
          <w:sz w:val="16"/>
          <w:szCs w:val="16"/>
        </w:rPr>
        <w:t xml:space="preserve">Joint ventures use the equity method. B is wrong: Proportionate consolidation is generally not allowed. C is wrong: Neither party controls alone.</w:t>
      </w:r>
    </w:p>
    <w:p>
      <w:pPr>
        <w:spacing w:after="18"/>
        <w:ind w:left="300" w:hanging="300"/>
      </w:pPr>
      <w:r>
        <w:rPr>
          <w:b/>
          <w:bCs/>
          <w:color w:val="8186EF"/>
          <w:sz w:val="16"/>
          <w:szCs w:val="16"/>
        </w:rPr>
        <w:t xml:space="preserve">8  </w:t>
      </w:r>
      <w:r>
        <w:rPr>
          <w:sz w:val="16"/>
          <w:szCs w:val="16"/>
        </w:rPr>
        <w:t xml:space="preserve">Only limited industry practice allows it. A is wrong: Joint ventures use the equity method. B is wrong: An associate uses the equity method.</w:t>
      </w:r>
    </w:p>
    <w:p>
      <w:pPr>
        <w:spacing w:after="18"/>
        <w:ind w:left="300" w:hanging="300"/>
      </w:pPr>
      <w:r>
        <w:rPr>
          <w:b/>
          <w:bCs/>
          <w:color w:val="8186EF"/>
          <w:sz w:val="16"/>
          <w:szCs w:val="16"/>
        </w:rPr>
        <w:t xml:space="preserve">9  </w:t>
      </w:r>
      <w:r>
        <w:rPr>
          <w:sz w:val="16"/>
          <w:szCs w:val="16"/>
        </w:rPr>
        <w:t xml:space="preserve">Both downstream and upstream sales are removed in full. A is wrong: Intercompany sales must be removed. B is wrong: This is only the unrealized profit.</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Joint operators account for their rights and obligations directly. A is wrong: The equity method is for joint ventures. C is wrong: No single party controls it.</w:t>
      </w:r>
    </w:p>
    <w:p>
      <w:pPr>
        <w:spacing w:after="18"/>
        <w:ind w:left="300" w:hanging="300"/>
      </w:pPr>
      <w:r>
        <w:rPr>
          <w:b/>
          <w:bCs/>
          <w:color w:val="8186EF"/>
          <w:sz w:val="16"/>
          <w:szCs w:val="16"/>
        </w:rPr>
        <w:t xml:space="preserve">14  </w:t>
      </w:r>
      <w:r>
        <w:rPr>
          <w:sz w:val="16"/>
          <w:szCs w:val="16"/>
        </w:rPr>
        <w:t xml:space="preserve">The primary beneficiary assessment is continuous. B is wrong: All variable-interest holders reassess. C is wrong: Other variable-interest holders reassess too.</w:t>
      </w:r>
    </w:p>
    <w:p>
      <w:pPr>
        <w:spacing w:after="18"/>
        <w:ind w:left="300" w:hanging="300"/>
      </w:pPr>
      <w:r>
        <w:rPr>
          <w:b/>
          <w:bCs/>
          <w:color w:val="8186EF"/>
          <w:sz w:val="16"/>
          <w:szCs w:val="16"/>
        </w:rPr>
        <w:t xml:space="preserve">20  </w:t>
      </w:r>
      <w:r>
        <w:rPr>
          <w:sz w:val="16"/>
          <w:szCs w:val="16"/>
        </w:rPr>
        <w:t xml:space="preserve">The truck returns to its original cost basis for the group. A is wrong: A sale inside the group is not a real sale. C is wrong: Intercompany gains are removed in full.</w:t>
      </w:r>
    </w:p>
    <w:p>
      <w:pPr>
        <w:spacing w:after="18"/>
        <w:ind w:left="300" w:hanging="300"/>
      </w:pPr>
      <w:r>
        <w:rPr>
          <w:b/>
          <w:bCs/>
          <w:color w:val="8186EF"/>
          <w:sz w:val="16"/>
          <w:szCs w:val="16"/>
        </w:rPr>
        <w:t xml:space="preserve">21  </w:t>
      </w:r>
      <w:r>
        <w:rPr>
          <w:sz w:val="16"/>
          <w:szCs w:val="16"/>
        </w:rPr>
        <w:t xml:space="preserve">Both downstream and upstream sales are removed in full. A is wrong: Intercompany sales must be removed. B is wrong: This is only the unrealized profit.</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16.2 · Two control models: VIE first, then votes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finance · activities · interest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substantive · participating · entrepreneur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primary beneficiary · consolidates · entrepreneur's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entity is a VIE if its equity at risk is too small to finance its activities, or if its equity holders do not have the power to direct it or do not bear its losses and returns. If the entity is not a VIE, the voting interest model applies.”</w:t>
      </w:r>
    </w:p>
    <w:p>
      <w:pPr>
        <w:spacing w:after="18"/>
        <w:ind w:left="300" w:hanging="300"/>
      </w:pPr>
      <w:r>
        <w:rPr>
          <w:b/>
          <w:bCs/>
          <w:color w:val="8186EF"/>
          <w:sz w:val="16"/>
          <w:szCs w:val="16"/>
        </w:rPr>
        <w:t xml:space="preserve">2  </w:t>
      </w:r>
      <w:r>
        <w:rPr>
          <w:sz w:val="16"/>
          <w:szCs w:val="16"/>
        </w:rPr>
        <w:t xml:space="preserve">The book writes: “A company that holds more than 50% of the votes generally controls the entity, unless other owners have substantive participating rights, such as the right to approve budgets. Suppose a logistics entrepreneur owns all the shares of Orontes Cold-Chain Logistics SPV.”</w:t>
      </w:r>
    </w:p>
    <w:p>
      <w:pPr>
        <w:spacing w:after="18"/>
        <w:ind w:left="300" w:hanging="300"/>
      </w:pPr>
      <w:r>
        <w:rPr>
          <w:b/>
          <w:bCs/>
          <w:color w:val="8186EF"/>
          <w:sz w:val="16"/>
          <w:szCs w:val="16"/>
        </w:rPr>
        <w:t xml:space="preserve">3  </w:t>
      </w:r>
      <w:r>
        <w:rPr>
          <w:sz w:val="16"/>
          <w:szCs w:val="16"/>
        </w:rPr>
        <w:t xml:space="preserve">The book writes: “Orontes has the power and bears the losses through its guarantee, so it is the primary beneficiary. Orontes consolidates the SPV although it owns no shares. The entrepreneur's $100,000 is NCI. Test the VIE model before counting votes.”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Suggests a VIE as the conclusion of Is equity at risk enough to finance the activities?.</w:t>
      </w:r>
    </w:p>
    <w:p>
      <w:pPr>
        <w:spacing w:after="18"/>
        <w:ind w:left="300" w:hanging="300"/>
      </w:pPr>
      <w:r>
        <w:rPr>
          <w:b/>
          <w:bCs/>
          <w:color w:val="8186EF"/>
          <w:sz w:val="16"/>
          <w:szCs w:val="16"/>
        </w:rPr>
        <w:t xml:space="preserve">6  </w:t>
      </w:r>
      <w:r>
        <w:rPr>
          <w:sz w:val="16"/>
          <w:szCs w:val="16"/>
        </w:rPr>
        <w:t xml:space="preserve">Both amounts are attributed on the face of the statement. A is wrong: The total includes NCI's share. B is wrong: NCI's share is an attribution, not an expense.</w:t>
      </w:r>
    </w:p>
    <w:p>
      <w:pPr>
        <w:spacing w:after="18"/>
        <w:ind w:left="300" w:hanging="300"/>
      </w:pPr>
      <w:r>
        <w:rPr>
          <w:b/>
          <w:bCs/>
          <w:color w:val="8186EF"/>
          <w:sz w:val="16"/>
          <w:szCs w:val="16"/>
        </w:rPr>
        <w:t xml:space="preserve">7  </w:t>
      </w:r>
      <w:r>
        <w:rPr>
          <w:sz w:val="16"/>
          <w:szCs w:val="16"/>
        </w:rPr>
        <w:t xml:space="preserve">The primary beneficiary assessment is continuous. B is wrong: All variable-interest holders reassess. C is wrong: Other variable-interest holders reassess too.</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10  </w:t>
      </w:r>
      <w:r>
        <w:rPr>
          <w:sz w:val="16"/>
          <w:szCs w:val="16"/>
        </w:rPr>
        <w:t xml:space="preserve">The book’s own table gives Full consolidation as the category of Tadmor Retail (75%).</w:t>
      </w:r>
    </w:p>
    <w:p>
      <w:pPr>
        <w:spacing w:after="18"/>
        <w:ind w:left="300" w:hanging="300"/>
      </w:pPr>
      <w:r>
        <w:rPr>
          <w:b/>
          <w:bCs/>
          <w:color w:val="8186EF"/>
          <w:sz w:val="16"/>
          <w:szCs w:val="16"/>
        </w:rPr>
        <w:t xml:space="preserve">11  </w:t>
      </w:r>
      <w:r>
        <w:rPr>
          <w:sz w:val="16"/>
          <w:szCs w:val="16"/>
        </w:rPr>
        <w:t xml:space="preserve">The book’s own table gives Equity method as the category of Supplier (30%, significant influence).</w:t>
      </w:r>
    </w:p>
    <w:p>
      <w:pPr>
        <w:spacing w:after="18"/>
        <w:ind w:left="300" w:hanging="300"/>
      </w:pPr>
      <w:r>
        <w:rPr>
          <w:b/>
          <w:bCs/>
          <w:color w:val="8186EF"/>
          <w:sz w:val="16"/>
          <w:szCs w:val="16"/>
        </w:rPr>
        <w:t xml:space="preserve">12  </w:t>
      </w:r>
      <w:r>
        <w:rPr>
          <w:sz w:val="16"/>
          <w:szCs w:val="16"/>
        </w:rPr>
        <w:t xml:space="preserve">The book’s own table gives Fair value through net income as the category of Listed food company (8%).</w:t>
      </w:r>
    </w:p>
    <w:p>
      <w:pPr>
        <w:spacing w:after="18"/>
        <w:ind w:left="300" w:hanging="300"/>
      </w:pPr>
      <w:r>
        <w:rPr>
          <w:b/>
          <w:bCs/>
          <w:color w:val="8186EF"/>
          <w:sz w:val="16"/>
          <w:szCs w:val="16"/>
        </w:rPr>
        <w:t xml:space="preserve">13  </w:t>
      </w:r>
      <w:r>
        <w:rPr>
          <w:sz w:val="16"/>
          <w:szCs w:val="16"/>
        </w:rPr>
        <w:t xml:space="preserve">The book’s own table gives Shown as NCI as the conclusion of NCI in consolidation.</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16.3 · Full consolidation, proportionate consolidation and the equity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subsidiary · parent · equity method</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subsidiary · parent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method · unrealized profit · subsidiary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equity method · proportionate consolidation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Full consolidation is used for every entity the company controls. The subsidiary's items are added in full, and NCI shows the part the parent does not own.</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subsidiary's items are added in full, and NCI shows the part the parent does not own.</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subsidiary's items are added in full, and NCI shows the part the parent does not own. The equity method, which the LOS call 'equity consolidation', is used when the investor has significant influence, usually 20% to 50% of the votes, and for most joint ventures.”</w:t>
      </w:r>
    </w:p>
    <w:p>
      <w:pPr>
        <w:spacing w:after="18"/>
        <w:ind w:left="300" w:hanging="300"/>
      </w:pPr>
      <w:r>
        <w:rPr>
          <w:b/>
          <w:bCs/>
          <w:color w:val="8186EF"/>
          <w:sz w:val="16"/>
          <w:szCs w:val="16"/>
        </w:rPr>
        <w:t xml:space="preserve">2  </w:t>
      </w:r>
      <w:r>
        <w:rPr>
          <w:sz w:val="16"/>
          <w:szCs w:val="16"/>
        </w:rPr>
        <w:t xml:space="preserve">The book writes: “The methods also remove intercompany profit differently. When Jordan Glass sells bottles to Orontes, the equity method removes only Orontes's 30% share of the unrealized profit: $12,000. A controlled subsidiary's intercompany profit is removed in full.”</w:t>
      </w:r>
    </w:p>
    <w:p>
      <w:pPr>
        <w:spacing w:after="18"/>
        <w:ind w:left="300" w:hanging="300"/>
      </w:pPr>
      <w:r>
        <w:rPr>
          <w:b/>
          <w:bCs/>
          <w:color w:val="8186EF"/>
          <w:sz w:val="16"/>
          <w:szCs w:val="16"/>
        </w:rPr>
        <w:t xml:space="preserve">3  </w:t>
      </w:r>
      <w:r>
        <w:rPr>
          <w:sz w:val="16"/>
          <w:szCs w:val="16"/>
        </w:rPr>
        <w:t xml:space="preserve">The book writes: “The LOS phrase 'equity consolidation' means the equity method: one line, no NCI. Also, joint ventures use the equity method, not proportionate consolidation.”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Full consolidation with “Control (subsidiary or VIE)”.</w:t>
      </w:r>
    </w:p>
    <w:p>
      <w:pPr>
        <w:spacing w:after="18"/>
        <w:ind w:left="300" w:hanging="300"/>
      </w:pPr>
      <w:r>
        <w:rPr>
          <w:b/>
          <w:bCs/>
          <w:color w:val="8186EF"/>
          <w:sz w:val="16"/>
          <w:szCs w:val="16"/>
        </w:rPr>
        <w:t xml:space="preserve">6  </w:t>
      </w:r>
      <w:r>
        <w:rPr>
          <w:sz w:val="16"/>
          <w:szCs w:val="16"/>
        </w:rPr>
        <w:t xml:space="preserve">The book pairs Proportionate consolidation with “Not used by Orontes”.</w:t>
      </w:r>
    </w:p>
    <w:p>
      <w:pPr>
        <w:spacing w:after="18"/>
        <w:ind w:left="300" w:hanging="300"/>
      </w:pPr>
      <w:r>
        <w:rPr>
          <w:b/>
          <w:bCs/>
          <w:color w:val="8186EF"/>
          <w:sz w:val="16"/>
          <w:szCs w:val="16"/>
        </w:rPr>
        <w:t xml:space="preserve">8  </w:t>
      </w:r>
      <w:r>
        <w:rPr>
          <w:sz w:val="16"/>
          <w:szCs w:val="16"/>
        </w:rPr>
        <w:t xml:space="preserve">The book gives Levant (80%) as the orontes of Full consolidation.</w:t>
      </w:r>
    </w:p>
    <w:p>
      <w:pPr>
        <w:spacing w:after="18"/>
        <w:ind w:left="300" w:hanging="300"/>
      </w:pPr>
      <w:r>
        <w:rPr>
          <w:b/>
          <w:bCs/>
          <w:color w:val="8186EF"/>
          <w:sz w:val="16"/>
          <w:szCs w:val="16"/>
        </w:rPr>
        <w:t xml:space="preserve">9  </w:t>
      </w:r>
      <w:r>
        <w:rPr>
          <w:sz w:val="16"/>
          <w:szCs w:val="16"/>
        </w:rPr>
        <w:t xml:space="preserve">Price + NCI fair value − net assets. A is wrong: Goodwill arises because the total exceeds net assets. B is wrong: This measures NCI at 30% of net assets (partial goodwill).</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16.4 · The acquisition: goodwill and noncontrolling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acquisition method · subsidiary · Goodwill</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acquisition · transaction · consolidation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7,300,000 · 1,200,000 · 1,400,000</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w:t>
      </w:r>
    </w:p>
    <w:p>
      <w:pPr>
        <w:spacing w:after="18"/>
        <w:ind w:left="300" w:hanging="300"/>
      </w:pPr>
      <w:r>
        <w:rPr>
          <w:b/>
          <w:bCs/>
          <w:color w:val="8186EF"/>
          <w:sz w:val="16"/>
          <w:szCs w:val="16"/>
        </w:rPr>
        <w:t xml:space="preserve">2  </w:t>
      </w:r>
      <w:r>
        <w:rPr>
          <w:sz w:val="16"/>
          <w:szCs w:val="16"/>
        </w:rPr>
        <w:t xml:space="preserve">The book writes: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pacing w:after="18"/>
        <w:ind w:left="300" w:hanging="300"/>
      </w:pPr>
      <w:r>
        <w:rPr>
          <w:b/>
          <w:bCs/>
          <w:color w:val="8186EF"/>
          <w:sz w:val="16"/>
          <w:szCs w:val="16"/>
        </w:rPr>
        <w:t xml:space="preserve">3  </w:t>
      </w:r>
      <w:r>
        <w:rPr>
          <w:sz w:val="16"/>
          <w:szCs w:val="16"/>
        </w:rPr>
        <w:t xml:space="preserve">From the book’s own table “Consolidation worksheet, January 1, 2027 (whole”: The book’s own table “Consolidation worksheet, January 1, 2027 (whole” settles these: for Levant's equity (book value) it is 7,300,000 and for Property, plant and equipment (fair value step-up) it is 1,200,000 and for Goodwill it is 1,400,000.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consolidated statements are” as section 16.1.</w:t>
      </w:r>
    </w:p>
    <w:p>
      <w:pPr>
        <w:spacing w:after="18"/>
        <w:ind w:left="300" w:hanging="300"/>
      </w:pPr>
      <w:r>
        <w:rPr>
          <w:b/>
          <w:bCs/>
          <w:color w:val="8186EF"/>
          <w:sz w:val="16"/>
          <w:szCs w:val="16"/>
        </w:rPr>
        <w:t xml:space="preserve">6  </w:t>
      </w:r>
      <w:r>
        <w:rPr>
          <w:sz w:val="16"/>
          <w:szCs w:val="16"/>
        </w:rPr>
        <w:t xml:space="preserve">ASC 810 attributes losses to NCI without a floor. B is wrong: This was the old practice before FAS 160. C is wrong: NCI stays in equity.</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16.5 · Eliminating intercompany balances and transactions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intercompany transaction · Unrealized profit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NCI: Dividend of 100,000</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downstream sale · parent · upstream sale · subsidiary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Orontes: Downstream unrealized profit (30% unsold), Truck sold for 90,000 (carrying 60,000)</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intercompany · parent · equity-method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Downstream unrealized profit (30% unsold): 60,000 from inventory and profit · Inventory at the group's cost · Orontes</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Orontes 20,000, NCI 5,000: Upstream unrealized profit (40% unsold)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Upstream unrealized profit (40% unsold): 25,000 from inventory and profit · Inventory at the group's cost · Orontes 20,000, NCI 5,000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 Intercompany sales and cost of sales, Intercompany receivable and payable, Loan of 1,000,000 at 6%</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Intercompany receivable and payable: 120,000 from both · The group cannot owe itself · —</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Truck sold for 90,000 (carrying 60,000): Gain 30,000; extra depreciation 6,000 a year · Truck back to its original cost basis · Orontes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Loan of 1,000,000 at 6%: Loan and interest of 60,000 · No debt or interest inside the group · —</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 group cannot sell to itself, owe money to itself or earn income from itself. Every intercompany transaction is therefore eliminated in full, whatever the percentage owned: sales and cost of sales, receivables and payables, loans and interest, and dividends.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Dividend of 100,000: Orontes's dividend income 80,000 · NCI falls by 20,000 · NCI</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w:t>
      </w:r>
    </w:p>
    <w:p>
      <w:pPr>
        <w:spacing w:after="18"/>
        <w:ind w:left="300" w:hanging="300"/>
      </w:pPr>
      <w:r>
        <w:rPr>
          <w:b/>
          <w:bCs/>
          <w:color w:val="8186EF"/>
          <w:sz w:val="16"/>
          <w:szCs w:val="16"/>
        </w:rPr>
        <w:t xml:space="preserve">2  </w:t>
      </w:r>
      <w:r>
        <w:rPr>
          <w:sz w:val="16"/>
          <w:szCs w:val="16"/>
        </w:rPr>
        <w:t xml:space="preserve">The book writes: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w:t>
      </w:r>
    </w:p>
    <w:p>
      <w:pPr>
        <w:spacing w:after="18"/>
        <w:ind w:left="300" w:hanging="300"/>
      </w:pPr>
      <w:r>
        <w:rPr>
          <w:b/>
          <w:bCs/>
          <w:color w:val="8186EF"/>
          <w:sz w:val="16"/>
          <w:szCs w:val="16"/>
        </w:rPr>
        <w:t xml:space="preserve">3  </w:t>
      </w:r>
      <w:r>
        <w:rPr>
          <w:sz w:val="16"/>
          <w:szCs w:val="16"/>
        </w:rPr>
        <w:t xml:space="preserve">The book writes: “Eliminate intercompany items in full, not only the parent's share. Downstream profit reduces only the parent's share; upstream profit is shared with NCI. For an equity-method investee, remove only the investor's share of the profit.”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1,900,000 as the amount of NCI at January 1, 2027 (fair value).</w:t>
      </w:r>
    </w:p>
    <w:p>
      <w:pPr>
        <w:spacing w:after="18"/>
        <w:ind w:left="300" w:hanging="300"/>
      </w:pPr>
      <w:r>
        <w:rPr>
          <w:b/>
          <w:bCs/>
          <w:color w:val="8186EF"/>
          <w:sz w:val="16"/>
          <w:szCs w:val="16"/>
        </w:rPr>
        <w:t xml:space="preserve">6  </w:t>
      </w:r>
      <w:r>
        <w:rPr>
          <w:sz w:val="16"/>
          <w:szCs w:val="16"/>
        </w:rPr>
        <w:t xml:space="preserve">Insufficient equity at risk is a VIE characteristic. A is wrong: The number of owners is not a VIE test. C is wrong: Dividends are not a VIE test.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The book’s own table gives ________ as the amount of NCI at December 31, 2027.</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16.6 · IFRS differences and what is changing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investor · controls · exposure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 method · operations · liabilities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600 · 190 · 700</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“IFRS 10 uses one control model: an investor controls an entity if it has power over it, exposure to variable returns, and the ability to use its power to affect those returns. There is no separate VIE model, and an investor can have de facto control with less than half of the votes.”</w:t>
      </w:r>
    </w:p>
    <w:p>
      <w:pPr>
        <w:spacing w:after="18"/>
        <w:ind w:left="300" w:hanging="300"/>
      </w:pPr>
      <w:r>
        <w:rPr>
          <w:b/>
          <w:bCs/>
          <w:color w:val="8186EF"/>
          <w:sz w:val="16"/>
          <w:szCs w:val="16"/>
        </w:rPr>
        <w:t xml:space="preserve">2  </w:t>
      </w:r>
      <w:r>
        <w:rPr>
          <w:sz w:val="16"/>
          <w:szCs w:val="16"/>
        </w:rPr>
        <w:t xml:space="preserve">The book writes: “Under IFRS 11, joint ventures use the equity method and joint operations recognize their own share of assets and liabilities. ASU 2025-03 changes how to identify the acquirer when the acquired company is a VIE; it is not testable before about January 2028.”</w:t>
      </w:r>
    </w:p>
    <w:p>
      <w:pPr>
        <w:spacing w:after="18"/>
        <w:ind w:left="300" w:hanging="300"/>
      </w:pPr>
      <w:r>
        <w:rPr>
          <w:b/>
          <w:bCs/>
          <w:color w:val="8186EF"/>
          <w:sz w:val="16"/>
          <w:szCs w:val="16"/>
        </w:rPr>
        <w:t xml:space="preserve">3  </w:t>
      </w:r>
      <w:r>
        <w:rPr>
          <w:sz w:val="16"/>
          <w:szCs w:val="16"/>
        </w:rPr>
        <w:t xml:space="preserve">From the book’s own table “Suppose: Barada Wholesale and Tadmor Retail, 202”: The book’s own table “Suppose: Barada Wholesale and Tadmor Retail, 202” settles these: for Price paid for 75% of Tadmor Retail LLC, January 1, 2028 it is 600 and for Fair value of the 25% noncontrolling interest it is 190 and for Fair value of Tadmor's identifiable net assets it is 700.</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600 as the amount of Price paid for 75% of Tadmor Retail LLC, January 1, 2028.</w:t>
      </w:r>
    </w:p>
    <w:p>
      <w:pPr>
        <w:spacing w:after="18"/>
        <w:ind w:left="300" w:hanging="300"/>
      </w:pPr>
      <w:r>
        <w:rPr>
          <w:b/>
          <w:bCs/>
          <w:color w:val="8186EF"/>
          <w:sz w:val="16"/>
          <w:szCs w:val="16"/>
        </w:rPr>
        <w:t xml:space="preserve">6  </w:t>
      </w:r>
      <w:r>
        <w:rPr>
          <w:sz w:val="16"/>
          <w:szCs w:val="16"/>
        </w:rPr>
        <w:t xml:space="preserve">The VIE model comes before the voting model. B is wrong: Votes are tested only if the entity is not a VIE. C is wrong: Significant influence decides the equity method, not consolidation.</w:t>
      </w:r>
    </w:p>
    <w:p>
      <w:pPr>
        <w:spacing w:after="18"/>
        <w:ind w:left="300" w:hanging="300"/>
      </w:pPr>
      <w:r>
        <w:rPr>
          <w:b/>
          <w:bCs/>
          <w:color w:val="8186EF"/>
          <w:sz w:val="16"/>
          <w:szCs w:val="16"/>
        </w:rPr>
        <w:t xml:space="preserve">7  </w:t>
      </w:r>
      <w:r>
        <w:rPr>
          <w:sz w:val="16"/>
          <w:szCs w:val="16"/>
        </w:rPr>
        <w:t xml:space="preserve">Both power and economics are required. A is wrong: Economics alone are not enough. B is wrong: A lender does not use the equity method.</w:t>
      </w:r>
    </w:p>
    <w:p>
      <w:pPr>
        <w:spacing w:after="18"/>
        <w:ind w:left="300" w:hanging="300"/>
      </w:pPr>
      <w:r>
        <w:rPr>
          <w:b/>
          <w:bCs/>
          <w:color w:val="8186EF"/>
          <w:sz w:val="16"/>
          <w:szCs w:val="16"/>
        </w:rPr>
        <w:t xml:space="preserve">8  </w:t>
      </w:r>
      <w:r>
        <w:rPr>
          <w:sz w:val="16"/>
          <w:szCs w:val="16"/>
        </w:rPr>
        <w:t xml:space="preserve">Orontes is the primary beneficiary. A is wrong: Orontes owns no shares. C is wrong: Economics alone are not enough; power is also needed.</w:t>
      </w:r>
    </w:p>
    <w:p>
      <w:pPr>
        <w:spacing w:after="18"/>
        <w:ind w:left="300" w:hanging="300"/>
      </w:pPr>
      <w:r>
        <w:rPr>
          <w:b/>
          <w:bCs/>
          <w:color w:val="8186EF"/>
          <w:sz w:val="16"/>
          <w:szCs w:val="16"/>
        </w:rPr>
        <w:t xml:space="preserve">9  </w:t>
      </w:r>
      <w:r>
        <w:rPr>
          <w:sz w:val="16"/>
          <w:szCs w:val="16"/>
        </w:rPr>
        <w:t xml:space="preserve">Consolidation shows the group as one entity. A is wrong: That is the parent's separate statements. B is wrong: That is proportionate consolidation.</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book’s own table pairs Control model with “Two: VIE model first, then voting interest”.</w:t>
      </w:r>
    </w:p>
    <w:p>
      <w:pPr>
        <w:spacing w:after="18"/>
        <w:ind w:left="300" w:hanging="300"/>
      </w:pPr>
      <w:r>
        <w:rPr>
          <w:b/>
          <w:bCs/>
          <w:color w:val="8186EF"/>
          <w:sz w:val="16"/>
          <w:szCs w:val="16"/>
        </w:rPr>
        <w:t xml:space="preserve">12  </w:t>
      </w:r>
      <w:r>
        <w:rPr>
          <w:sz w:val="16"/>
          <w:szCs w:val="16"/>
        </w:rPr>
        <w:t xml:space="preserve">NCI is equity of the group. A is wrong: NCI is not an obligation. B is wrong: The mezzanine 'minority interest' line is an old practice.</w:t>
      </w:r>
    </w:p>
    <w:p>
      <w:pPr>
        <w:spacing w:after="18"/>
        <w:ind w:left="300" w:hanging="300"/>
      </w:pPr>
      <w:r>
        <w:rPr>
          <w:b/>
          <w:bCs/>
          <w:color w:val="8186EF"/>
          <w:sz w:val="16"/>
          <w:szCs w:val="16"/>
        </w:rPr>
        <w:t xml:space="preserve">13  </w:t>
      </w:r>
      <w:r>
        <w:rPr>
          <w:sz w:val="16"/>
          <w:szCs w:val="16"/>
        </w:rPr>
        <w:t xml:space="preserve">Consolidation shows the group as one entity. A is wrong: That is the parent's separate statements. B is wrong: That is proportionate consolidation.</w:t>
      </w:r>
    </w:p>
    <w:p>
      <w:pPr>
        <w:spacing w:after="18"/>
        <w:ind w:left="300" w:hanging="300"/>
      </w:pPr>
      <w:r>
        <w:rPr>
          <w:b/>
          <w:bCs/>
          <w:color w:val="8186EF"/>
          <w:sz w:val="16"/>
          <w:szCs w:val="16"/>
        </w:rPr>
        <w:t xml:space="preserve">14  </w:t>
      </w:r>
      <w:r>
        <w:rPr>
          <w:sz w:val="16"/>
          <w:szCs w:val="16"/>
        </w:rPr>
        <w:t xml:space="preserve">Significant influence without control leads to the equity method. A is wrong: Orontes does not control Jordan Glass. B is wrong: Proportionate consolidation is generally not allowed.</w:t>
      </w:r>
    </w:p>
    <w:p>
      <w:pPr>
        <w:spacing w:after="18"/>
        <w:ind w:left="300" w:hanging="300"/>
      </w:pPr>
      <w:r>
        <w:rPr>
          <w:b/>
          <w:bCs/>
          <w:color w:val="8186EF"/>
          <w:sz w:val="16"/>
          <w:szCs w:val="16"/>
        </w:rPr>
        <w:t xml:space="preserve">15  </w:t>
      </w:r>
      <w:r>
        <w:rPr>
          <w:sz w:val="16"/>
          <w:szCs w:val="16"/>
        </w:rPr>
        <w:t xml:space="preserve">Changes in ownership without loss of control are equity transactions. A is wrong: No gain or loss arises while control is kept. C is wrong: Goodwill is measured only when control is obtained.</w:t>
      </w:r>
    </w:p>
    <w:p>
      <w:pPr>
        <w:spacing w:after="18"/>
        <w:ind w:left="300" w:hanging="300"/>
      </w:pPr>
      <w:r>
        <w:rPr>
          <w:b/>
          <w:bCs/>
          <w:color w:val="8186EF"/>
          <w:sz w:val="16"/>
          <w:szCs w:val="16"/>
        </w:rPr>
        <w:t xml:space="preserve">16  </w:t>
      </w:r>
      <w:r>
        <w:rPr>
          <w:sz w:val="16"/>
          <w:szCs w:val="16"/>
        </w:rPr>
        <w:t xml:space="preserve">Orontes is the primary beneficiary. A is wrong: Orontes owns no shares. C is wrong: Economics alone are not enough; power is also needed.</w:t>
      </w:r>
    </w:p>
    <w:p>
      <w:pPr>
        <w:spacing w:after="18"/>
        <w:ind w:left="300" w:hanging="300"/>
      </w:pPr>
      <w:r>
        <w:rPr>
          <w:b/>
          <w:bCs/>
          <w:color w:val="8186EF"/>
          <w:sz w:val="16"/>
          <w:szCs w:val="16"/>
        </w:rPr>
        <w:t xml:space="preserve">17  </w:t>
      </w:r>
      <w:r>
        <w:rPr>
          <w:sz w:val="16"/>
          <w:szCs w:val="16"/>
        </w:rPr>
        <w:t xml:space="preserve">Only Orontes's 30% share of the $40,000 unrealized profit. A is wrong: The investor's share must be removed. C is wrong: Full elimination is for subsidiaries, not equity-method investees.</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controlling financial interest · subsidiary · parent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subsidiary · equity method · proportionate consolidation · acquisition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downstream sale · parent · upstream sale · subsidiary</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16.1: What consolidated statements are. 16.2: Two control models: VIE first, then votes. 16.3: Full consolidation, proportionate consolidation and the equity method. 16.4: The acquisition: goodwill and noncontrolling interest. 16.5: Eliminating intercompany balances and transactions. 16.6: IFRS differences and what is changing.</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consolidates another entity when it has a controlling financial interest in it. Consolidation adds all of the subsidiary's assets, liabilities, revenues and expenses to the parent's, line by line, even when the parent owns less than all of its shares.”</w:t>
      </w:r>
    </w:p>
    <w:p>
      <w:pPr>
        <w:spacing w:after="18"/>
        <w:ind w:left="300" w:hanging="300"/>
      </w:pPr>
      <w:r>
        <w:rPr>
          <w:b/>
          <w:bCs/>
          <w:color w:val="8186EF"/>
          <w:sz w:val="16"/>
          <w:szCs w:val="16"/>
        </w:rPr>
        <w:t xml:space="preserve">2  </w:t>
      </w:r>
      <w:r>
        <w:rPr>
          <w:sz w:val="16"/>
          <w:szCs w:val="16"/>
        </w:rPr>
        <w:t xml:space="preserve">The book writes: “A controlled subsidiary's intercompany profit is removed in full. The LOS phrase 'equity consolidation' means the equity method: one line, no NCI. Also, joint ventures use the equity method, not proportionate consolidation. When a company gains control of a business, it uses the acquisition method.”</w:t>
      </w:r>
    </w:p>
    <w:p>
      <w:pPr>
        <w:spacing w:after="18"/>
        <w:ind w:left="300" w:hanging="300"/>
      </w:pPr>
      <w:r>
        <w:rPr>
          <w:b/>
          <w:bCs/>
          <w:color w:val="8186EF"/>
          <w:sz w:val="16"/>
          <w:szCs w:val="16"/>
        </w:rPr>
        <w:t xml:space="preserve">3  </w:t>
      </w:r>
      <w:r>
        <w:rPr>
          <w:sz w:val="16"/>
          <w:szCs w:val="16"/>
        </w:rPr>
        <w:t xml:space="preserve">The book writes: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“What consolidated statements are” as section 16.1.</w:t>
      </w:r>
    </w:p>
    <w:p>
      <w:pPr>
        <w:spacing w:after="18"/>
        <w:ind w:left="300" w:hanging="300"/>
      </w:pPr>
      <w:r>
        <w:rPr>
          <w:b/>
          <w:bCs/>
          <w:color w:val="8186EF"/>
          <w:sz w:val="16"/>
          <w:szCs w:val="16"/>
        </w:rPr>
        <w:t xml:space="preserve">12  </w:t>
      </w:r>
      <w:r>
        <w:rPr>
          <w:sz w:val="16"/>
          <w:szCs w:val="16"/>
        </w:rPr>
        <w:t xml:space="preserve">Downstream profit belongs to the parent. B is wrong: NCI shares only upstream profit. C is wrong: This is the parent's percentage, not an NCI amount.</w:t>
      </w:r>
    </w:p>
    <w:p>
      <w:pPr>
        <w:spacing w:after="18"/>
        <w:ind w:left="300" w:hanging="300"/>
      </w:pPr>
      <w:r>
        <w:rPr>
          <w:b/>
          <w:bCs/>
          <w:color w:val="8186EF"/>
          <w:sz w:val="16"/>
          <w:szCs w:val="16"/>
        </w:rPr>
        <w:t xml:space="preserve">13  </w:t>
      </w:r>
      <w:r>
        <w:rPr>
          <w:sz w:val="16"/>
          <w:szCs w:val="16"/>
        </w:rPr>
        <w:t xml:space="preserve">Loss of control ends consolidation and remeasures the retained interest. A is wrong: Equity treatment is only for changes without loss of control. B is wrong: Without control there is no consolidation.</w:t>
      </w:r>
    </w:p>
    <w:p>
      <w:pPr>
        <w:spacing w:after="18"/>
        <w:ind w:left="300" w:hanging="300"/>
      </w:pPr>
      <w:r>
        <w:rPr>
          <w:b/>
          <w:bCs/>
          <w:color w:val="8186EF"/>
          <w:sz w:val="16"/>
          <w:szCs w:val="16"/>
        </w:rPr>
        <w:t xml:space="preserve">14  </w:t>
      </w:r>
      <w:r>
        <w:rPr>
          <w:sz w:val="16"/>
          <w:szCs w:val="16"/>
        </w:rPr>
        <w:t xml:space="preserve">Significant influence without control leads to the equity method. A is wrong: Orontes does not control Jordan Glass. B is wrong: Proportionate consolidation is generally not allowed.</w:t>
      </w:r>
    </w:p>
    <w:p>
      <w:pPr>
        <w:spacing w:after="18"/>
        <w:ind w:left="300" w:hanging="300"/>
      </w:pPr>
      <w:r>
        <w:rPr>
          <w:b/>
          <w:bCs/>
          <w:color w:val="8186EF"/>
          <w:sz w:val="16"/>
          <w:szCs w:val="16"/>
        </w:rPr>
        <w:t xml:space="preserve">15  </w:t>
      </w:r>
      <w:r>
        <w:rPr>
          <w:sz w:val="16"/>
          <w:szCs w:val="16"/>
        </w:rPr>
        <w:t xml:space="preserve">Only Orontes's 30% share of the $40,000 unrealized profit. A is wrong: The investor's share must be removed. C is wrong: Full elimination is for subsidiaries, not equity-method investees.</w:t>
      </w:r>
    </w:p>
    <w:p>
      <w:pPr>
        <w:spacing w:after="18"/>
        <w:ind w:left="300" w:hanging="300"/>
      </w:pPr>
      <w:r>
        <w:rPr>
          <w:b/>
          <w:bCs/>
          <w:color w:val="8186EF"/>
          <w:sz w:val="16"/>
          <w:szCs w:val="16"/>
        </w:rPr>
        <w:t xml:space="preserve">16  </w:t>
      </w:r>
      <w:r>
        <w:rPr>
          <w:sz w:val="16"/>
          <w:szCs w:val="16"/>
        </w:rPr>
        <w:t xml:space="preserve">Changes in ownership without loss of control are equity transactions. A is wrong: No gain or loss arises while control is kept. C is wrong: Goodwill is measured only when control is obtained.</w:t>
      </w:r>
    </w:p>
    <w:p>
      <w:pPr>
        <w:spacing w:after="18"/>
        <w:ind w:left="300" w:hanging="300"/>
      </w:pPr>
      <w:r>
        <w:rPr>
          <w:b/>
          <w:bCs/>
          <w:color w:val="8186EF"/>
          <w:sz w:val="16"/>
          <w:szCs w:val="16"/>
        </w:rPr>
        <w:t xml:space="preserve">17  </w:t>
      </w:r>
      <w:r>
        <w:rPr>
          <w:sz w:val="16"/>
          <w:szCs w:val="16"/>
        </w:rPr>
        <w:t xml:space="preserve">30% of the $200,000 gross profit is still in Levant's inventory. A is wrong: Intercompany profit is eliminated in full, not 80%. C is wrong: Only the profit on unsold goods is unrealized.</w:t>
      </w:r>
    </w:p>
    <w:p>
      <w:pPr>
        <w:spacing w:after="18"/>
        <w:ind w:left="300" w:hanging="300"/>
      </w:pPr>
      <w:r>
        <w:rPr>
          <w:b/>
          <w:bCs/>
          <w:color w:val="8186EF"/>
          <w:sz w:val="16"/>
          <w:szCs w:val="16"/>
        </w:rPr>
        <w:t xml:space="preserve">18  </w:t>
      </w:r>
      <w:r>
        <w:rPr>
          <w:sz w:val="16"/>
          <w:szCs w:val="16"/>
        </w:rPr>
        <w:t xml:space="preserve">Substantive participating rights overcome majority control. A is wrong: Votes alone do not decide when others can block key decisions. B is wrong: Blocking rights do not give the 40% owner control.</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26  </w:t>
      </w:r>
      <w:r>
        <w:rPr>
          <w:sz w:val="16"/>
          <w:szCs w:val="16"/>
        </w:rPr>
        <w:t xml:space="preserve">Partial goodwill: price + $1,700,000 − $8,500,000. A is wrong: Goodwill is still recognized. C is wrong: This is the full-goodwill (U.S.) amount.</w:t>
      </w:r>
    </w:p>
    <w:p>
      <w:pPr>
        <w:spacing w:after="18"/>
        <w:ind w:left="300" w:hanging="300"/>
      </w:pPr>
      <w:r>
        <w:rPr>
          <w:b/>
          <w:bCs/>
          <w:color w:val="8186EF"/>
          <w:sz w:val="16"/>
          <w:szCs w:val="16"/>
        </w:rPr>
        <w:t xml:space="preserve">27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 — answer keys</dc:title>
  <dc:subject>Consolidated Financial Statements</dc:subject>
  <cp:category>Student Book</cp:category>
</cp:coreProperties>
</file>