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16.1</w:t>
      </w:r>
    </w:p>
    <w:p>
      <w:pPr>
        <w:spacing w:after="8"/>
      </w:pPr>
      <w:r>
        <w:rPr>
          <w:color w:val="23265A"/>
          <w:sz w:val="22"/>
          <w:szCs w:val="22"/>
        </w:rPr>
        <w:t xml:space="preserve">What consolidated statements are</w:t>
      </w:r>
    </w:p>
    <w:p>
      <w:pPr>
        <w:spacing w:after="130"/>
      </w:pPr>
      <w:r>
        <w:rPr>
          <w:color w:val="6B7280"/>
          <w:sz w:val="20"/>
          <w:szCs w:val="20"/>
        </w:rPr>
        <w:t xml:space="preserve">section 16.1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98"/>
        <w:gridCol w:w="4043"/>
        <w:gridCol w:w="36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10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0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89"/>
            <w:tcMar>
              <w:top w:type="dxa" w:w="50"/>
              <w:left w:type="dxa" w:w="110"/>
              <w:bottom w:type="dxa" w:w="50"/>
              <w:right w:type="dxa" w:w="110"/>
            </w:tcMar>
          </w:tcPr>
          <w:p>
            <w:pPr>
              <w:spacing w:before="26" w:after="26"/>
            </w:pPr>
            <w:r>
              <w:rPr>
                <w:color w:val="232733"/>
                <w:sz w:val="16"/>
                <w:szCs w:val="16"/>
              </w:rPr>
              <w:t xml:space="preserve">What consolidated statements are</w:t>
            </w:r>
          </w:p>
        </w:tc>
        <w:tc>
          <w:tcPr>
            <w:tcW w:type="pct" w:w="2106"/>
            <w:tcMar>
              <w:top w:type="dxa" w:w="50"/>
              <w:left w:type="dxa" w:w="110"/>
              <w:bottom w:type="dxa" w:w="50"/>
              <w:right w:type="dxa" w:w="110"/>
            </w:tcMar>
          </w:tcPr>
          <w:p>
            <w:pPr>
              <w:spacing w:before="26" w:after="26"/>
            </w:pPr>
            <w:r>
              <w:rPr>
                <w:color w:val="232733"/>
                <w:sz w:val="16"/>
                <w:szCs w:val="16"/>
              </w:rPr>
              <w:t xml:space="preserve">a figure to read · Item · Suppose: Levant items, 2027 (whole USD)</w:t>
            </w:r>
          </w:p>
        </w:tc>
        <w:tc>
          <w:tcPr>
            <w:tcW w:type="pct" w:w="190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8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106"/>
            <w:shd w:fill="FBFAF6" w:val="clear"/>
            <w:tcMar>
              <w:top w:type="dxa" w:w="50"/>
              <w:left w:type="dxa" w:w="110"/>
              <w:bottom w:type="dxa" w:w="50"/>
              <w:right w:type="dxa" w:w="110"/>
            </w:tcMar>
          </w:tcPr>
          <w:p>
            <w:pPr>
              <w:spacing w:before="26" w:after="26"/>
            </w:pPr>
            <w:r>
              <w:rPr>
                <w:color w:val="232733"/>
                <w:sz w:val="16"/>
                <w:szCs w:val="16"/>
              </w:rPr>
              <w:t xml:space="preserve">a figure to read · Investment · The English the exam uses, and what it translates</w:t>
            </w:r>
          </w:p>
        </w:tc>
        <w:tc>
          <w:tcPr>
            <w:tcW w:type="pct" w:w="190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parent   ·   controlling financial interest   ·   downstream sale   ·   subsidiary   ·   joint venture</w:t>
      </w:r>
    </w:p>
    <w:p>
      <w:pPr>
        <w:spacing w:before="36" w:after="36"/>
        <w:ind w:left="300"/>
      </w:pPr>
      <w:r>
        <w:rPr>
          <w:sz w:val="19"/>
          <w:szCs w:val="19"/>
        </w:rPr>
        <w:t xml:space="preserve">A company consolidates another entity when it has a </w:t>
      </w:r>
      <w:r>
        <w:rPr>
          <w:u w:val="single"/>
          <w:sz w:val="19"/>
          <w:szCs w:val="19"/>
        </w:rPr>
        <w:t xml:space="preserve">                                </w:t>
      </w:r>
      <w:r>
        <w:rPr>
          <w:sz w:val="19"/>
          <w:szCs w:val="19"/>
        </w:rPr>
        <w:t xml:space="preserve"> in it. Consolidation adds all of the </w:t>
      </w:r>
      <w:r>
        <w:rPr>
          <w:u w:val="single"/>
          <w:sz w:val="19"/>
          <w:szCs w:val="19"/>
        </w:rPr>
        <w:t xml:space="preserve">            </w:t>
      </w:r>
      <w:r>
        <w:rPr>
          <w:sz w:val="19"/>
          <w:szCs w:val="19"/>
        </w:rPr>
        <w:t xml:space="preserve">'s assets, liabilities, revenues and expenses to the </w:t>
      </w:r>
      <w:r>
        <w:rPr>
          <w:u w:val="single"/>
          <w:sz w:val="19"/>
          <w:szCs w:val="19"/>
        </w:rPr>
        <w:t xml:space="preserve">           </w:t>
      </w:r>
      <w:r>
        <w:rPr>
          <w:sz w:val="19"/>
          <w:szCs w:val="19"/>
        </w:rPr>
        <w:t xml:space="preserve">'s, line by line, even when the parent owns less than all of its shares.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noncontrolling interest   ·   parent   ·   subsidiary   ·   downstream sale   ·   joint venture</w:t>
      </w:r>
    </w:p>
    <w:p>
      <w:pPr>
        <w:spacing w:before="36" w:after="36"/>
        <w:ind w:left="300"/>
      </w:pPr>
      <w:r>
        <w:rPr>
          <w:sz w:val="19"/>
          <w:szCs w:val="19"/>
        </w:rPr>
        <w:t xml:space="preserve">The part of a </w:t>
      </w:r>
      <w:r>
        <w:rPr>
          <w:u w:val="single"/>
          <w:sz w:val="19"/>
          <w:szCs w:val="19"/>
        </w:rPr>
        <w:t xml:space="preserve">            </w:t>
      </w:r>
      <w:r>
        <w:rPr>
          <w:sz w:val="19"/>
          <w:szCs w:val="19"/>
        </w:rPr>
        <w:t xml:space="preserve">'s equity that the </w:t>
      </w:r>
      <w:r>
        <w:rPr>
          <w:u w:val="single"/>
          <w:sz w:val="19"/>
          <w:szCs w:val="19"/>
        </w:rPr>
        <w:t xml:space="preserve">           </w:t>
      </w:r>
      <w:r>
        <w:rPr>
          <w:sz w:val="19"/>
          <w:szCs w:val="19"/>
        </w:rPr>
        <w:t xml:space="preserve"> does not own is the </w:t>
      </w:r>
      <w:r>
        <w:rPr>
          <w:u w:val="single"/>
          <w:sz w:val="19"/>
          <w:szCs w:val="19"/>
        </w:rPr>
        <w:t xml:space="preserve">                         </w:t>
      </w:r>
      <w:r>
        <w:rPr>
          <w:sz w:val="19"/>
          <w:szCs w:val="19"/>
        </w:rPr>
        <w:t xml:space="preserve"> (NCI). It is shown within consolidated equity, separately from the parent's equity.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downstream sale   ·   joint venture   ·   parent   ·   noncontrolling interest</w:t>
      </w:r>
    </w:p>
    <w:p>
      <w:pPr>
        <w:spacing w:before="36" w:after="36"/>
        <w:ind w:left="300"/>
      </w:pPr>
      <w:r>
        <w:rPr>
          <w:sz w:val="19"/>
          <w:szCs w:val="19"/>
        </w:rPr>
        <w:t xml:space="preserve">Net income and comprehensive income are split between the </w:t>
      </w:r>
      <w:r>
        <w:rPr>
          <w:u w:val="single"/>
          <w:sz w:val="19"/>
          <w:szCs w:val="19"/>
        </w:rPr>
        <w:t xml:space="preserve">           </w:t>
      </w:r>
      <w:r>
        <w:rPr>
          <w:sz w:val="19"/>
          <w:szCs w:val="19"/>
        </w:rPr>
        <w:t xml:space="preserve"> and NCI on the face of the statements. These older terms still appear in many MENA and French texts. The exam uses </w:t>
      </w:r>
      <w:r>
        <w:rPr>
          <w:u w:val="single"/>
          <w:sz w:val="19"/>
          <w:szCs w:val="19"/>
        </w:rPr>
        <w:t xml:space="preserve">                         </w:t>
      </w:r>
      <w:r>
        <w:rPr>
          <w:sz w:val="19"/>
          <w:szCs w:val="19"/>
        </w:rPr>
        <w:t xml:space="preserve"> (الحصص غير المسيطرة, participations ne donnant pas le contrôle).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What consolidated statements are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Less: upstream unrealized profit</w:t>
            </w:r>
          </w:p>
        </w:tc>
        <w:tc>
          <w:tcPr>
            <w:tcW w:type="pct" w:w="2600"/>
            <w:tcMar>
              <w:top w:type="dxa" w:w="50"/>
              <w:left w:type="dxa" w:w="110"/>
              <w:bottom w:type="dxa" w:w="50"/>
              <w:right w:type="dxa" w:w="110"/>
            </w:tcMar>
          </w:tcPr>
          <w:p>
            <w:pPr>
              <w:spacing w:before="26" w:after="26"/>
            </w:pPr>
            <w:r>
              <w:rPr>
                <w:color w:val="232733"/>
                <w:sz w:val="16"/>
                <w:szCs w:val="16"/>
              </w:rPr>
              <w:t xml:space="preserve">(25,000)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Adjusted net income of Levant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900,000 − 120,000 − 25,000 = 755,000</w:t>
            </w:r>
          </w:p>
        </w:tc>
      </w:tr>
      <w:tr>
        <w:tc>
          <w:tcPr>
            <w:tcW w:type="pct" w:w="2400"/>
            <w:tcMar>
              <w:top w:type="dxa" w:w="50"/>
              <w:left w:type="dxa" w:w="110"/>
              <w:bottom w:type="dxa" w:w="50"/>
              <w:right w:type="dxa" w:w="110"/>
            </w:tcMar>
          </w:tcPr>
          <w:p>
            <w:pPr>
              <w:spacing w:before="26" w:after="26"/>
            </w:pPr>
            <w:r>
              <w:rPr>
                <w:color w:val="232733"/>
                <w:sz w:val="16"/>
                <w:szCs w:val="16"/>
              </w:rPr>
              <w:t xml:space="preserve">NCI share</w:t>
            </w:r>
          </w:p>
        </w:tc>
        <w:tc>
          <w:tcPr>
            <w:tcW w:type="pct" w:w="2600"/>
            <w:tcMar>
              <w:top w:type="dxa" w:w="50"/>
              <w:left w:type="dxa" w:w="110"/>
              <w:bottom w:type="dxa" w:w="50"/>
              <w:right w:type="dxa" w:w="110"/>
            </w:tcMar>
          </w:tcPr>
          <w:p>
            <w:pPr>
              <w:spacing w:before="26" w:after="26"/>
            </w:pPr>
            <w:r>
              <w:rPr>
                <w:color w:val="232733"/>
                <w:sz w:val="16"/>
                <w:szCs w:val="16"/>
              </w:rPr>
              <w:t xml:space="preserve">20% × 755,000 = 151,000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 dividends paid to NCI</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(20,000)</w:t>
            </w:r>
          </w:p>
        </w:tc>
      </w:tr>
      <w:tr>
        <w:tc>
          <w:tcPr>
            <w:tcW w:type="pct" w:w="2400"/>
            <w:tcMar>
              <w:top w:type="dxa" w:w="50"/>
              <w:left w:type="dxa" w:w="110"/>
              <w:bottom w:type="dxa" w:w="50"/>
              <w:right w:type="dxa" w:w="110"/>
            </w:tcMar>
          </w:tcPr>
          <w:p>
            <w:pPr>
              <w:spacing w:before="26" w:after="26"/>
            </w:pPr>
            <w:r>
              <w:rPr>
                <w:color w:val="232733"/>
                <w:sz w:val="16"/>
                <w:szCs w:val="16"/>
              </w:rPr>
              <w:t xml:space="preserve">NCI at December 31, 2027</w:t>
            </w:r>
          </w:p>
        </w:tc>
        <w:tc>
          <w:tcPr>
            <w:tcW w:type="pct" w:w="2600"/>
            <w:tcMar>
              <w:top w:type="dxa" w:w="50"/>
              <w:left w:type="dxa" w:w="110"/>
              <w:bottom w:type="dxa" w:w="50"/>
              <w:right w:type="dxa" w:w="110"/>
            </w:tcMar>
          </w:tcPr>
          <w:p>
            <w:pPr>
              <w:spacing w:before="26" w:after="26"/>
            </w:pPr>
            <w:r>
              <w:rPr>
                <w:color w:val="232733"/>
                <w:sz w:val="16"/>
                <w:szCs w:val="16"/>
              </w:rPr>
              <w:t xml:space="preserve">1,900,000 + 151,000 − 20,000 = 2,031,000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16.1?</w:t>
      </w:r>
    </w:p>
    <w:p>
      <w:pPr>
        <w:spacing w:after="18"/>
        <w:ind w:left="560" w:hanging="260"/>
      </w:pPr>
      <w:r>
        <w:rPr>
          <w:b/>
          <w:bCs/>
          <w:color w:val="8186EF"/>
          <w:sz w:val="18"/>
          <w:szCs w:val="18"/>
        </w:rPr>
        <w:t xml:space="preserve">A. </w:t>
      </w:r>
      <w:r>
        <w:rPr>
          <w:sz w:val="18"/>
          <w:szCs w:val="18"/>
        </w:rPr>
        <w:t xml:space="preserve">IFRS differences and what is changing</w:t>
      </w:r>
    </w:p>
    <w:p>
      <w:pPr>
        <w:spacing w:after="18"/>
        <w:ind w:left="560" w:hanging="260"/>
      </w:pPr>
      <w:r>
        <w:rPr>
          <w:b/>
          <w:bCs/>
          <w:color w:val="8186EF"/>
          <w:sz w:val="18"/>
          <w:szCs w:val="18"/>
        </w:rPr>
        <w:t xml:space="preserve">B. </w:t>
      </w:r>
      <w:r>
        <w:rPr>
          <w:sz w:val="18"/>
          <w:szCs w:val="18"/>
        </w:rPr>
        <w:t xml:space="preserve">Two control models: VIE first, then votes</w:t>
      </w:r>
    </w:p>
    <w:p>
      <w:pPr>
        <w:spacing w:after="18"/>
        <w:ind w:left="560" w:hanging="260"/>
      </w:pPr>
      <w:r>
        <w:rPr>
          <w:b/>
          <w:bCs/>
          <w:color w:val="8186EF"/>
          <w:sz w:val="18"/>
          <w:szCs w:val="18"/>
        </w:rPr>
        <w:t xml:space="preserve">C. </w:t>
      </w:r>
      <w:r>
        <w:rPr>
          <w:sz w:val="18"/>
          <w:szCs w:val="18"/>
        </w:rPr>
        <w:t xml:space="preserve">What consolidated statements are</w:t>
      </w:r>
    </w:p>
    <w:p>
      <w:pPr>
        <w:spacing w:after="18"/>
        <w:ind w:left="560" w:hanging="260"/>
      </w:pPr>
      <w:r>
        <w:rPr>
          <w:b/>
          <w:bCs/>
          <w:color w:val="8186EF"/>
          <w:sz w:val="18"/>
          <w:szCs w:val="18"/>
        </w:rPr>
        <w:t xml:space="preserve">D. </w:t>
      </w:r>
      <w:r>
        <w:rPr>
          <w:sz w:val="18"/>
          <w:szCs w:val="18"/>
        </w:rPr>
        <w:t xml:space="preserve">Eliminating intercompany balances and transactions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parent owns 80% of a subsidiary. What part of the subsidiary's revenue appears in the consolidated income statement?</w:t>
      </w:r>
    </w:p>
    <w:p>
      <w:pPr>
        <w:spacing w:after="18"/>
        <w:ind w:left="560" w:hanging="260"/>
      </w:pPr>
      <w:r>
        <w:rPr>
          <w:b/>
          <w:bCs/>
          <w:color w:val="8186EF"/>
          <w:sz w:val="18"/>
          <w:szCs w:val="18"/>
        </w:rPr>
        <w:t xml:space="preserve">A. </w:t>
      </w:r>
      <w:r>
        <w:rPr>
          <w:sz w:val="18"/>
          <w:szCs w:val="18"/>
        </w:rPr>
        <w:t xml:space="preserve">80%</w:t>
      </w:r>
    </w:p>
    <w:p>
      <w:pPr>
        <w:spacing w:after="18"/>
        <w:ind w:left="560" w:hanging="260"/>
      </w:pPr>
      <w:r>
        <w:rPr>
          <w:b/>
          <w:bCs/>
          <w:color w:val="8186EF"/>
          <w:sz w:val="18"/>
          <w:szCs w:val="18"/>
        </w:rPr>
        <w:t xml:space="preserve">B. </w:t>
      </w:r>
      <w:r>
        <w:rPr>
          <w:sz w:val="18"/>
          <w:szCs w:val="18"/>
        </w:rPr>
        <w:t xml:space="preserve">20%</w:t>
      </w:r>
    </w:p>
    <w:p>
      <w:pPr>
        <w:spacing w:after="18"/>
        <w:ind w:left="560" w:hanging="260"/>
      </w:pPr>
      <w:r>
        <w:rPr>
          <w:b/>
          <w:bCs/>
          <w:color w:val="8186EF"/>
          <w:sz w:val="18"/>
          <w:szCs w:val="18"/>
        </w:rPr>
        <w:t xml:space="preserve">C. </w:t>
      </w:r>
      <w:r>
        <w:rPr>
          <w:sz w:val="18"/>
          <w:szCs w:val="18"/>
        </w:rPr>
        <w:t xml:space="preserve">None; only the parent's share of net income</w:t>
      </w:r>
    </w:p>
    <w:p>
      <w:pPr>
        <w:spacing w:after="18"/>
        <w:ind w:left="560" w:hanging="260"/>
      </w:pPr>
      <w:r>
        <w:rPr>
          <w:b/>
          <w:bCs/>
          <w:color w:val="8186EF"/>
          <w:sz w:val="18"/>
          <w:szCs w:val="18"/>
        </w:rPr>
        <w:t xml:space="preserve">D. </w:t>
      </w:r>
      <w:r>
        <w:rPr>
          <w:sz w:val="18"/>
          <w:szCs w:val="18"/>
        </w:rPr>
        <w:t xml:space="preserve">100%</w:t>
      </w:r>
    </w:p>
    <w:p>
      <w:pPr>
        <w:spacing w:before="40" w:after="16"/>
        <w:ind w:left="300" w:hanging="300"/>
      </w:pPr>
      <w:r>
        <w:rPr>
          <w:b/>
          <w:bCs/>
          <w:color w:val="353A7C"/>
          <w:sz w:val="19"/>
          <w:szCs w:val="19"/>
        </w:rPr>
        <w:t xml:space="preserve">7.  </w:t>
      </w:r>
      <w:r>
        <w:rPr>
          <w:sz w:val="19"/>
          <w:szCs w:val="19"/>
        </w:rPr>
        <w:t xml:space="preserve">Two companies each hold 50% of a joint venture and share control. Under U.S. GAAP, each uses: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equity method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full consolidation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proportionate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fair value</w:t>
            </w:r>
          </w:p>
        </w:tc>
      </w:tr>
    </w:tbl>
    <w:p>
      <w:pPr>
        <w:spacing w:before="40" w:after="16"/>
        <w:ind w:left="300" w:hanging="300"/>
      </w:pPr>
      <w:r>
        <w:rPr>
          <w:b/>
          <w:bCs/>
          <w:color w:val="353A7C"/>
          <w:sz w:val="19"/>
          <w:szCs w:val="19"/>
        </w:rPr>
        <w:t xml:space="preserve">8.  </w:t>
      </w:r>
      <w:r>
        <w:rPr>
          <w:sz w:val="19"/>
          <w:szCs w:val="19"/>
        </w:rPr>
        <w:t xml:space="preserve">In which case does U.S. GAAP allow proportionate consolidation?</w:t>
      </w:r>
    </w:p>
    <w:p>
      <w:pPr>
        <w:spacing w:after="18"/>
        <w:ind w:left="560" w:hanging="260"/>
      </w:pPr>
      <w:r>
        <w:rPr>
          <w:b/>
          <w:bCs/>
          <w:color w:val="8186EF"/>
          <w:sz w:val="18"/>
          <w:szCs w:val="18"/>
        </w:rPr>
        <w:t xml:space="preserve">A. </w:t>
      </w:r>
      <w:r>
        <w:rPr>
          <w:sz w:val="18"/>
          <w:szCs w:val="18"/>
        </w:rPr>
        <w:t xml:space="preserve">A 50% joint venture in food distribution</w:t>
      </w:r>
    </w:p>
    <w:p>
      <w:pPr>
        <w:spacing w:after="18"/>
        <w:ind w:left="560" w:hanging="260"/>
      </w:pPr>
      <w:r>
        <w:rPr>
          <w:b/>
          <w:bCs/>
          <w:color w:val="8186EF"/>
          <w:sz w:val="18"/>
          <w:szCs w:val="18"/>
        </w:rPr>
        <w:t xml:space="preserve">B. </w:t>
      </w:r>
      <w:r>
        <w:rPr>
          <w:sz w:val="18"/>
          <w:szCs w:val="18"/>
        </w:rPr>
        <w:t xml:space="preserve">A 30% associate</w:t>
      </w:r>
    </w:p>
    <w:p>
      <w:pPr>
        <w:spacing w:after="18"/>
        <w:ind w:left="560" w:hanging="260"/>
      </w:pPr>
      <w:r>
        <w:rPr>
          <w:b/>
          <w:bCs/>
          <w:color w:val="8186EF"/>
          <w:sz w:val="18"/>
          <w:szCs w:val="18"/>
        </w:rPr>
        <w:t xml:space="preserve">C. </w:t>
      </w:r>
      <w:r>
        <w:rPr>
          <w:sz w:val="18"/>
          <w:szCs w:val="18"/>
        </w:rPr>
        <w:t xml:space="preserve">An undivided interest in an oil and gas property</w:t>
      </w:r>
    </w:p>
    <w:p>
      <w:pPr>
        <w:spacing w:after="18"/>
        <w:ind w:left="560" w:hanging="260"/>
      </w:pPr>
      <w:r>
        <w:rPr>
          <w:b/>
          <w:bCs/>
          <w:color w:val="8186EF"/>
          <w:sz w:val="18"/>
          <w:szCs w:val="18"/>
        </w:rPr>
        <w:t xml:space="preserve">D. </w:t>
      </w:r>
      <w:r>
        <w:rPr>
          <w:sz w:val="18"/>
          <w:szCs w:val="18"/>
        </w:rPr>
        <w:t xml:space="preserve">An 80% subsidiary</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82"/>
        <w:gridCol w:w="2814"/>
        <w:gridCol w:w="2744"/>
        <w:gridCol w:w="126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Levant items, 2027 (whole USD) — the extract for the question that follows</w:t>
            </w:r>
          </w:p>
        </w:tc>
      </w:tr>
      <w:tr>
        <w:tc>
          <w:tcPr>
            <w:tcW w:type="pct" w:w="1449"/>
            <w:tcMar>
              <w:top w:type="dxa" w:w="50"/>
              <w:left w:type="dxa" w:w="110"/>
              <w:bottom w:type="dxa" w:w="50"/>
              <w:right w:type="dxa" w:w="110"/>
            </w:tcMar>
          </w:tcPr>
          <w:p>
            <w:pPr>
              <w:spacing w:before="26" w:after="26"/>
            </w:pPr>
            <w:r>
              <w:rPr>
                <w:b/>
                <w:bCs/>
                <w:color w:val="353A7C"/>
                <w:sz w:val="15"/>
                <w:szCs w:val="15"/>
              </w:rPr>
              <w:t xml:space="preserve">Suppose: Levant items, 2027 (whole USD)</w:t>
            </w:r>
          </w:p>
        </w:tc>
        <w:tc>
          <w:tcPr>
            <w:tcW w:type="pct" w:w="1465"/>
            <w:tcMar>
              <w:top w:type="dxa" w:w="50"/>
              <w:left w:type="dxa" w:w="110"/>
              <w:bottom w:type="dxa" w:w="50"/>
              <w:right w:type="dxa" w:w="110"/>
            </w:tcMar>
          </w:tcPr>
          <w:p>
            <w:pPr>
              <w:spacing w:before="26" w:after="26"/>
            </w:pPr>
            <w:r>
              <w:rPr>
                <w:b/>
                <w:bCs/>
                <w:color w:val="353A7C"/>
                <w:sz w:val="15"/>
                <w:szCs w:val="15"/>
              </w:rPr>
              <w:t xml:space="preserve">Eliminate</w:t>
            </w:r>
          </w:p>
        </w:tc>
        <w:tc>
          <w:tcPr>
            <w:tcW w:type="pct" w:w="1429"/>
            <w:tcMar>
              <w:top w:type="dxa" w:w="50"/>
              <w:left w:type="dxa" w:w="110"/>
              <w:bottom w:type="dxa" w:w="50"/>
              <w:right w:type="dxa" w:w="110"/>
            </w:tcMar>
          </w:tcPr>
          <w:p>
            <w:pPr>
              <w:spacing w:before="26" w:after="26"/>
            </w:pPr>
            <w:r>
              <w:rPr>
                <w:b/>
                <w:bCs/>
                <w:color w:val="353A7C"/>
                <w:sz w:val="15"/>
                <w:szCs w:val="15"/>
              </w:rPr>
              <w:t xml:space="preserve">Result</w:t>
            </w:r>
          </w:p>
        </w:tc>
        <w:tc>
          <w:tcPr>
            <w:tcW w:type="pct" w:w="656"/>
            <w:tcMar>
              <w:top w:type="dxa" w:w="50"/>
              <w:left w:type="dxa" w:w="110"/>
              <w:bottom w:type="dxa" w:w="50"/>
              <w:right w:type="dxa" w:w="110"/>
            </w:tcMar>
          </w:tcPr>
          <w:p>
            <w:pPr>
              <w:spacing w:before="26" w:after="26"/>
            </w:pPr>
            <w:r>
              <w:rPr>
                <w:b/>
                <w:bCs/>
                <w:color w:val="353A7C"/>
                <w:sz w:val="15"/>
                <w:szCs w:val="15"/>
              </w:rPr>
              <w:t xml:space="preserve">Who bears it</w:t>
            </w:r>
          </w:p>
        </w:tc>
      </w:tr>
      <w:tr>
        <w:tc>
          <w:tcPr>
            <w:tcW w:type="pct" w:w="1449"/>
            <w:tcMar>
              <w:top w:type="dxa" w:w="50"/>
              <w:left w:type="dxa" w:w="110"/>
              <w:bottom w:type="dxa" w:w="50"/>
              <w:right w:type="dxa" w:w="110"/>
            </w:tcMar>
          </w:tcPr>
          <w:p>
            <w:pPr>
              <w:spacing w:before="26" w:after="26"/>
            </w:pPr>
            <w:r>
              <w:rPr>
                <w:color w:val="232733"/>
                <w:sz w:val="16"/>
                <w:szCs w:val="16"/>
              </w:rPr>
              <w:t xml:space="preserve">Intercompany sales and cost of sales</w:t>
            </w:r>
          </w:p>
        </w:tc>
        <w:tc>
          <w:tcPr>
            <w:tcW w:type="pct" w:w="1465"/>
            <w:tcMar>
              <w:top w:type="dxa" w:w="50"/>
              <w:left w:type="dxa" w:w="110"/>
              <w:bottom w:type="dxa" w:w="50"/>
              <w:right w:type="dxa" w:w="110"/>
            </w:tcMar>
          </w:tcPr>
          <w:p>
            <w:pPr>
              <w:spacing w:before="26" w:after="26"/>
            </w:pPr>
            <w:r>
              <w:rPr>
                <w:color w:val="232733"/>
                <w:sz w:val="16"/>
                <w:szCs w:val="16"/>
              </w:rPr>
              <w:t xml:space="preserve">Remove 750,000 of sales and cost of sales</w:t>
            </w:r>
          </w:p>
        </w:tc>
        <w:tc>
          <w:tcPr>
            <w:tcW w:type="pct" w:w="1429"/>
            <w:tcMar>
              <w:top w:type="dxa" w:w="50"/>
              <w:left w:type="dxa" w:w="110"/>
              <w:bottom w:type="dxa" w:w="50"/>
              <w:right w:type="dxa" w:w="110"/>
            </w:tcMar>
          </w:tcPr>
          <w:p>
            <w:pPr>
              <w:spacing w:before="26" w:after="26"/>
            </w:pPr>
            <w:r>
              <w:rPr>
                <w:color w:val="232733"/>
                <w:sz w:val="16"/>
                <w:szCs w:val="16"/>
              </w:rPr>
              <w:t xml:space="preserve">Revenue and expenses fall; no profit effect</w:t>
            </w:r>
          </w:p>
        </w:tc>
        <w:tc>
          <w:tcPr>
            <w:tcW w:type="pct" w:w="656"/>
            <w:tcMar>
              <w:top w:type="dxa" w:w="50"/>
              <w:left w:type="dxa" w:w="110"/>
              <w:bottom w:type="dxa" w:w="50"/>
              <w:right w:type="dxa" w:w="110"/>
            </w:tcMar>
          </w:tcPr>
          <w:p>
            <w:pPr>
              <w:spacing w:before="26" w:after="26"/>
            </w:pPr>
            <w:r>
              <w:rPr>
                <w:color w:val="232733"/>
                <w:sz w:val="16"/>
                <w:szCs w:val="16"/>
              </w:rPr>
              <w:t xml:space="preserve">—</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Downstream unrealized profit (30% unsold)</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60,000 from inventory and profit</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tcMar>
              <w:top w:type="dxa" w:w="50"/>
              <w:left w:type="dxa" w:w="110"/>
              <w:bottom w:type="dxa" w:w="50"/>
              <w:right w:type="dxa" w:w="110"/>
            </w:tcMar>
          </w:tcPr>
          <w:p>
            <w:pPr>
              <w:spacing w:before="26" w:after="26"/>
            </w:pPr>
            <w:r>
              <w:rPr>
                <w:color w:val="232733"/>
                <w:sz w:val="16"/>
                <w:szCs w:val="16"/>
              </w:rPr>
              <w:t xml:space="preserve">Upstream unrealized profit (40% unsold)</w:t>
            </w:r>
          </w:p>
        </w:tc>
        <w:tc>
          <w:tcPr>
            <w:tcW w:type="pct" w:w="1465"/>
            <w:tcMar>
              <w:top w:type="dxa" w:w="50"/>
              <w:left w:type="dxa" w:w="110"/>
              <w:bottom w:type="dxa" w:w="50"/>
              <w:right w:type="dxa" w:w="110"/>
            </w:tcMar>
          </w:tcPr>
          <w:p>
            <w:pPr>
              <w:spacing w:before="26" w:after="26"/>
            </w:pPr>
            <w:r>
              <w:rPr>
                <w:color w:val="232733"/>
                <w:sz w:val="16"/>
                <w:szCs w:val="16"/>
              </w:rPr>
              <w:t xml:space="preserve">25,000 from inventory and profit</w:t>
            </w:r>
          </w:p>
        </w:tc>
        <w:tc>
          <w:tcPr>
            <w:tcW w:type="pct" w:w="1429"/>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tcMar>
              <w:top w:type="dxa" w:w="50"/>
              <w:left w:type="dxa" w:w="110"/>
              <w:bottom w:type="dxa" w:w="50"/>
              <w:right w:type="dxa" w:w="110"/>
            </w:tcMar>
          </w:tcPr>
          <w:p>
            <w:pPr>
              <w:spacing w:before="26" w:after="26"/>
            </w:pPr>
            <w:r>
              <w:rPr>
                <w:color w:val="232733"/>
                <w:sz w:val="16"/>
                <w:szCs w:val="16"/>
              </w:rPr>
              <w:t xml:space="preserve">Orontes 20,000, NCI 5,000</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Intercompany receivable and payable</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120,000 from both</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The group cannot owe itself</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Truck sold for 90,000 (carrying 60,000)</w:t>
            </w:r>
          </w:p>
        </w:tc>
        <w:tc>
          <w:tcPr>
            <w:tcW w:type="pct" w:w="1465"/>
            <w:tcMar>
              <w:top w:type="dxa" w:w="50"/>
              <w:left w:type="dxa" w:w="110"/>
              <w:bottom w:type="dxa" w:w="50"/>
              <w:right w:type="dxa" w:w="110"/>
            </w:tcMar>
          </w:tcPr>
          <w:p>
            <w:pPr>
              <w:spacing w:before="26" w:after="26"/>
            </w:pPr>
            <w:r>
              <w:rPr>
                <w:color w:val="232733"/>
                <w:sz w:val="16"/>
                <w:szCs w:val="16"/>
              </w:rPr>
              <w:t xml:space="preserve">Gain 30,000; extra depreciation 6,000 a year</w:t>
            </w:r>
          </w:p>
        </w:tc>
        <w:tc>
          <w:tcPr>
            <w:tcW w:type="pct" w:w="1429"/>
            <w:tcMar>
              <w:top w:type="dxa" w:w="50"/>
              <w:left w:type="dxa" w:w="110"/>
              <w:bottom w:type="dxa" w:w="50"/>
              <w:right w:type="dxa" w:w="110"/>
            </w:tcMar>
          </w:tcPr>
          <w:p>
            <w:pPr>
              <w:spacing w:before="26" w:after="26"/>
            </w:pPr>
            <w:r>
              <w:rPr>
                <w:color w:val="232733"/>
                <w:sz w:val="16"/>
                <w:szCs w:val="16"/>
              </w:rPr>
              <w:t xml:space="preserve">Truck back to its original cost basis</w:t>
            </w:r>
          </w:p>
        </w:tc>
        <w:tc>
          <w:tcPr>
            <w:tcW w:type="pct" w:w="656"/>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Loan of 1,000,000 at 6%</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Loan and interest of 60,000</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No debt or interest inside the group</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Dividend of 100,000</w:t>
            </w:r>
          </w:p>
        </w:tc>
        <w:tc>
          <w:tcPr>
            <w:tcW w:type="pct" w:w="1465"/>
            <w:tcMar>
              <w:top w:type="dxa" w:w="50"/>
              <w:left w:type="dxa" w:w="110"/>
              <w:bottom w:type="dxa" w:w="50"/>
              <w:right w:type="dxa" w:w="110"/>
            </w:tcMar>
          </w:tcPr>
          <w:p>
            <w:pPr>
              <w:spacing w:before="26" w:after="26"/>
            </w:pPr>
            <w:r>
              <w:rPr>
                <w:color w:val="232733"/>
                <w:sz w:val="16"/>
                <w:szCs w:val="16"/>
              </w:rPr>
              <w:t xml:space="preserve">Orontes's dividend income 80,000</w:t>
            </w:r>
          </w:p>
        </w:tc>
        <w:tc>
          <w:tcPr>
            <w:tcW w:type="pct" w:w="1429"/>
            <w:tcMar>
              <w:top w:type="dxa" w:w="50"/>
              <w:left w:type="dxa" w:w="110"/>
              <w:bottom w:type="dxa" w:w="50"/>
              <w:right w:type="dxa" w:w="110"/>
            </w:tcMar>
          </w:tcPr>
          <w:p>
            <w:pPr>
              <w:spacing w:before="26" w:after="26"/>
            </w:pPr>
            <w:r>
              <w:rPr>
                <w:color w:val="232733"/>
                <w:sz w:val="16"/>
                <w:szCs w:val="16"/>
              </w:rPr>
              <w:t xml:space="preserve">NCI falls by 20,000</w:t>
            </w:r>
          </w:p>
        </w:tc>
        <w:tc>
          <w:tcPr>
            <w:tcW w:type="pct" w:w="656"/>
            <w:tcMar>
              <w:top w:type="dxa" w:w="50"/>
              <w:left w:type="dxa" w:w="110"/>
              <w:bottom w:type="dxa" w:w="50"/>
              <w:right w:type="dxa" w:w="110"/>
            </w:tcMar>
          </w:tcPr>
          <w:p>
            <w:pPr>
              <w:spacing w:before="26" w:after="26"/>
            </w:pPr>
            <w:r>
              <w:rPr>
                <w:color w:val="232733"/>
                <w:sz w:val="16"/>
                <w:szCs w:val="16"/>
              </w:rPr>
              <w:t xml:space="preserve">NCI</w:t>
            </w:r>
          </w:p>
        </w:tc>
      </w:tr>
    </w:tbl>
    <w:p/>
    <w:p>
      <w:pPr>
        <w:spacing w:before="40" w:after="16"/>
        <w:ind w:left="300" w:hanging="300"/>
      </w:pPr>
      <w:r>
        <w:rPr>
          <w:b/>
          <w:bCs/>
          <w:color w:val="353A7C"/>
          <w:sz w:val="19"/>
          <w:szCs w:val="19"/>
        </w:rPr>
        <w:t xml:space="preserve">9.  </w:t>
      </w:r>
      <w:r>
        <w:rPr>
          <w:sz w:val="19"/>
          <w:szCs w:val="19"/>
        </w:rPr>
        <w:t xml:space="preserve">The extract for this question is printed with it. How much intercompany sales revenue is removed in consolidation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35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3580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the book’s own table</w:t>
            </w:r>
          </w:p>
        </w:tc>
      </w:tr>
      <w:tr>
        <w:tc>
          <w:tcPr>
            <w:tcW w:type="pct" w:w="2939"/>
            <w:tcMar>
              <w:top w:type="dxa" w:w="50"/>
              <w:left w:type="dxa" w:w="110"/>
              <w:bottom w:type="dxa" w:w="50"/>
              <w:right w:type="dxa" w:w="110"/>
            </w:tcMar>
          </w:tcPr>
          <w:p>
            <w:pPr>
              <w:spacing w:before="26" w:after="26"/>
            </w:pPr>
            <w:r>
              <w:rPr>
                <w:b/>
                <w:bCs/>
                <w:color w:val="353A7C"/>
                <w:sz w:val="15"/>
                <w:szCs w:val="15"/>
              </w:rPr>
              <w:t xml:space="preserve">Investment</w:t>
            </w:r>
          </w:p>
        </w:tc>
        <w:tc>
          <w:tcPr>
            <w:tcW w:type="pct" w:w="206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939"/>
            <w:tcMar>
              <w:top w:type="dxa" w:w="50"/>
              <w:left w:type="dxa" w:w="110"/>
              <w:bottom w:type="dxa" w:w="50"/>
              <w:right w:type="dxa" w:w="110"/>
            </w:tcMar>
          </w:tcPr>
          <w:p>
            <w:pPr>
              <w:spacing w:before="26" w:after="26"/>
            </w:pPr>
            <w:r>
              <w:rPr>
                <w:color w:val="232733"/>
                <w:sz w:val="16"/>
                <w:szCs w:val="16"/>
              </w:rPr>
              <w:t xml:space="preserve">Tadmor Retail (75%)</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Supplier (30%, significant influence)</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Listed food company (8%)</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Cold-storage SPV that Barada directs and guarantees (VIE)</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IFRS 11, how does a party account for a joint operation?</w:t>
      </w:r>
    </w:p>
    <w:p>
      <w:pPr>
        <w:spacing w:after="18"/>
        <w:ind w:left="560" w:hanging="260"/>
      </w:pPr>
      <w:r>
        <w:rPr>
          <w:b/>
          <w:bCs/>
          <w:color w:val="8186EF"/>
          <w:sz w:val="18"/>
          <w:szCs w:val="18"/>
        </w:rPr>
        <w:t xml:space="preserve">A. </w:t>
      </w:r>
      <w:r>
        <w:rPr>
          <w:sz w:val="18"/>
          <w:szCs w:val="18"/>
        </w:rPr>
        <w:t xml:space="preserve">It uses the equity method</w:t>
      </w:r>
    </w:p>
    <w:p>
      <w:pPr>
        <w:spacing w:after="18"/>
        <w:ind w:left="560" w:hanging="260"/>
      </w:pPr>
      <w:r>
        <w:rPr>
          <w:b/>
          <w:bCs/>
          <w:color w:val="8186EF"/>
          <w:sz w:val="18"/>
          <w:szCs w:val="18"/>
        </w:rPr>
        <w:t xml:space="preserve">B. </w:t>
      </w:r>
      <w:r>
        <w:rPr>
          <w:sz w:val="18"/>
          <w:szCs w:val="18"/>
        </w:rPr>
        <w:t xml:space="preserve">It recognizes its own share of the assets, liabilities, revenues and expenses</w:t>
      </w:r>
    </w:p>
    <w:p>
      <w:pPr>
        <w:spacing w:after="18"/>
        <w:ind w:left="560" w:hanging="260"/>
      </w:pPr>
      <w:r>
        <w:rPr>
          <w:b/>
          <w:bCs/>
          <w:color w:val="8186EF"/>
          <w:sz w:val="18"/>
          <w:szCs w:val="18"/>
        </w:rPr>
        <w:t xml:space="preserve">C. </w:t>
      </w:r>
      <w:r>
        <w:rPr>
          <w:sz w:val="18"/>
          <w:szCs w:val="18"/>
        </w:rPr>
        <w:t xml:space="preserve">It fully consolidates</w:t>
      </w:r>
    </w:p>
    <w:p>
      <w:pPr>
        <w:spacing w:after="18"/>
        <w:ind w:left="560" w:hanging="260"/>
      </w:pPr>
      <w:r>
        <w:rPr>
          <w:b/>
          <w:bCs/>
          <w:color w:val="8186EF"/>
          <w:sz w:val="18"/>
          <w:szCs w:val="18"/>
        </w:rPr>
        <w:t xml:space="preserve">D. </w:t>
      </w:r>
      <w:r>
        <w:rPr>
          <w:sz w:val="18"/>
          <w:szCs w:val="18"/>
        </w:rPr>
        <w:t xml:space="preserve">It measures the interest at fair value</w:t>
      </w:r>
    </w:p>
    <w:p>
      <w:pPr>
        <w:spacing w:before="40" w:after="16"/>
        <w:ind w:left="300" w:hanging="300"/>
      </w:pPr>
      <w:r>
        <w:rPr>
          <w:b/>
          <w:bCs/>
          <w:color w:val="353A7C"/>
          <w:sz w:val="19"/>
          <w:szCs w:val="19"/>
        </w:rPr>
        <w:t xml:space="preserve">14.  </w:t>
      </w:r>
      <w:r>
        <w:rPr>
          <w:sz w:val="19"/>
          <w:szCs w:val="19"/>
        </w:rPr>
        <w:t xml:space="preserve">Under U.S. GAAP, which party must reassess whether it is a VIE's primary beneficiary every reporting period?</w:t>
      </w:r>
    </w:p>
    <w:p>
      <w:pPr>
        <w:spacing w:after="18"/>
        <w:ind w:left="560" w:hanging="260"/>
      </w:pPr>
      <w:r>
        <w:rPr>
          <w:b/>
          <w:bCs/>
          <w:color w:val="8186EF"/>
          <w:sz w:val="18"/>
          <w:szCs w:val="18"/>
        </w:rPr>
        <w:t xml:space="preserve">A. </w:t>
      </w:r>
      <w:r>
        <w:rPr>
          <w:sz w:val="18"/>
          <w:szCs w:val="18"/>
        </w:rPr>
        <w:t xml:space="preserve">Every party with a variable interest</w:t>
      </w:r>
    </w:p>
    <w:p>
      <w:pPr>
        <w:spacing w:after="18"/>
        <w:ind w:left="560" w:hanging="260"/>
      </w:pPr>
      <w:r>
        <w:rPr>
          <w:b/>
          <w:bCs/>
          <w:color w:val="8186EF"/>
          <w:sz w:val="18"/>
          <w:szCs w:val="18"/>
        </w:rPr>
        <w:t xml:space="preserve">B. </w:t>
      </w:r>
      <w:r>
        <w:rPr>
          <w:sz w:val="18"/>
          <w:szCs w:val="18"/>
        </w:rPr>
        <w:t xml:space="preserve">Only the largest lender</w:t>
      </w:r>
    </w:p>
    <w:p>
      <w:pPr>
        <w:spacing w:after="18"/>
        <w:ind w:left="560" w:hanging="260"/>
      </w:pPr>
      <w:r>
        <w:rPr>
          <w:b/>
          <w:bCs/>
          <w:color w:val="8186EF"/>
          <w:sz w:val="18"/>
          <w:szCs w:val="18"/>
        </w:rPr>
        <w:t xml:space="preserve">C. </w:t>
      </w:r>
      <w:r>
        <w:rPr>
          <w:sz w:val="18"/>
          <w:szCs w:val="18"/>
        </w:rPr>
        <w:t xml:space="preserve">Only the equity holders</w:t>
      </w:r>
    </w:p>
    <w:p>
      <w:pPr>
        <w:spacing w:after="18"/>
        <w:ind w:left="560" w:hanging="260"/>
      </w:pPr>
      <w:r>
        <w:rPr>
          <w:b/>
          <w:bCs/>
          <w:color w:val="8186EF"/>
          <w:sz w:val="18"/>
          <w:szCs w:val="18"/>
        </w:rPr>
        <w:t xml:space="preserve">D. </w:t>
      </w:r>
      <w:r>
        <w:rPr>
          <w:sz w:val="18"/>
          <w:szCs w:val="18"/>
        </w:rPr>
        <w:t xml:space="preserve">No one; it is decided once</w:t>
      </w:r>
    </w:p>
    <w:p>
      <w:pPr>
        <w:spacing w:before="40" w:after="24"/>
      </w:pPr>
      <w:r>
        <w:rPr>
          <w:sz w:val="19"/>
          <w:szCs w:val="19"/>
        </w:rPr>
        <w:t xml:space="preserve">Write the letter of the matching answer beside each item.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(25,000)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20% × 755,000 = 151,000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(20,000)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1,900,000 + 151,000 − 20,000 = 2,031,000</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900,000 − 120,000 − 25,000 = 755,000</w:t>
            </w:r>
          </w:p>
        </w:tc>
      </w:tr>
    </w:tbl>
    <w:p/>
    <w:p>
      <w:pPr>
        <w:spacing w:before="24" w:after="24"/>
        <w:ind w:left="300" w:hanging="300"/>
      </w:pPr>
      <w:r>
        <w:rPr>
          <w:b/>
          <w:bCs/>
          <w:color w:val="353A7C"/>
          <w:sz w:val="18"/>
          <w:szCs w:val="18"/>
        </w:rPr>
        <w:t xml:space="preserve">15.  </w:t>
      </w:r>
      <w:r>
        <w:rPr>
          <w:sz w:val="18"/>
          <w:szCs w:val="18"/>
        </w:rPr>
        <w:t xml:space="preserve">Less: upstream unrealized profit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Adjusted net income of Levant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NCI share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Less: dividends paid to NCI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NCI at December 31, 2027</w:t>
      </w:r>
      <w:r>
        <w:rPr>
          <w:sz w:val="18"/>
          <w:szCs w:val="18"/>
        </w:rPr>
        <w:t xml:space="preserve">      </w:t>
      </w:r>
      <w:r>
        <w:rPr>
          <w:u w:val="single"/>
          <w:sz w:val="18"/>
          <w:szCs w:val="18"/>
        </w:rPr>
        <w:t xml:space="preserve">        </w:t>
      </w:r>
    </w:p>
    <w:p/>
    <w:p>
      <w:pPr>
        <w:pageBreakBefore w:val="true"/>
        <w:spacing w:after="0"/>
      </w:pPr>
      <w:r>
        <w:rPr>
          <w:sz w:val="2"/>
        </w:rPr>
        <w:t xml:space="preserve"> </w:t>
      </w:r>
    </w:p>
    <w:p>
      <w:pPr>
        <w:spacing w:before="40" w:after="16"/>
        <w:ind w:left="300" w:hanging="300"/>
      </w:pPr>
      <w:r>
        <w:rPr>
          <w:b/>
          <w:bCs/>
          <w:color w:val="353A7C"/>
          <w:sz w:val="19"/>
          <w:szCs w:val="19"/>
        </w:rPr>
        <w:t xml:space="preserve">20.  </w:t>
      </w:r>
      <w:r>
        <w:rPr>
          <w:sz w:val="19"/>
          <w:szCs w:val="19"/>
        </w:rPr>
        <w:t xml:space="preserve">The extract for this question is printed with it. What happens to the truck gain in the 2027 consolidated statements?</w:t>
      </w:r>
    </w:p>
    <w:p>
      <w:pPr>
        <w:spacing w:after="18"/>
        <w:ind w:left="560" w:hanging="260"/>
      </w:pPr>
      <w:r>
        <w:rPr>
          <w:b/>
          <w:bCs/>
          <w:color w:val="8186EF"/>
          <w:sz w:val="18"/>
          <w:szCs w:val="18"/>
        </w:rPr>
        <w:t xml:space="preserve">A. </w:t>
      </w:r>
      <w:r>
        <w:rPr>
          <w:sz w:val="18"/>
          <w:szCs w:val="18"/>
        </w:rPr>
        <w:t xml:space="preserve">The gain stays because it was a real sale</w:t>
      </w:r>
    </w:p>
    <w:p>
      <w:pPr>
        <w:spacing w:after="18"/>
        <w:ind w:left="560" w:hanging="260"/>
      </w:pPr>
      <w:r>
        <w:rPr>
          <w:b/>
          <w:bCs/>
          <w:color w:val="8186EF"/>
          <w:sz w:val="18"/>
          <w:szCs w:val="18"/>
        </w:rPr>
        <w:t xml:space="preserve">B. </w:t>
      </w:r>
      <w:r>
        <w:rPr>
          <w:sz w:val="18"/>
          <w:szCs w:val="18"/>
        </w:rPr>
        <w:t xml:space="preserve">The 30,000 gain is removed, and 6,000 of extra depreciation is reversed</w:t>
      </w:r>
    </w:p>
    <w:p>
      <w:pPr>
        <w:spacing w:after="18"/>
        <w:ind w:left="560" w:hanging="260"/>
      </w:pPr>
      <w:r>
        <w:rPr>
          <w:b/>
          <w:bCs/>
          <w:color w:val="8186EF"/>
          <w:sz w:val="18"/>
          <w:szCs w:val="18"/>
        </w:rPr>
        <w:t xml:space="preserve">C. </w:t>
      </w:r>
      <w:r>
        <w:rPr>
          <w:sz w:val="18"/>
          <w:szCs w:val="18"/>
        </w:rPr>
        <w:t xml:space="preserve">Only 80% of the gain is removed</w:t>
      </w:r>
    </w:p>
    <w:p>
      <w:pPr>
        <w:spacing w:after="18"/>
        <w:ind w:left="560" w:hanging="260"/>
      </w:pPr>
      <w:r>
        <w:rPr>
          <w:b/>
          <w:bCs/>
          <w:color w:val="8186EF"/>
          <w:sz w:val="18"/>
          <w:szCs w:val="18"/>
        </w:rPr>
        <w:t xml:space="preserve">D. </w:t>
      </w:r>
      <w:r>
        <w:rPr>
          <w:sz w:val="18"/>
          <w:szCs w:val="18"/>
        </w:rPr>
        <w:t xml:space="preserve">The gain moves to OCI</w:t>
      </w:r>
    </w:p>
    <w:p>
      <w:pPr>
        <w:spacing w:before="40" w:after="16"/>
        <w:ind w:left="300" w:hanging="300"/>
      </w:pPr>
      <w:r>
        <w:rPr>
          <w:b/>
          <w:bCs/>
          <w:color w:val="353A7C"/>
          <w:sz w:val="19"/>
          <w:szCs w:val="19"/>
        </w:rPr>
        <w:t xml:space="preserve">21.  </w:t>
      </w:r>
      <w:r>
        <w:rPr>
          <w:sz w:val="19"/>
          <w:szCs w:val="19"/>
        </w:rPr>
        <w:t xml:space="preserve">The extract for this question is printed with it. How much intercompany sales revenue is removed in consolidation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750,000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23.  </w:t>
      </w:r>
      <w:r>
        <w:rPr>
          <w:sz w:val="19"/>
          <w:szCs w:val="19"/>
        </w:rPr>
        <w:t xml:space="preserve">Rebuild the figure from this handout. Label every part and fill in every box.</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consolidated financial statements  ·  intercompany transaction  ·  acquisition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16.2</w:t>
      </w:r>
    </w:p>
    <w:p>
      <w:pPr>
        <w:spacing w:after="8"/>
      </w:pPr>
      <w:r>
        <w:rPr>
          <w:color w:val="23265A"/>
          <w:sz w:val="22"/>
          <w:szCs w:val="22"/>
        </w:rPr>
        <w:t xml:space="preserve">Two control models: VIE first, then votes</w:t>
      </w:r>
    </w:p>
    <w:p>
      <w:pPr>
        <w:spacing w:after="130"/>
      </w:pPr>
      <w:r>
        <w:rPr>
          <w:color w:val="6B7280"/>
          <w:sz w:val="20"/>
          <w:szCs w:val="20"/>
        </w:rPr>
        <w:t xml:space="preserve">section 16.2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62"/>
        <w:gridCol w:w="3961"/>
        <w:gridCol w:w="357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7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6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6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74"/>
            <w:tcMar>
              <w:top w:type="dxa" w:w="50"/>
              <w:left w:type="dxa" w:w="110"/>
              <w:bottom w:type="dxa" w:w="50"/>
              <w:right w:type="dxa" w:w="110"/>
            </w:tcMar>
          </w:tcPr>
          <w:p>
            <w:pPr>
              <w:spacing w:before="26" w:after="26"/>
            </w:pPr>
            <w:r>
              <w:rPr>
                <w:color w:val="232733"/>
                <w:sz w:val="16"/>
                <w:szCs w:val="16"/>
              </w:rPr>
              <w:t xml:space="preserve">Two control models: VIE first, then votes</w:t>
            </w:r>
          </w:p>
        </w:tc>
        <w:tc>
          <w:tcPr>
            <w:tcW w:type="pct" w:w="2063"/>
            <w:tcMar>
              <w:top w:type="dxa" w:w="50"/>
              <w:left w:type="dxa" w:w="110"/>
              <w:bottom w:type="dxa" w:w="50"/>
              <w:right w:type="dxa" w:w="110"/>
            </w:tcMar>
          </w:tcPr>
          <w:p>
            <w:pPr>
              <w:spacing w:before="26" w:after="26"/>
            </w:pPr>
            <w:r>
              <w:rPr>
                <w:color w:val="232733"/>
                <w:sz w:val="16"/>
                <w:szCs w:val="16"/>
              </w:rPr>
              <w:t xml:space="preserve">a figure to read · Suppose: Orontes Cold-Chain Logistics SPV, 2027</w:t>
            </w:r>
          </w:p>
        </w:tc>
        <w:tc>
          <w:tcPr>
            <w:tcW w:type="pct" w:w="186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7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63"/>
            <w:shd w:fill="FBFAF6" w:val="clear"/>
            <w:tcMar>
              <w:top w:type="dxa" w:w="50"/>
              <w:left w:type="dxa" w:w="110"/>
              <w:bottom w:type="dxa" w:w="50"/>
              <w:right w:type="dxa" w:w="110"/>
            </w:tcMar>
          </w:tcPr>
          <w:p>
            <w:pPr>
              <w:spacing w:before="26" w:after="26"/>
            </w:pPr>
            <w:r>
              <w:rPr>
                <w:color w:val="232733"/>
                <w:sz w:val="16"/>
                <w:szCs w:val="16"/>
              </w:rPr>
              <w:t xml:space="preserve">a figure to read · Investment · The English the exam uses, and what it translates</w:t>
            </w:r>
          </w:p>
        </w:tc>
        <w:tc>
          <w:tcPr>
            <w:tcW w:type="pct" w:w="186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parent</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00"/>
            <w:tcMar>
              <w:top w:type="dxa" w:w="50"/>
              <w:left w:type="dxa" w:w="110"/>
              <w:bottom w:type="dxa" w:w="50"/>
              <w:right w:type="dxa" w:w="110"/>
            </w:tcMar>
          </w:tcPr>
          <w:p>
            <w:pPr>
              <w:spacing w:before="26" w:after="26"/>
            </w:pPr>
            <w:r>
              <w:rPr>
                <w:color w:val="232733"/>
                <w:sz w:val="16"/>
                <w:szCs w:val="16"/>
              </w:rPr>
              <w:t xml:space="preserve">goodwill</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activities   ·   interest   ·   joint venture   ·   finance</w:t>
      </w:r>
    </w:p>
    <w:p>
      <w:pPr>
        <w:spacing w:before="36" w:after="36"/>
        <w:ind w:left="300"/>
      </w:pPr>
      <w:r>
        <w:rPr>
          <w:sz w:val="19"/>
          <w:szCs w:val="19"/>
        </w:rPr>
        <w:t xml:space="preserve">An entity is a VIE if its equity at risk is too small to </w:t>
      </w:r>
      <w:r>
        <w:rPr>
          <w:u w:val="single"/>
          <w:sz w:val="19"/>
          <w:szCs w:val="19"/>
        </w:rPr>
        <w:t xml:space="preserve">           </w:t>
      </w:r>
      <w:r>
        <w:rPr>
          <w:sz w:val="19"/>
          <w:szCs w:val="19"/>
        </w:rPr>
        <w:t xml:space="preserve"> its </w:t>
      </w:r>
      <w:r>
        <w:rPr>
          <w:u w:val="single"/>
          <w:sz w:val="19"/>
          <w:szCs w:val="19"/>
        </w:rPr>
        <w:t xml:space="preserve">            </w:t>
      </w:r>
      <w:r>
        <w:rPr>
          <w:sz w:val="19"/>
          <w:szCs w:val="19"/>
        </w:rPr>
        <w:t xml:space="preserve">, or if its equity holders do not have the power to direct it or do not bear its losses and returns. If the entity is not a VIE, the voting </w:t>
      </w:r>
      <w:r>
        <w:rPr>
          <w:u w:val="single"/>
          <w:sz w:val="19"/>
          <w:szCs w:val="19"/>
        </w:rPr>
        <w:t xml:space="preserve">           </w:t>
      </w:r>
      <w:r>
        <w:rPr>
          <w:sz w:val="19"/>
          <w:szCs w:val="19"/>
        </w:rPr>
        <w:t xml:space="preserve"> model applies.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substantive   ·   participating   ·   joint venture   ·   subsidiary   ·   entrepreneur</w:t>
      </w:r>
    </w:p>
    <w:p>
      <w:pPr>
        <w:spacing w:before="36" w:after="36"/>
        <w:ind w:left="300"/>
      </w:pPr>
      <w:r>
        <w:rPr>
          <w:sz w:val="19"/>
          <w:szCs w:val="19"/>
        </w:rPr>
        <w:t xml:space="preserve">A company that holds more than 50% of the votes generally controls the entity, unless other owners have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rights, such as the right to approve budgets. Suppose a logistics </w:t>
      </w:r>
      <w:r>
        <w:rPr>
          <w:u w:val="single"/>
          <w:sz w:val="19"/>
          <w:szCs w:val="19"/>
        </w:rPr>
        <w:t xml:space="preserve">              </w:t>
      </w:r>
      <w:r>
        <w:rPr>
          <w:sz w:val="19"/>
          <w:szCs w:val="19"/>
        </w:rPr>
        <w:t xml:space="preserve"> owns all the shares of Orontes Cold-Chain Logistics SPV.</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consolidates   ·   primary beneficiary   ·   entrepreneur's   ·   joint venture</w:t>
      </w:r>
    </w:p>
    <w:p>
      <w:pPr>
        <w:spacing w:before="36" w:after="36"/>
        <w:ind w:left="300"/>
      </w:pPr>
      <w:r>
        <w:rPr>
          <w:sz w:val="19"/>
          <w:szCs w:val="19"/>
        </w:rPr>
        <w:t xml:space="preserve">Orontes has the power and bears the losses through its guarantee, so it is the </w:t>
      </w:r>
      <w:r>
        <w:rPr>
          <w:u w:val="single"/>
          <w:sz w:val="19"/>
          <w:szCs w:val="19"/>
        </w:rPr>
        <w:t xml:space="preserve">                     </w:t>
      </w:r>
      <w:r>
        <w:rPr>
          <w:sz w:val="19"/>
          <w:szCs w:val="19"/>
        </w:rPr>
        <w:t xml:space="preserve">. Orontes </w:t>
      </w:r>
      <w:r>
        <w:rPr>
          <w:u w:val="single"/>
          <w:sz w:val="19"/>
          <w:szCs w:val="19"/>
        </w:rPr>
        <w:t xml:space="preserve">              </w:t>
      </w:r>
      <w:r>
        <w:rPr>
          <w:sz w:val="19"/>
          <w:szCs w:val="19"/>
        </w:rPr>
        <w:t xml:space="preserve"> the SPV although it owns no shares. The </w:t>
      </w:r>
      <w:r>
        <w:rPr>
          <w:u w:val="single"/>
          <w:sz w:val="19"/>
          <w:szCs w:val="19"/>
        </w:rPr>
        <w:t xml:space="preserve">                </w:t>
      </w:r>
      <w:r>
        <w:rPr>
          <w:sz w:val="19"/>
          <w:szCs w:val="19"/>
        </w:rPr>
        <w:t xml:space="preserve"> $100,000 is NCI. Test the VIE model before counting votes.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Two control models: VIE first, then votes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8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7875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5"/>
        <w:gridCol w:w="4496"/>
        <w:gridCol w:w="13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Cold-Chain Logistics SPV, 2027 — the book’s own table</w:t>
            </w:r>
          </w:p>
        </w:tc>
      </w:tr>
      <w:tr>
        <w:tc>
          <w:tcPr>
            <w:tcW w:type="pct" w:w="1935"/>
            <w:tcMar>
              <w:top w:type="dxa" w:w="50"/>
              <w:left w:type="dxa" w:w="110"/>
              <w:bottom w:type="dxa" w:w="50"/>
              <w:right w:type="dxa" w:w="110"/>
            </w:tcMar>
          </w:tcPr>
          <w:p>
            <w:pPr>
              <w:spacing w:before="26" w:after="26"/>
            </w:pPr>
            <w:r>
              <w:rPr>
                <w:b/>
                <w:bCs/>
                <w:color w:val="353A7C"/>
                <w:sz w:val="15"/>
                <w:szCs w:val="15"/>
              </w:rPr>
              <w:t xml:space="preserve">Suppose: Orontes Cold-Chain Logistics SPV, 2027</w:t>
            </w:r>
          </w:p>
        </w:tc>
        <w:tc>
          <w:tcPr>
            <w:tcW w:type="pct" w:w="2342"/>
            <w:tcMar>
              <w:top w:type="dxa" w:w="50"/>
              <w:left w:type="dxa" w:w="110"/>
              <w:bottom w:type="dxa" w:w="50"/>
              <w:right w:type="dxa" w:w="110"/>
            </w:tcMar>
          </w:tcPr>
          <w:p>
            <w:pPr>
              <w:spacing w:before="26" w:after="26"/>
            </w:pPr>
            <w:r>
              <w:rPr>
                <w:b/>
                <w:bCs/>
                <w:color w:val="353A7C"/>
                <w:sz w:val="15"/>
                <w:szCs w:val="15"/>
              </w:rPr>
              <w:t xml:space="preserve">Facts (whole USD)</w:t>
            </w:r>
          </w:p>
        </w:tc>
        <w:tc>
          <w:tcPr>
            <w:tcW w:type="pct" w:w="723"/>
            <w:tcMar>
              <w:top w:type="dxa" w:w="50"/>
              <w:left w:type="dxa" w:w="110"/>
              <w:bottom w:type="dxa" w:w="50"/>
              <w:right w:type="dxa" w:w="110"/>
            </w:tcMar>
          </w:tcPr>
          <w:p>
            <w:pPr>
              <w:spacing w:before="26" w:after="26"/>
            </w:pPr>
            <w:r>
              <w:rPr>
                <w:b/>
                <w:bCs/>
                <w:color w:val="353A7C"/>
                <w:sz w:val="15"/>
                <w:szCs w:val="15"/>
              </w:rPr>
              <w:t xml:space="preserve">Conclusion</w:t>
            </w:r>
          </w:p>
        </w:tc>
      </w:tr>
      <w:tr>
        <w:tc>
          <w:tcPr>
            <w:tcW w:type="pct" w:w="1935"/>
            <w:tcMar>
              <w:top w:type="dxa" w:w="50"/>
              <w:left w:type="dxa" w:w="110"/>
              <w:bottom w:type="dxa" w:w="50"/>
              <w:right w:type="dxa" w:w="110"/>
            </w:tcMar>
          </w:tcPr>
          <w:p>
            <w:pPr>
              <w:spacing w:before="26" w:after="26"/>
            </w:pPr>
            <w:r>
              <w:rPr>
                <w:color w:val="232733"/>
                <w:sz w:val="16"/>
                <w:szCs w:val="16"/>
              </w:rPr>
              <w:t xml:space="preserve">Is equity at risk enough to finance the activities?</w:t>
            </w:r>
          </w:p>
        </w:tc>
        <w:tc>
          <w:tcPr>
            <w:tcW w:type="pct" w:w="2342"/>
            <w:tcMar>
              <w:top w:type="dxa" w:w="50"/>
              <w:left w:type="dxa" w:w="110"/>
              <w:bottom w:type="dxa" w:w="50"/>
              <w:right w:type="dxa" w:w="110"/>
            </w:tcMar>
          </w:tcPr>
          <w:p>
            <w:pPr>
              <w:spacing w:before="26" w:after="26"/>
            </w:pPr>
            <w:r>
              <w:rPr>
                <w:color w:val="232733"/>
                <w:sz w:val="16"/>
                <w:szCs w:val="16"/>
              </w:rPr>
              <w:t xml:space="preserve">No: third-party equity is 100,000, only 1% of total funding</w:t>
            </w:r>
          </w:p>
        </w:tc>
        <w:tc>
          <w:tcPr>
            <w:tcW w:type="pct" w:w="723"/>
            <w:tcMar>
              <w:top w:type="dxa" w:w="50"/>
              <w:left w:type="dxa" w:w="110"/>
              <w:bottom w:type="dxa" w:w="50"/>
              <w:right w:type="dxa" w:w="110"/>
            </w:tcMar>
          </w:tcPr>
          <w:p>
            <w:pPr>
              <w:spacing w:before="26" w:after="26"/>
            </w:pPr>
            <w:r>
              <w:rPr>
                <w:color w:val="232733"/>
                <w:sz w:val="16"/>
                <w:szCs w:val="16"/>
              </w:rPr>
              <w:t xml:space="preserve">Suggests a VIE</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Do the equity holders direct the key activities?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No: Orontes decides routes and customers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VIE</w:t>
            </w:r>
          </w:p>
        </w:tc>
      </w:tr>
      <w:tr>
        <w:tc>
          <w:tcPr>
            <w:tcW w:type="pct" w:w="1935"/>
            <w:tcMar>
              <w:top w:type="dxa" w:w="50"/>
              <w:left w:type="dxa" w:w="110"/>
              <w:bottom w:type="dxa" w:w="50"/>
              <w:right w:type="dxa" w:w="110"/>
            </w:tcMar>
          </w:tcPr>
          <w:p>
            <w:pPr>
              <w:spacing w:before="26" w:after="26"/>
            </w:pPr>
            <w:r>
              <w:rPr>
                <w:color w:val="232733"/>
                <w:sz w:val="16"/>
                <w:szCs w:val="16"/>
              </w:rPr>
              <w:t xml:space="preserve">Who absorbs losses?</w:t>
            </w:r>
          </w:p>
        </w:tc>
        <w:tc>
          <w:tcPr>
            <w:tcW w:type="pct" w:w="2342"/>
            <w:tcMar>
              <w:top w:type="dxa" w:w="50"/>
              <w:left w:type="dxa" w:w="110"/>
              <w:bottom w:type="dxa" w:w="50"/>
              <w:right w:type="dxa" w:w="110"/>
            </w:tcMar>
          </w:tcPr>
          <w:p>
            <w:pPr>
              <w:spacing w:before="26" w:after="26"/>
            </w:pPr>
            <w:r>
              <w:rPr>
                <w:color w:val="232733"/>
                <w:sz w:val="16"/>
                <w:szCs w:val="16"/>
              </w:rPr>
              <w:t xml:space="preserve">Orontes guarantees the 9,900,000 of debt</w:t>
            </w:r>
          </w:p>
        </w:tc>
        <w:tc>
          <w:tcPr>
            <w:tcW w:type="pct" w:w="723"/>
            <w:tcMar>
              <w:top w:type="dxa" w:w="50"/>
              <w:left w:type="dxa" w:w="110"/>
              <w:bottom w:type="dxa" w:w="50"/>
              <w:right w:type="dxa" w:w="110"/>
            </w:tcMar>
          </w:tcPr>
          <w:p>
            <w:pPr>
              <w:spacing w:before="26" w:after="26"/>
            </w:pPr>
            <w:r>
              <w:rPr>
                <w:color w:val="232733"/>
                <w:sz w:val="16"/>
                <w:szCs w:val="16"/>
              </w:rPr>
              <w:t xml:space="preserve">Orontes</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Orontes has both power and exposure to significant losses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Orontes consolidates</w:t>
            </w:r>
          </w:p>
        </w:tc>
      </w:tr>
      <w:tr>
        <w:tc>
          <w:tcPr>
            <w:tcW w:type="pct" w:w="1935"/>
            <w:tcMar>
              <w:top w:type="dxa" w:w="50"/>
              <w:left w:type="dxa" w:w="110"/>
              <w:bottom w:type="dxa" w:w="50"/>
              <w:right w:type="dxa" w:w="110"/>
            </w:tcMar>
          </w:tcPr>
          <w:p>
            <w:pPr>
              <w:spacing w:before="26" w:after="26"/>
            </w:pPr>
            <w:r>
              <w:rPr>
                <w:color w:val="232733"/>
                <w:sz w:val="16"/>
                <w:szCs w:val="16"/>
              </w:rPr>
              <w:t xml:space="preserve">NCI in consolidation</w:t>
            </w:r>
          </w:p>
        </w:tc>
        <w:tc>
          <w:tcPr>
            <w:tcW w:type="pct" w:w="2342"/>
            <w:tcMar>
              <w:top w:type="dxa" w:w="50"/>
              <w:left w:type="dxa" w:w="110"/>
              <w:bottom w:type="dxa" w:w="50"/>
              <w:right w:type="dxa" w:w="110"/>
            </w:tcMar>
          </w:tcPr>
          <w:p>
            <w:pPr>
              <w:spacing w:before="26" w:after="26"/>
            </w:pPr>
            <w:r>
              <w:rPr>
                <w:color w:val="232733"/>
                <w:sz w:val="16"/>
                <w:szCs w:val="16"/>
              </w:rPr>
              <w:t xml:space="preserve">The third party's equity of 100,000</w:t>
            </w:r>
          </w:p>
        </w:tc>
        <w:tc>
          <w:tcPr>
            <w:tcW w:type="pct" w:w="723"/>
            <w:tcMar>
              <w:top w:type="dxa" w:w="50"/>
              <w:left w:type="dxa" w:w="110"/>
              <w:bottom w:type="dxa" w:w="50"/>
              <w:right w:type="dxa" w:w="110"/>
            </w:tcMar>
          </w:tcPr>
          <w:p>
            <w:pPr>
              <w:spacing w:before="26" w:after="26"/>
            </w:pPr>
            <w:r>
              <w:rPr>
                <w:color w:val="232733"/>
                <w:sz w:val="16"/>
                <w:szCs w:val="16"/>
              </w:rPr>
              <w:t xml:space="preserve">Shown as NCI</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conclusion does the book give for Is equity at risk enough to finance the activities??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Orontes consolidates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Suggests a VIE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Shown as NCI</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How is consolidated net income presented under U.S. GAAP?</w:t>
      </w:r>
    </w:p>
    <w:p>
      <w:pPr>
        <w:spacing w:after="18"/>
        <w:ind w:left="560" w:hanging="260"/>
      </w:pPr>
      <w:r>
        <w:rPr>
          <w:b/>
          <w:bCs/>
          <w:color w:val="8186EF"/>
          <w:sz w:val="18"/>
          <w:szCs w:val="18"/>
        </w:rPr>
        <w:t xml:space="preserve">A. </w:t>
      </w:r>
      <w:r>
        <w:rPr>
          <w:sz w:val="18"/>
          <w:szCs w:val="18"/>
        </w:rPr>
        <w:t xml:space="preserve">Only the parent's share is shown</w:t>
      </w:r>
    </w:p>
    <w:p>
      <w:pPr>
        <w:spacing w:after="18"/>
        <w:ind w:left="560" w:hanging="260"/>
      </w:pPr>
      <w:r>
        <w:rPr>
          <w:b/>
          <w:bCs/>
          <w:color w:val="8186EF"/>
          <w:sz w:val="18"/>
          <w:szCs w:val="18"/>
        </w:rPr>
        <w:t xml:space="preserve">B. </w:t>
      </w:r>
      <w:r>
        <w:rPr>
          <w:sz w:val="18"/>
          <w:szCs w:val="18"/>
        </w:rPr>
        <w:t xml:space="preserve">NCI's share is shown as an expense</w:t>
      </w:r>
    </w:p>
    <w:p>
      <w:pPr>
        <w:spacing w:after="18"/>
        <w:ind w:left="560" w:hanging="260"/>
      </w:pPr>
      <w:r>
        <w:rPr>
          <w:b/>
          <w:bCs/>
          <w:color w:val="8186EF"/>
          <w:sz w:val="18"/>
          <w:szCs w:val="18"/>
        </w:rPr>
        <w:t xml:space="preserve">C. </w:t>
      </w:r>
      <w:r>
        <w:rPr>
          <w:sz w:val="18"/>
          <w:szCs w:val="18"/>
        </w:rPr>
        <w:t xml:space="preserve">In total, then split between the parent and NCI on the face</w:t>
      </w:r>
    </w:p>
    <w:p>
      <w:pPr>
        <w:spacing w:after="18"/>
        <w:ind w:left="560" w:hanging="260"/>
      </w:pPr>
      <w:r>
        <w:rPr>
          <w:b/>
          <w:bCs/>
          <w:color w:val="8186EF"/>
          <w:sz w:val="18"/>
          <w:szCs w:val="18"/>
        </w:rPr>
        <w:t xml:space="preserve">D. </w:t>
      </w:r>
      <w:r>
        <w:rPr>
          <w:sz w:val="18"/>
          <w:szCs w:val="18"/>
        </w:rPr>
        <w:t xml:space="preserve">NCI's share is shown only in the notes</w:t>
      </w:r>
    </w:p>
    <w:p>
      <w:pPr>
        <w:spacing w:before="40" w:after="16"/>
        <w:ind w:left="300" w:hanging="300"/>
      </w:pPr>
      <w:r>
        <w:rPr>
          <w:b/>
          <w:bCs/>
          <w:color w:val="353A7C"/>
          <w:sz w:val="19"/>
          <w:szCs w:val="19"/>
        </w:rPr>
        <w:t xml:space="preserve">7.  </w:t>
      </w:r>
      <w:r>
        <w:rPr>
          <w:sz w:val="19"/>
          <w:szCs w:val="19"/>
        </w:rPr>
        <w:t xml:space="preserve">Under U.S. GAAP, which party must reassess whether it is a VIE's primary beneficiary every reporting period?</w:t>
      </w:r>
    </w:p>
    <w:p>
      <w:pPr>
        <w:spacing w:after="18"/>
        <w:ind w:left="560" w:hanging="260"/>
      </w:pPr>
      <w:r>
        <w:rPr>
          <w:b/>
          <w:bCs/>
          <w:color w:val="8186EF"/>
          <w:sz w:val="18"/>
          <w:szCs w:val="18"/>
        </w:rPr>
        <w:t xml:space="preserve">A. </w:t>
      </w:r>
      <w:r>
        <w:rPr>
          <w:sz w:val="18"/>
          <w:szCs w:val="18"/>
        </w:rPr>
        <w:t xml:space="preserve">Every party with a variable interest</w:t>
      </w:r>
    </w:p>
    <w:p>
      <w:pPr>
        <w:spacing w:after="18"/>
        <w:ind w:left="560" w:hanging="260"/>
      </w:pPr>
      <w:r>
        <w:rPr>
          <w:b/>
          <w:bCs/>
          <w:color w:val="8186EF"/>
          <w:sz w:val="18"/>
          <w:szCs w:val="18"/>
        </w:rPr>
        <w:t xml:space="preserve">B. </w:t>
      </w:r>
      <w:r>
        <w:rPr>
          <w:sz w:val="18"/>
          <w:szCs w:val="18"/>
        </w:rPr>
        <w:t xml:space="preserve">Only the largest lender</w:t>
      </w:r>
    </w:p>
    <w:p>
      <w:pPr>
        <w:spacing w:after="18"/>
        <w:ind w:left="560" w:hanging="260"/>
      </w:pPr>
      <w:r>
        <w:rPr>
          <w:b/>
          <w:bCs/>
          <w:color w:val="8186EF"/>
          <w:sz w:val="18"/>
          <w:szCs w:val="18"/>
        </w:rPr>
        <w:t xml:space="preserve">C. </w:t>
      </w:r>
      <w:r>
        <w:rPr>
          <w:sz w:val="18"/>
          <w:szCs w:val="18"/>
        </w:rPr>
        <w:t xml:space="preserve">Only the equity holders</w:t>
      </w:r>
    </w:p>
    <w:p>
      <w:pPr>
        <w:spacing w:after="18"/>
        <w:ind w:left="560" w:hanging="260"/>
      </w:pPr>
      <w:r>
        <w:rPr>
          <w:b/>
          <w:bCs/>
          <w:color w:val="8186EF"/>
          <w:sz w:val="18"/>
          <w:szCs w:val="18"/>
        </w:rPr>
        <w:t xml:space="preserve">D. </w:t>
      </w:r>
      <w:r>
        <w:rPr>
          <w:sz w:val="18"/>
          <w:szCs w:val="18"/>
        </w:rPr>
        <w:t xml:space="preserve">No one; it is decided once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8.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0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5014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Investment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Tadmor Retail (75%)</w:t>
            </w:r>
          </w:p>
        </w:tc>
        <w:tc>
          <w:tcPr>
            <w:tcW w:type="pct" w:w="2400"/>
            <w:tcMar>
              <w:top w:type="dxa" w:w="50"/>
              <w:left w:type="dxa" w:w="110"/>
              <w:bottom w:type="dxa" w:w="50"/>
              <w:right w:type="dxa" w:w="110"/>
            </w:tcMar>
          </w:tcPr>
          <w:p>
            <w:pPr>
              <w:spacing w:before="26" w:after="26"/>
            </w:pPr>
            <w:r>
              <w:rPr>
                <w:color w:val="232733"/>
                <w:sz w:val="16"/>
                <w:szCs w:val="16"/>
              </w:rPr>
              <w:t xml:space="preserve">Full consolidation</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Supplier (30%, significant influence)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method</w:t>
            </w:r>
          </w:p>
        </w:tc>
      </w:tr>
      <w:tr>
        <w:tc>
          <w:tcPr>
            <w:tcW w:type="pct" w:w="2600"/>
            <w:tcMar>
              <w:top w:type="dxa" w:w="50"/>
              <w:left w:type="dxa" w:w="110"/>
              <w:bottom w:type="dxa" w:w="50"/>
              <w:right w:type="dxa" w:w="110"/>
            </w:tcMar>
          </w:tcPr>
          <w:p>
            <w:pPr>
              <w:spacing w:before="26" w:after="26"/>
            </w:pPr>
            <w:r>
              <w:rPr>
                <w:color w:val="232733"/>
                <w:sz w:val="16"/>
                <w:szCs w:val="16"/>
              </w:rPr>
              <w:t xml:space="preserve">Listed food company (8%)</w:t>
            </w:r>
          </w:p>
        </w:tc>
        <w:tc>
          <w:tcPr>
            <w:tcW w:type="pct" w:w="2400"/>
            <w:tcMar>
              <w:top w:type="dxa" w:w="50"/>
              <w:left w:type="dxa" w:w="110"/>
              <w:bottom w:type="dxa" w:w="50"/>
              <w:right w:type="dxa" w:w="110"/>
            </w:tcMar>
          </w:tcPr>
          <w:p>
            <w:pPr>
              <w:spacing w:before="26" w:after="26"/>
            </w:pPr>
            <w:r>
              <w:rPr>
                <w:color w:val="232733"/>
                <w:sz w:val="16"/>
                <w:szCs w:val="16"/>
              </w:rPr>
              <w:t xml:space="preserve">Fair value through net income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Cold-storage SPV that Barada directs and guarantees (VIE)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Full consolidation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8"/>
        <w:gridCol w:w="48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94"/>
            <w:tcMar>
              <w:top w:type="dxa" w:w="50"/>
              <w:left w:type="dxa" w:w="110"/>
              <w:bottom w:type="dxa" w:w="50"/>
              <w:right w:type="dxa" w:w="110"/>
            </w:tcMar>
          </w:tcPr>
          <w:p>
            <w:pPr>
              <w:spacing w:before="26" w:after="26"/>
            </w:pPr>
            <w:r>
              <w:rPr>
                <w:color w:val="232733"/>
                <w:sz w:val="16"/>
                <w:szCs w:val="16"/>
              </w:rPr>
              <w:t xml:space="preserve">parent</w:t>
            </w:r>
          </w:p>
        </w:tc>
        <w:tc>
          <w:tcPr>
            <w:tcW w:type="pct" w:w="2506"/>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494"/>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06"/>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94"/>
            <w:tcMar>
              <w:top w:type="dxa" w:w="50"/>
              <w:left w:type="dxa" w:w="110"/>
              <w:bottom w:type="dxa" w:w="50"/>
              <w:right w:type="dxa" w:w="110"/>
            </w:tcMar>
          </w:tcPr>
          <w:p>
            <w:pPr>
              <w:spacing w:before="26" w:after="26"/>
            </w:pPr>
            <w:r>
              <w:rPr>
                <w:color w:val="232733"/>
                <w:sz w:val="16"/>
                <w:szCs w:val="16"/>
              </w:rPr>
              <w:t xml:space="preserve">goodwill</w:t>
            </w:r>
          </w:p>
        </w:tc>
        <w:tc>
          <w:tcPr>
            <w:tcW w:type="pct" w:w="2506"/>
            <w:tcMar>
              <w:top w:type="dxa" w:w="50"/>
              <w:left w:type="dxa" w:w="110"/>
              <w:bottom w:type="dxa" w:w="50"/>
              <w:right w:type="dxa" w:w="110"/>
            </w:tcMar>
          </w:tcPr>
          <w:p>
            <w:pPr>
              <w:spacing w:before="26" w:after="26"/>
            </w:pPr>
            <w:r>
              <w:rPr>
                <w:color w:val="232733"/>
                <w:sz w:val="16"/>
                <w:szCs w:val="16"/>
              </w:rPr>
              <w:t xml:space="preserve">الشهرة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category does the book give for Tadmor Retail (75%)?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 method</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11.  </w:t>
      </w:r>
      <w:r>
        <w:rPr>
          <w:sz w:val="19"/>
          <w:szCs w:val="19"/>
        </w:rPr>
        <w:t xml:space="preserve">Which category does the book give for Supplier (30%, significant influence)?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 method</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12.  </w:t>
      </w:r>
      <w:r>
        <w:rPr>
          <w:sz w:val="19"/>
          <w:szCs w:val="19"/>
        </w:rPr>
        <w:t xml:space="preserve">Which category does the book give for Listed food company (8%)?</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 method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Full consolidation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Fair value through net income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conclusion does the book give for NCI in consolidation?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Shown as NCI</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Suggests a VIE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Orontes</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24"/>
      </w:pPr>
      <w:r>
        <w:rPr>
          <w:sz w:val="19"/>
          <w:szCs w:val="19"/>
        </w:rPr>
        <w:t xml:space="preserve">Write the letter of the matching entry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No: Orontes decides routes and customers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Orontes guarantees the 9,900,000 of debt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Orontes has both power and exposure to significant losses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No: third-party equity is 100,000, only 1% of total funding</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The third party's equity of 100,000</w:t>
            </w:r>
          </w:p>
        </w:tc>
      </w:tr>
    </w:tbl>
    <w:p/>
    <w:p>
      <w:pPr>
        <w:spacing w:before="24" w:after="24"/>
        <w:ind w:left="300" w:hanging="300"/>
      </w:pPr>
      <w:r>
        <w:rPr>
          <w:b/>
          <w:bCs/>
          <w:color w:val="353A7C"/>
          <w:sz w:val="18"/>
          <w:szCs w:val="18"/>
        </w:rPr>
        <w:t xml:space="preserve">14.  </w:t>
      </w:r>
      <w:r>
        <w:rPr>
          <w:sz w:val="18"/>
          <w:szCs w:val="18"/>
        </w:rPr>
        <w:t xml:space="preserve">Is equity at risk enough to finance the activities?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Do the equity holders direct the key activities?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Who absorbs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Primary beneficiary?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NCI in consolidation</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378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787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parent  ·  unrealized profit  ·  goodwill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16.3</w:t>
      </w:r>
    </w:p>
    <w:p>
      <w:pPr>
        <w:spacing w:after="8"/>
      </w:pPr>
      <w:r>
        <w:rPr>
          <w:color w:val="23265A"/>
          <w:sz w:val="22"/>
          <w:szCs w:val="22"/>
        </w:rPr>
        <w:t xml:space="preserve">Full consolidation, proportionate consolidation and the equity method</w:t>
      </w:r>
    </w:p>
    <w:p>
      <w:pPr>
        <w:spacing w:after="130"/>
      </w:pPr>
      <w:r>
        <w:rPr>
          <w:color w:val="6B7280"/>
          <w:sz w:val="20"/>
          <w:szCs w:val="20"/>
        </w:rPr>
        <w:t xml:space="preserve">section 16.3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27"/>
        <w:gridCol w:w="2771"/>
        <w:gridCol w:w="36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68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7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681"/>
            <w:tcMar>
              <w:top w:type="dxa" w:w="50"/>
              <w:left w:type="dxa" w:w="110"/>
              <w:bottom w:type="dxa" w:w="50"/>
              <w:right w:type="dxa" w:w="110"/>
            </w:tcMar>
          </w:tcPr>
          <w:p>
            <w:pPr>
              <w:spacing w:before="26" w:after="26"/>
            </w:pPr>
            <w:r>
              <w:rPr>
                <w:color w:val="232733"/>
                <w:sz w:val="16"/>
                <w:szCs w:val="16"/>
              </w:rPr>
              <w:t xml:space="preserve">Full consolidation, proportionate consolidation and the equity method</w:t>
            </w:r>
          </w:p>
        </w:tc>
        <w:tc>
          <w:tcPr>
            <w:tcW w:type="pct" w:w="1443"/>
            <w:tcMar>
              <w:top w:type="dxa" w:w="50"/>
              <w:left w:type="dxa" w:w="110"/>
              <w:bottom w:type="dxa" w:w="50"/>
              <w:right w:type="dxa" w:w="110"/>
            </w:tcMar>
          </w:tcPr>
          <w:p>
            <w:pPr>
              <w:spacing w:before="26" w:after="26"/>
            </w:pPr>
            <w:r>
              <w:rPr>
                <w:color w:val="232733"/>
                <w:sz w:val="16"/>
                <w:szCs w:val="16"/>
              </w:rPr>
              <w:t xml:space="preserve">a figure to read · Method · the book’s own rule, gapped</w:t>
            </w:r>
          </w:p>
        </w:tc>
        <w:tc>
          <w:tcPr>
            <w:tcW w:type="pct" w:w="187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68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87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downstream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equity method   ·   upstream sale   ·   goodwill   ·   parent</w:t>
      </w:r>
    </w:p>
    <w:p>
      <w:pPr>
        <w:spacing w:before="36" w:after="36"/>
        <w:ind w:left="300"/>
      </w:pPr>
      <w:r>
        <w:rPr>
          <w:sz w:val="19"/>
          <w:szCs w:val="19"/>
        </w:rPr>
        <w:t xml:space="preserve">The </w:t>
      </w:r>
      <w:r>
        <w:rPr>
          <w:u w:val="single"/>
          <w:sz w:val="19"/>
          <w:szCs w:val="19"/>
        </w:rPr>
        <w:t xml:space="preserve">            </w:t>
      </w:r>
      <w:r>
        <w:rPr>
          <w:sz w:val="19"/>
          <w:szCs w:val="19"/>
        </w:rPr>
        <w:t xml:space="preserve">'s items are added in full, and NCI shows the part the </w:t>
      </w:r>
      <w:r>
        <w:rPr>
          <w:u w:val="single"/>
          <w:sz w:val="19"/>
          <w:szCs w:val="19"/>
        </w:rPr>
        <w:t xml:space="preserve">           </w:t>
      </w:r>
      <w:r>
        <w:rPr>
          <w:sz w:val="19"/>
          <w:szCs w:val="19"/>
        </w:rPr>
        <w:t xml:space="preserve"> does not own. The </w:t>
      </w:r>
      <w:r>
        <w:rPr>
          <w:u w:val="single"/>
          <w:sz w:val="19"/>
          <w:szCs w:val="19"/>
        </w:rPr>
        <w:t xml:space="preserve">               </w:t>
      </w:r>
      <w:r>
        <w:rPr>
          <w:sz w:val="19"/>
          <w:szCs w:val="19"/>
        </w:rPr>
        <w:t xml:space="preserve">, which the LOS call 'equity consolidation', is used when the investor has significant influence, usually 20% to 50% of the votes, and for most joint ventures.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method   ·   upstream sale   ·   unrealized profit   ·   goodwill   ·   subsidiary</w:t>
      </w:r>
    </w:p>
    <w:p>
      <w:pPr>
        <w:spacing w:before="36" w:after="36"/>
        <w:ind w:left="300"/>
      </w:pPr>
      <w:r>
        <w:rPr>
          <w:sz w:val="19"/>
          <w:szCs w:val="19"/>
        </w:rPr>
        <w:t xml:space="preserve">The methods also remove intercompany profit differently. When Jordan Glass sells bottles to Orontes, the </w:t>
      </w:r>
      <w:r>
        <w:rPr>
          <w:u w:val="single"/>
          <w:sz w:val="19"/>
          <w:szCs w:val="19"/>
        </w:rPr>
        <w:t xml:space="preserve">               </w:t>
      </w:r>
      <w:r>
        <w:rPr>
          <w:sz w:val="19"/>
          <w:szCs w:val="19"/>
        </w:rPr>
        <w:t xml:space="preserve"> removes only Orontes's 30% share of the </w:t>
      </w:r>
      <w:r>
        <w:rPr>
          <w:u w:val="single"/>
          <w:sz w:val="19"/>
          <w:szCs w:val="19"/>
        </w:rPr>
        <w:t xml:space="preserve">                   </w:t>
      </w:r>
      <w:r>
        <w:rPr>
          <w:sz w:val="19"/>
          <w:szCs w:val="19"/>
        </w:rPr>
        <w:t xml:space="preserve">: $12,000. A controlled </w:t>
      </w:r>
      <w:r>
        <w:rPr>
          <w:u w:val="single"/>
          <w:sz w:val="19"/>
          <w:szCs w:val="19"/>
        </w:rPr>
        <w:t xml:space="preserve">            </w:t>
      </w:r>
      <w:r>
        <w:rPr>
          <w:sz w:val="19"/>
          <w:szCs w:val="19"/>
        </w:rPr>
        <w:t xml:space="preserve">'s intercompany profit is removed in full.</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goodwill   ·   upstream sale   ·   proportionate consolidation   ·   equity method</w:t>
      </w:r>
    </w:p>
    <w:p>
      <w:pPr>
        <w:spacing w:before="36" w:after="36"/>
        <w:ind w:left="300"/>
      </w:pPr>
      <w:r>
        <w:rPr>
          <w:sz w:val="19"/>
          <w:szCs w:val="19"/>
        </w:rPr>
        <w:t xml:space="preserve">The LOS phrase 'equity consolidation' means the </w:t>
      </w:r>
      <w:r>
        <w:rPr>
          <w:u w:val="single"/>
          <w:sz w:val="19"/>
          <w:szCs w:val="19"/>
        </w:rPr>
        <w:t xml:space="preserve">               </w:t>
      </w:r>
      <w:r>
        <w:rPr>
          <w:sz w:val="19"/>
          <w:szCs w:val="19"/>
        </w:rPr>
        <w:t xml:space="preserve">: one line, no NCI. Also, joint ventures use the equity method, not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Full consolidation, proportionate consolidation and the equity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3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41345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7"/>
        <w:gridCol w:w="2766"/>
        <w:gridCol w:w="2671"/>
        <w:gridCol w:w="2081"/>
        <w:gridCol w:w="89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618"/>
            <w:tcMar>
              <w:top w:type="dxa" w:w="50"/>
              <w:left w:type="dxa" w:w="110"/>
              <w:bottom w:type="dxa" w:w="50"/>
              <w:right w:type="dxa" w:w="110"/>
            </w:tcMar>
          </w:tcPr>
          <w:p>
            <w:pPr>
              <w:spacing w:before="26" w:after="26"/>
            </w:pPr>
            <w:r>
              <w:rPr>
                <w:b/>
                <w:bCs/>
                <w:color w:val="353A7C"/>
                <w:sz w:val="15"/>
                <w:szCs w:val="15"/>
              </w:rPr>
              <w:t xml:space="preserve">Method</w:t>
            </w:r>
          </w:p>
        </w:tc>
        <w:tc>
          <w:tcPr>
            <w:tcW w:type="pct" w:w="1441"/>
            <w:tcMar>
              <w:top w:type="dxa" w:w="50"/>
              <w:left w:type="dxa" w:w="110"/>
              <w:bottom w:type="dxa" w:w="50"/>
              <w:right w:type="dxa" w:w="110"/>
            </w:tcMar>
          </w:tcPr>
          <w:p>
            <w:pPr>
              <w:spacing w:before="26" w:after="26"/>
            </w:pPr>
            <w:r>
              <w:rPr>
                <w:b/>
                <w:bCs/>
                <w:color w:val="353A7C"/>
                <w:sz w:val="15"/>
                <w:szCs w:val="15"/>
              </w:rPr>
              <w:t xml:space="preserve">When used (U.S. GAAP)</w:t>
            </w:r>
          </w:p>
        </w:tc>
        <w:tc>
          <w:tcPr>
            <w:tcW w:type="pct" w:w="1391"/>
            <w:tcMar>
              <w:top w:type="dxa" w:w="50"/>
              <w:left w:type="dxa" w:w="110"/>
              <w:bottom w:type="dxa" w:w="50"/>
              <w:right w:type="dxa" w:w="110"/>
            </w:tcMar>
          </w:tcPr>
          <w:p>
            <w:pPr>
              <w:spacing w:before="26" w:after="26"/>
            </w:pPr>
            <w:r>
              <w:rPr>
                <w:b/>
                <w:bCs/>
                <w:color w:val="353A7C"/>
                <w:sz w:val="15"/>
                <w:szCs w:val="15"/>
              </w:rPr>
              <w:t xml:space="preserve">What appears</w:t>
            </w:r>
          </w:p>
        </w:tc>
        <w:tc>
          <w:tcPr>
            <w:tcW w:type="pct" w:w="1084"/>
            <w:tcMar>
              <w:top w:type="dxa" w:w="50"/>
              <w:left w:type="dxa" w:w="110"/>
              <w:bottom w:type="dxa" w:w="50"/>
              <w:right w:type="dxa" w:w="110"/>
            </w:tcMar>
          </w:tcPr>
          <w:p>
            <w:pPr>
              <w:spacing w:before="26" w:after="26"/>
            </w:pPr>
            <w:r>
              <w:rPr>
                <w:b/>
                <w:bCs/>
                <w:color w:val="353A7C"/>
                <w:sz w:val="15"/>
                <w:szCs w:val="15"/>
              </w:rPr>
              <w:t xml:space="preserve">Intercompany profit removed</w:t>
            </w:r>
          </w:p>
        </w:tc>
        <w:tc>
          <w:tcPr>
            <w:tcW w:type="pct" w:w="466"/>
            <w:tcMar>
              <w:top w:type="dxa" w:w="50"/>
              <w:left w:type="dxa" w:w="110"/>
              <w:bottom w:type="dxa" w:w="50"/>
              <w:right w:type="dxa" w:w="110"/>
            </w:tcMar>
          </w:tcPr>
          <w:p>
            <w:pPr>
              <w:spacing w:before="26" w:after="26"/>
            </w:pPr>
            <w:r>
              <w:rPr>
                <w:b/>
                <w:bCs/>
                <w:color w:val="353A7C"/>
                <w:sz w:val="15"/>
                <w:szCs w:val="15"/>
              </w:rPr>
              <w:t xml:space="preserve">Orontes</w:t>
            </w:r>
          </w:p>
        </w:tc>
      </w:tr>
      <w:tr>
        <w:tc>
          <w:tcPr>
            <w:tcW w:type="pct" w:w="618"/>
            <w:tcMar>
              <w:top w:type="dxa" w:w="50"/>
              <w:left w:type="dxa" w:w="110"/>
              <w:bottom w:type="dxa" w:w="50"/>
              <w:right w:type="dxa" w:w="110"/>
            </w:tcMar>
          </w:tcPr>
          <w:p>
            <w:pPr>
              <w:spacing w:before="26" w:after="26"/>
            </w:pPr>
            <w:r>
              <w:rPr>
                <w:color w:val="232733"/>
                <w:sz w:val="16"/>
                <w:szCs w:val="16"/>
              </w:rPr>
              <w:t xml:space="preserve">Full consolidation</w:t>
            </w:r>
          </w:p>
        </w:tc>
        <w:tc>
          <w:tcPr>
            <w:tcW w:type="pct" w:w="1441"/>
            <w:tcMar>
              <w:top w:type="dxa" w:w="50"/>
              <w:left w:type="dxa" w:w="110"/>
              <w:bottom w:type="dxa" w:w="50"/>
              <w:right w:type="dxa" w:w="110"/>
            </w:tcMar>
          </w:tcPr>
          <w:p>
            <w:pPr>
              <w:spacing w:before="26" w:after="26"/>
            </w:pPr>
            <w:r>
              <w:rPr>
                <w:color w:val="232733"/>
                <w:sz w:val="16"/>
                <w:szCs w:val="16"/>
              </w:rPr>
              <w:t xml:space="preserve">Control (subsidiary or VIE)</w:t>
            </w:r>
          </w:p>
        </w:tc>
        <w:tc>
          <w:tcPr>
            <w:tcW w:type="pct" w:w="1391"/>
            <w:tcMar>
              <w:top w:type="dxa" w:w="50"/>
              <w:left w:type="dxa" w:w="110"/>
              <w:bottom w:type="dxa" w:w="50"/>
              <w:right w:type="dxa" w:w="110"/>
            </w:tcMar>
          </w:tcPr>
          <w:p>
            <w:pPr>
              <w:spacing w:before="26" w:after="26"/>
            </w:pPr>
            <w:r>
              <w:rPr>
                <w:color w:val="232733"/>
                <w:sz w:val="16"/>
                <w:szCs w:val="16"/>
              </w:rPr>
              <w:t xml:space="preserve">100% of each asset, liability, revenue and expense; NCI shown</w:t>
            </w:r>
          </w:p>
        </w:tc>
        <w:tc>
          <w:tcPr>
            <w:tcW w:type="pct" w:w="1084"/>
            <w:tcMar>
              <w:top w:type="dxa" w:w="50"/>
              <w:left w:type="dxa" w:w="110"/>
              <w:bottom w:type="dxa" w:w="50"/>
              <w:right w:type="dxa" w:w="110"/>
            </w:tcMar>
          </w:tcPr>
          <w:p>
            <w:pPr>
              <w:spacing w:before="26" w:after="26"/>
            </w:pPr>
            <w:r>
              <w:rPr>
                <w:color w:val="232733"/>
                <w:sz w:val="16"/>
                <w:szCs w:val="16"/>
              </w:rPr>
              <w:t xml:space="preserve">100% of intercompany items</w:t>
            </w:r>
          </w:p>
        </w:tc>
        <w:tc>
          <w:tcPr>
            <w:tcW w:type="pct" w:w="466"/>
            <w:tcMar>
              <w:top w:type="dxa" w:w="50"/>
              <w:left w:type="dxa" w:w="110"/>
              <w:bottom w:type="dxa" w:w="50"/>
              <w:right w:type="dxa" w:w="110"/>
            </w:tcMar>
          </w:tcPr>
          <w:p>
            <w:pPr>
              <w:spacing w:before="26" w:after="26"/>
            </w:pPr>
            <w:r>
              <w:rPr>
                <w:color w:val="232733"/>
                <w:sz w:val="16"/>
                <w:szCs w:val="16"/>
              </w:rPr>
              <w:t xml:space="preserve">Levant (80%)</w:t>
            </w:r>
          </w:p>
        </w:tc>
      </w:tr>
      <w:tr>
        <w:tc>
          <w:tcPr>
            <w:tcW w:type="pct" w:w="618"/>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1441"/>
            <w:shd w:fill="FBFAF6" w:val="clear"/>
            <w:tcMar>
              <w:top w:type="dxa" w:w="50"/>
              <w:left w:type="dxa" w:w="110"/>
              <w:bottom w:type="dxa" w:w="50"/>
              <w:right w:type="dxa" w:w="110"/>
            </w:tcMar>
          </w:tcPr>
          <w:p>
            <w:pPr>
              <w:spacing w:before="26" w:after="26"/>
            </w:pPr>
            <w:r>
              <w:rPr>
                <w:color w:val="232733"/>
                <w:sz w:val="16"/>
                <w:szCs w:val="16"/>
              </w:rPr>
              <w:t xml:space="preserve">Significant influence (20%–50%); joint ventures</w:t>
            </w:r>
          </w:p>
        </w:tc>
        <w:tc>
          <w:tcPr>
            <w:tcW w:type="pct" w:w="1391"/>
            <w:shd w:fill="FBFAF6" w:val="clear"/>
            <w:tcMar>
              <w:top w:type="dxa" w:w="50"/>
              <w:left w:type="dxa" w:w="110"/>
              <w:bottom w:type="dxa" w:w="50"/>
              <w:right w:type="dxa" w:w="110"/>
            </w:tcMar>
          </w:tcPr>
          <w:p>
            <w:pPr>
              <w:spacing w:before="26" w:after="26"/>
            </w:pPr>
            <w:r>
              <w:rPr>
                <w:color w:val="232733"/>
                <w:sz w:val="16"/>
                <w:szCs w:val="16"/>
              </w:rPr>
              <w:t xml:space="preserve">One line: investment and share of income</w:t>
            </w:r>
          </w:p>
        </w:tc>
        <w:tc>
          <w:tcPr>
            <w:tcW w:type="pct" w:w="1084"/>
            <w:shd w:fill="FBFAF6" w:val="clear"/>
            <w:tcMar>
              <w:top w:type="dxa" w:w="50"/>
              <w:left w:type="dxa" w:w="110"/>
              <w:bottom w:type="dxa" w:w="50"/>
              <w:right w:type="dxa" w:w="110"/>
            </w:tcMar>
          </w:tcPr>
          <w:p>
            <w:pPr>
              <w:spacing w:before="26" w:after="26"/>
            </w:pPr>
            <w:r>
              <w:rPr>
                <w:color w:val="232733"/>
                <w:sz w:val="16"/>
                <w:szCs w:val="16"/>
              </w:rPr>
              <w:t xml:space="preserve">Only the investor's share: 30% × 40,000 = 12,000</w:t>
            </w:r>
          </w:p>
        </w:tc>
        <w:tc>
          <w:tcPr>
            <w:tcW w:type="pct" w:w="466"/>
            <w:shd w:fill="FBFAF6" w:val="clear"/>
            <w:tcMar>
              <w:top w:type="dxa" w:w="50"/>
              <w:left w:type="dxa" w:w="110"/>
              <w:bottom w:type="dxa" w:w="50"/>
              <w:right w:type="dxa" w:w="110"/>
            </w:tcMar>
          </w:tcPr>
          <w:p>
            <w:pPr>
              <w:spacing w:before="26" w:after="26"/>
            </w:pPr>
            <w:r>
              <w:rPr>
                <w:color w:val="232733"/>
                <w:sz w:val="16"/>
                <w:szCs w:val="16"/>
              </w:rPr>
              <w:t xml:space="preserve">Jordan Glass (30%)</w:t>
            </w:r>
          </w:p>
        </w:tc>
      </w:tr>
      <w:tr>
        <w:tc>
          <w:tcPr>
            <w:tcW w:type="pct" w:w="618"/>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1441"/>
            <w:tcMar>
              <w:top w:type="dxa" w:w="50"/>
              <w:left w:type="dxa" w:w="110"/>
              <w:bottom w:type="dxa" w:w="50"/>
              <w:right w:type="dxa" w:w="110"/>
            </w:tcMar>
          </w:tcPr>
          <w:p>
            <w:pPr>
              <w:spacing w:before="26" w:after="26"/>
            </w:pPr>
            <w:r>
              <w:rPr>
                <w:color w:val="232733"/>
                <w:sz w:val="16"/>
                <w:szCs w:val="16"/>
              </w:rPr>
              <w:t xml:space="preserve">Rare in U.S. GAAP: some construction and oil and gas interests</w:t>
            </w:r>
          </w:p>
        </w:tc>
        <w:tc>
          <w:tcPr>
            <w:tcW w:type="pct" w:w="1391"/>
            <w:tcMar>
              <w:top w:type="dxa" w:w="50"/>
              <w:left w:type="dxa" w:w="110"/>
              <w:bottom w:type="dxa" w:w="50"/>
              <w:right w:type="dxa" w:w="110"/>
            </w:tcMar>
          </w:tcPr>
          <w:p>
            <w:pPr>
              <w:spacing w:before="26" w:after="26"/>
            </w:pPr>
            <w:r>
              <w:rPr>
                <w:color w:val="232733"/>
                <w:sz w:val="16"/>
                <w:szCs w:val="16"/>
              </w:rPr>
              <w:t xml:space="preserve">Investor's share of each line</w:t>
            </w:r>
          </w:p>
        </w:tc>
        <w:tc>
          <w:tcPr>
            <w:tcW w:type="pct" w:w="1084"/>
            <w:tcMar>
              <w:top w:type="dxa" w:w="50"/>
              <w:left w:type="dxa" w:w="110"/>
              <w:bottom w:type="dxa" w:w="50"/>
              <w:right w:type="dxa" w:w="110"/>
            </w:tcMar>
          </w:tcPr>
          <w:p>
            <w:pPr>
              <w:spacing w:before="26" w:after="26"/>
            </w:pPr>
            <w:r>
              <w:rPr>
                <w:color w:val="232733"/>
                <w:sz w:val="16"/>
                <w:szCs w:val="16"/>
              </w:rPr>
              <w:t xml:space="preserve">Investor's share</w:t>
            </w:r>
          </w:p>
        </w:tc>
        <w:tc>
          <w:tcPr>
            <w:tcW w:type="pct" w:w="466"/>
            <w:tcMar>
              <w:top w:type="dxa" w:w="50"/>
              <w:left w:type="dxa" w:w="110"/>
              <w:bottom w:type="dxa" w:w="50"/>
              <w:right w:type="dxa" w:w="110"/>
            </w:tcMar>
          </w:tcPr>
          <w:p>
            <w:pPr>
              <w:spacing w:before="26" w:after="26"/>
            </w:pPr>
            <w:r>
              <w:rPr>
                <w:color w:val="232733"/>
                <w:sz w:val="16"/>
                <w:szCs w:val="16"/>
              </w:rPr>
              <w:t xml:space="preserve">Not used by Orontes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method does the book pair with “Control (subsidiary or VIE)”?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 method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Proportionate consolidation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Full consolidation</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6.  </w:t>
      </w:r>
      <w:r>
        <w:rPr>
          <w:sz w:val="19"/>
          <w:szCs w:val="19"/>
        </w:rPr>
        <w:t xml:space="preserve">The book gives the orontes of Proportionate consolidation as “Not used by Orontes”.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subsidiary  ·  goodwill  ·  downstream sale  ·  parent</w:t>
            </w:r>
          </w:p>
          <w:p>
            <w:pPr>
              <w:spacing w:before="26" w:after="26"/>
              <w:ind w:left="200"/>
            </w:pPr>
            <w:r>
              <w:rPr>
                <w:sz w:val="19"/>
                <w:szCs w:val="19"/>
              </w:rPr>
              <w:t xml:space="preserve">The </w:t>
            </w:r>
            <w:r>
              <w:rPr>
                <w:u w:val="single"/>
                <w:sz w:val="19"/>
                <w:szCs w:val="19"/>
              </w:rPr>
              <w:t xml:space="preserve">            </w:t>
            </w:r>
            <w:r>
              <w:rPr>
                <w:sz w:val="19"/>
                <w:szCs w:val="19"/>
              </w:rPr>
              <w:t xml:space="preserve">'s items are added in full, and NCI shows the part the </w:t>
            </w:r>
            <w:r>
              <w:rPr>
                <w:u w:val="single"/>
                <w:sz w:val="19"/>
                <w:szCs w:val="19"/>
              </w:rPr>
              <w:t xml:space="preserve">           </w:t>
            </w:r>
            <w:r>
              <w:rPr>
                <w:sz w:val="19"/>
                <w:szCs w:val="19"/>
              </w:rPr>
              <w:t xml:space="preserve"> does not own.</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Full consolidation</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Equity method</w:t>
            </w:r>
          </w:p>
        </w:tc>
      </w:tr>
      <w:tr>
        <w:tc>
          <w:tcPr>
            <w:tcW w:type="pct" w:w="2500"/>
            <w:tcMar>
              <w:top w:type="dxa" w:w="50"/>
              <w:left w:type="dxa" w:w="110"/>
              <w:bottom w:type="dxa" w:w="50"/>
              <w:right w:type="dxa" w:w="110"/>
            </w:tcMar>
          </w:tcPr>
          <w:p>
            <w:pPr>
              <w:spacing w:before="26" w:after="26"/>
            </w:pPr>
            <w:r>
              <w:rPr>
                <w:sz w:val="16"/>
                <w:szCs w:val="16"/>
              </w:rPr>
              <w:t xml:space="preserve">When used (U.S. GAAP): Control (subsidiary or VIE)</w:t>
            </w:r>
          </w:p>
        </w:tc>
        <w:tc>
          <w:tcPr>
            <w:tcW w:type="pct" w:w="2500"/>
            <w:tcMar>
              <w:top w:type="dxa" w:w="50"/>
              <w:left w:type="dxa" w:w="110"/>
              <w:bottom w:type="dxa" w:w="50"/>
              <w:right w:type="dxa" w:w="110"/>
            </w:tcMar>
          </w:tcPr>
          <w:p>
            <w:pPr>
              <w:spacing w:before="26" w:after="26"/>
            </w:pPr>
            <w:r>
              <w:rPr>
                <w:sz w:val="16"/>
                <w:szCs w:val="16"/>
              </w:rPr>
              <w:t xml:space="preserve">When used (U.S. GAAP): Significant influence (20%–50%); joint ventures</w:t>
            </w:r>
          </w:p>
        </w:tc>
      </w:tr>
      <w:tr>
        <w:tc>
          <w:tcPr>
            <w:tcW w:type="pct" w:w="2500"/>
            <w:tcMar>
              <w:top w:type="dxa" w:w="50"/>
              <w:left w:type="dxa" w:w="110"/>
              <w:bottom w:type="dxa" w:w="50"/>
              <w:right w:type="dxa" w:w="110"/>
            </w:tcMar>
          </w:tcPr>
          <w:p>
            <w:pPr>
              <w:spacing w:before="26" w:after="26"/>
            </w:pPr>
            <w:r>
              <w:rPr>
                <w:sz w:val="16"/>
                <w:szCs w:val="16"/>
              </w:rPr>
              <w:t xml:space="preserve">What appears: 100% of each asset, liability, revenue and expense; NCI shown</w:t>
            </w:r>
          </w:p>
        </w:tc>
        <w:tc>
          <w:tcPr>
            <w:tcW w:type="pct" w:w="2500"/>
            <w:tcMar>
              <w:top w:type="dxa" w:w="50"/>
              <w:left w:type="dxa" w:w="110"/>
              <w:bottom w:type="dxa" w:w="50"/>
              <w:right w:type="dxa" w:w="110"/>
            </w:tcMar>
          </w:tcPr>
          <w:p>
            <w:pPr>
              <w:spacing w:before="26" w:after="26"/>
            </w:pPr>
            <w:r>
              <w:rPr>
                <w:sz w:val="16"/>
                <w:szCs w:val="16"/>
              </w:rPr>
              <w:t xml:space="preserve">What appears: One line: investment and share of income</w:t>
            </w:r>
          </w:p>
        </w:tc>
      </w:tr>
      <w:tr>
        <w:tc>
          <w:tcPr>
            <w:tcW w:type="pct" w:w="2500"/>
            <w:tcMar>
              <w:top w:type="dxa" w:w="50"/>
              <w:left w:type="dxa" w:w="110"/>
              <w:bottom w:type="dxa" w:w="50"/>
              <w:right w:type="dxa" w:w="110"/>
            </w:tcMar>
          </w:tcPr>
          <w:p>
            <w:pPr>
              <w:spacing w:before="26" w:after="26"/>
            </w:pPr>
            <w:r>
              <w:rPr>
                <w:sz w:val="16"/>
                <w:szCs w:val="16"/>
              </w:rPr>
              <w:t xml:space="preserve">Intercompany profit removed: 100% of intercompany items</w:t>
            </w:r>
          </w:p>
        </w:tc>
        <w:tc>
          <w:tcPr>
            <w:tcW w:type="pct" w:w="2500"/>
            <w:tcMar>
              <w:top w:type="dxa" w:w="50"/>
              <w:left w:type="dxa" w:w="110"/>
              <w:bottom w:type="dxa" w:w="50"/>
              <w:right w:type="dxa" w:w="110"/>
            </w:tcMar>
          </w:tcPr>
          <w:p>
            <w:pPr>
              <w:spacing w:before="26" w:after="26"/>
            </w:pPr>
            <w:r>
              <w:rPr>
                <w:sz w:val="16"/>
                <w:szCs w:val="16"/>
              </w:rPr>
              <w:t xml:space="preserve">Intercompany profit removed: Only the investor's share: 30% × 40,000 = 12,000</w:t>
            </w:r>
          </w:p>
        </w:tc>
      </w:tr>
    </w:tbl>
    <w:p>
      <w:pPr>
        <w:spacing w:before="36" w:after="16"/>
      </w:pPr>
      <w:r>
        <w:rPr>
          <w:sz w:val="18"/>
          <w:szCs w:val="18"/>
        </w:rPr>
        <w:t xml:space="preserve">Only the facts above differ. What is the orontes of Full consolidation?</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Levant (80%)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Jordan Glass (30%)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Not used by Orontes</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parent pays $5,000,000 for 70% of a company. NCI is worth $2,000,000, and net assets at fair value are $6,500,000. What is goodwill under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6"/>
        <w:gridCol w:w="462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subsidiary</w:t>
            </w:r>
          </w:p>
        </w:tc>
        <w:tc>
          <w:tcPr>
            <w:tcW w:type="pct" w:w="2408"/>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592"/>
            <w:tcMar>
              <w:top w:type="dxa" w:w="50"/>
              <w:left w:type="dxa" w:w="110"/>
              <w:bottom w:type="dxa" w:w="50"/>
              <w:right w:type="dxa" w:w="110"/>
            </w:tcMar>
          </w:tcPr>
          <w:p>
            <w:pPr>
              <w:spacing w:before="26" w:after="26"/>
            </w:pPr>
            <w:r>
              <w:rPr>
                <w:color w:val="232733"/>
                <w:sz w:val="16"/>
                <w:szCs w:val="16"/>
              </w:rPr>
              <w:t xml:space="preserve">downstream sale</w:t>
            </w:r>
          </w:p>
        </w:tc>
        <w:tc>
          <w:tcPr>
            <w:tcW w:type="pct" w:w="2408"/>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413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41345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subsidiary  ·  controlling financial interest  ·  downstream sale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16.4</w:t>
      </w:r>
    </w:p>
    <w:p>
      <w:pPr>
        <w:spacing w:after="8"/>
      </w:pPr>
      <w:r>
        <w:rPr>
          <w:color w:val="23265A"/>
          <w:sz w:val="22"/>
          <w:szCs w:val="22"/>
        </w:rPr>
        <w:t xml:space="preserve">The acquisition: goodwill and noncontrolling interest</w:t>
      </w:r>
    </w:p>
    <w:p>
      <w:pPr>
        <w:spacing w:after="130"/>
      </w:pPr>
      <w:r>
        <w:rPr>
          <w:color w:val="6B7280"/>
          <w:sz w:val="20"/>
          <w:szCs w:val="20"/>
        </w:rPr>
        <w:t xml:space="preserve">section 16.4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26"/>
        <w:gridCol w:w="3293"/>
        <w:gridCol w:w="368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36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1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368"/>
            <w:tcMar>
              <w:top w:type="dxa" w:w="50"/>
              <w:left w:type="dxa" w:w="110"/>
              <w:bottom w:type="dxa" w:w="50"/>
              <w:right w:type="dxa" w:w="110"/>
            </w:tcMar>
          </w:tcPr>
          <w:p>
            <w:pPr>
              <w:spacing w:before="26" w:after="26"/>
            </w:pPr>
            <w:r>
              <w:rPr>
                <w:color w:val="232733"/>
                <w:sz w:val="16"/>
                <w:szCs w:val="16"/>
              </w:rPr>
              <w:t xml:space="preserve">The acquisition: goodwill and noncontrolling interest</w:t>
            </w:r>
          </w:p>
        </w:tc>
        <w:tc>
          <w:tcPr>
            <w:tcW w:type="pct" w:w="1715"/>
            <w:tcMar>
              <w:top w:type="dxa" w:w="50"/>
              <w:left w:type="dxa" w:w="110"/>
              <w:bottom w:type="dxa" w:w="50"/>
              <w:right w:type="dxa" w:w="110"/>
            </w:tcMar>
          </w:tcPr>
          <w:p>
            <w:pPr>
              <w:spacing w:before="26" w:after="26"/>
            </w:pPr>
            <w:r>
              <w:rPr>
                <w:color w:val="232733"/>
                <w:sz w:val="16"/>
                <w:szCs w:val="16"/>
              </w:rPr>
              <w:t xml:space="preserve">a figure to read · Consolidation worksheet, January 1, 2027 (whole</w:t>
            </w:r>
          </w:p>
        </w:tc>
        <w:tc>
          <w:tcPr>
            <w:tcW w:type="pct" w:w="1917"/>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36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191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upstream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subsidiary   ·   Goodwill   ·   upstream sale   ·   acquisition method   ·   intercompany transaction</w:t>
      </w:r>
    </w:p>
    <w:p>
      <w:pPr>
        <w:spacing w:before="36" w:after="36"/>
        <w:ind w:left="300"/>
      </w:pPr>
      <w:r>
        <w:rPr>
          <w:sz w:val="19"/>
          <w:szCs w:val="19"/>
        </w:rPr>
        <w:t xml:space="preserve">When a company gains control of a business, it uses the </w:t>
      </w:r>
      <w:r>
        <w:rPr>
          <w:u w:val="single"/>
          <w:sz w:val="19"/>
          <w:szCs w:val="19"/>
        </w:rPr>
        <w:t xml:space="preserve">                    </w:t>
      </w:r>
      <w:r>
        <w:rPr>
          <w:sz w:val="19"/>
          <w:szCs w:val="19"/>
        </w:rPr>
        <w:t xml:space="preserve">. It measures the </w:t>
      </w:r>
      <w:r>
        <w:rPr>
          <w:u w:val="single"/>
          <w:sz w:val="19"/>
          <w:szCs w:val="19"/>
        </w:rPr>
        <w:t xml:space="preserve">            </w:t>
      </w:r>
      <w:r>
        <w:rPr>
          <w:sz w:val="19"/>
          <w:szCs w:val="19"/>
        </w:rPr>
        <w:t xml:space="preserve">'s identifiable assets and liabilities at fair value, and it measures NCI at fair value too. </w:t>
      </w:r>
      <w:r>
        <w:rPr>
          <w:u w:val="single"/>
          <w:sz w:val="19"/>
          <w:szCs w:val="19"/>
        </w:rPr>
        <w:t xml:space="preserve">           </w:t>
      </w:r>
      <w:r>
        <w:rPr>
          <w:sz w:val="19"/>
          <w:szCs w:val="19"/>
        </w:rPr>
        <w:t xml:space="preserve"> is the price paid plus the fair value of NCI, minus the fair value of the net assets.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consolidation   ·   intercompany transaction   ·   transaction   ·   upstream sale   ·   acquisition</w:t>
      </w:r>
    </w:p>
    <w:p>
      <w:pPr>
        <w:spacing w:before="36" w:after="36"/>
        <w:ind w:left="300"/>
      </w:pPr>
      <w:r>
        <w:rPr>
          <w:sz w:val="19"/>
          <w:szCs w:val="19"/>
        </w:rPr>
        <w:t xml:space="preserve">After the </w:t>
      </w:r>
      <w:r>
        <w:rPr>
          <w:u w:val="single"/>
          <w:sz w:val="19"/>
          <w:szCs w:val="19"/>
        </w:rPr>
        <w:t xml:space="preserve">             </w:t>
      </w:r>
      <w:r>
        <w:rPr>
          <w:sz w:val="19"/>
          <w:szCs w:val="19"/>
        </w:rPr>
        <w:t xml:space="preserve">, if Orontes buys or sells some Levant shares but keeps control, the change is an equity </w:t>
      </w:r>
      <w:r>
        <w:rPr>
          <w:u w:val="single"/>
          <w:sz w:val="19"/>
          <w:szCs w:val="19"/>
        </w:rPr>
        <w:t xml:space="preserve">             </w:t>
      </w:r>
      <w:r>
        <w:rPr>
          <w:sz w:val="19"/>
          <w:szCs w:val="19"/>
        </w:rPr>
        <w:t xml:space="preserve">: no gain or loss is recognized. If Orontes loses control, it removes Levant from the </w:t>
      </w:r>
      <w:r>
        <w:rPr>
          <w:u w:val="single"/>
          <w:sz w:val="19"/>
          <w:szCs w:val="19"/>
        </w:rPr>
        <w:t xml:space="preserve">               </w:t>
      </w:r>
      <w:r>
        <w:rPr>
          <w:sz w:val="19"/>
          <w:szCs w:val="19"/>
        </w:rPr>
        <w:t xml:space="preserve"> and remeasures any interest it keeps at fair value.</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1,400,000   ·   1,200,000   ·   9,900,000   ·   7,300,000</w:t>
      </w:r>
    </w:p>
    <w:p>
      <w:pPr>
        <w:spacing w:before="36" w:after="36"/>
        <w:ind w:left="300"/>
      </w:pPr>
      <w:r>
        <w:rPr>
          <w:sz w:val="19"/>
          <w:szCs w:val="19"/>
        </w:rPr>
        <w:t xml:space="preserve">The book’s own table “Consolidation worksheet, January 1, 2027 (whole” settles these: for Levant's equity (book value) it is </w:t>
      </w:r>
      <w:r>
        <w:rPr>
          <w:u w:val="single"/>
          <w:sz w:val="19"/>
          <w:szCs w:val="19"/>
        </w:rPr>
        <w:t xml:space="preserve">           </w:t>
      </w:r>
      <w:r>
        <w:rPr>
          <w:sz w:val="19"/>
          <w:szCs w:val="19"/>
        </w:rPr>
        <w:t xml:space="preserve">, for Property, plant and equipment (fair value step-up) it is </w:t>
      </w:r>
      <w:r>
        <w:rPr>
          <w:u w:val="single"/>
          <w:sz w:val="19"/>
          <w:szCs w:val="19"/>
        </w:rPr>
        <w:t xml:space="preserve">           </w:t>
      </w:r>
      <w:r>
        <w:rPr>
          <w:sz w:val="19"/>
          <w:szCs w:val="19"/>
        </w:rPr>
        <w:t xml:space="preserve"> and for Goodwill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acquisition: goodwill and noncontrolling interest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9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0933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53"/>
        <w:gridCol w:w="2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worksheet, January 1, 2027 (whole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Consolidation worksheet, January 1, 2027 (whole </w:t>
            </w:r>
          </w:p>
        </w:tc>
        <w:tc>
          <w:tcPr>
            <w:tcW w:type="pct" w:w="1225"/>
            <w:tcMar>
              <w:top w:type="dxa" w:w="50"/>
              <w:left w:type="dxa" w:w="110"/>
              <w:bottom w:type="dxa" w:w="50"/>
              <w:right w:type="dxa" w:w="110"/>
            </w:tcMar>
          </w:tcPr>
          <w:p>
            <w:pPr>
              <w:spacing w:before="26" w:after="26"/>
            </w:pPr>
            <w:r>
              <w:rPr>
                <w:b/>
                <w:bCs/>
                <w:color w:val="353A7C"/>
                <w:sz w:val="15"/>
                <w:szCs w:val="15"/>
              </w:rPr>
              <w:t xml:space="preserve">Debit</w:t>
            </w:r>
          </w:p>
        </w:tc>
        <w:tc>
          <w:tcPr>
            <w:tcW w:type="pct" w:w="1175"/>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Levant's equity (book value)</w:t>
            </w:r>
          </w:p>
        </w:tc>
        <w:tc>
          <w:tcPr>
            <w:tcW w:type="pct" w:w="1225"/>
            <w:tcMar>
              <w:top w:type="dxa" w:w="50"/>
              <w:left w:type="dxa" w:w="110"/>
              <w:bottom w:type="dxa" w:w="50"/>
              <w:right w:type="dxa" w:w="110"/>
            </w:tcMar>
          </w:tcPr>
          <w:p>
            <w:pPr>
              <w:spacing w:before="26" w:after="26"/>
            </w:pPr>
            <w:r>
              <w:rPr>
                <w:color w:val="232733"/>
                <w:sz w:val="16"/>
                <w:szCs w:val="16"/>
              </w:rPr>
              <w:t xml:space="preserve">7,300,000</w:t>
            </w:r>
          </w:p>
        </w:tc>
        <w:tc>
          <w:tcPr>
            <w:tcW w:type="pct" w:w="1175"/>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Property, plant and equipment (fair value step-up)</w:t>
            </w:r>
          </w:p>
        </w:tc>
        <w:tc>
          <w:tcPr>
            <w:tcW w:type="pct" w:w="1225"/>
            <w:shd w:fill="FBFAF6" w:val="clear"/>
            <w:tcMar>
              <w:top w:type="dxa" w:w="50"/>
              <w:left w:type="dxa" w:w="110"/>
              <w:bottom w:type="dxa" w:w="50"/>
              <w:right w:type="dxa" w:w="110"/>
            </w:tcMar>
          </w:tcPr>
          <w:p>
            <w:pPr>
              <w:spacing w:before="26" w:after="26"/>
            </w:pPr>
            <w:r>
              <w:rPr>
                <w:color w:val="232733"/>
                <w:sz w:val="16"/>
                <w:szCs w:val="16"/>
              </w:rPr>
              <w:t xml:space="preserve">1,200,000</w:t>
            </w:r>
          </w:p>
        </w:tc>
        <w:tc>
          <w:tcPr>
            <w:tcW w:type="pct" w:w="1175"/>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Goodwill</w:t>
            </w:r>
          </w:p>
        </w:tc>
        <w:tc>
          <w:tcPr>
            <w:tcW w:type="pct" w:w="1225"/>
            <w:tcMar>
              <w:top w:type="dxa" w:w="50"/>
              <w:left w:type="dxa" w:w="110"/>
              <w:bottom w:type="dxa" w:w="50"/>
              <w:right w:type="dxa" w:w="110"/>
            </w:tcMar>
          </w:tcPr>
          <w:p>
            <w:pPr>
              <w:spacing w:before="26" w:after="26"/>
            </w:pPr>
            <w:r>
              <w:rPr>
                <w:color w:val="232733"/>
                <w:sz w:val="16"/>
                <w:szCs w:val="16"/>
              </w:rPr>
              <w:t xml:space="preserve">1,400,000</w:t>
            </w:r>
          </w:p>
        </w:tc>
        <w:tc>
          <w:tcPr>
            <w:tcW w:type="pct" w:w="1175"/>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in Levant (Orontes's books)</w:t>
            </w:r>
          </w:p>
        </w:tc>
        <w:tc>
          <w:tcPr>
            <w:tcW w:type="pct" w:w="1225"/>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175"/>
            <w:shd w:fill="FBFAF6" w:val="clear"/>
            <w:tcMar>
              <w:top w:type="dxa" w:w="50"/>
              <w:left w:type="dxa" w:w="110"/>
              <w:bottom w:type="dxa" w:w="50"/>
              <w:right w:type="dxa" w:w="110"/>
            </w:tcMar>
          </w:tcPr>
          <w:p>
            <w:pPr>
              <w:spacing w:before="26" w:after="26"/>
            </w:pPr>
            <w:r>
              <w:rPr>
                <w:color w:val="232733"/>
                <w:sz w:val="16"/>
                <w:szCs w:val="16"/>
              </w:rPr>
              <w:t xml:space="preserve">8,000,000</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 (equity)</w:t>
            </w:r>
          </w:p>
        </w:tc>
        <w:tc>
          <w:tcPr>
            <w:tcW w:type="pct" w:w="1225"/>
            <w:tcMar>
              <w:top w:type="dxa" w:w="50"/>
              <w:left w:type="dxa" w:w="110"/>
              <w:bottom w:type="dxa" w:w="50"/>
              <w:right w:type="dxa" w:w="110"/>
            </w:tcMar>
          </w:tcPr>
          <w:p>
            <w:pPr>
              <w:spacing w:before="26" w:after="26"/>
            </w:pPr>
            <w:r>
              <w:rPr>
                <w:color w:val="232733"/>
                <w:sz w:val="16"/>
                <w:szCs w:val="16"/>
              </w:rPr>
              <w:t xml:space="preserve"/>
            </w:r>
          </w:p>
        </w:tc>
        <w:tc>
          <w:tcPr>
            <w:tcW w:type="pct" w:w="1175"/>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Totals</w:t>
            </w:r>
          </w:p>
        </w:tc>
        <w:tc>
          <w:tcPr>
            <w:tcW w:type="pct" w:w="1225"/>
            <w:shd w:fill="FBFAF6" w:val="clear"/>
            <w:tcMar>
              <w:top w:type="dxa" w:w="50"/>
              <w:left w:type="dxa" w:w="110"/>
              <w:bottom w:type="dxa" w:w="50"/>
              <w:right w:type="dxa" w:w="110"/>
            </w:tcMar>
          </w:tcPr>
          <w:p>
            <w:pPr>
              <w:spacing w:before="26" w:after="26"/>
            </w:pPr>
            <w:r>
              <w:rPr>
                <w:color w:val="232733"/>
                <w:sz w:val="16"/>
                <w:szCs w:val="16"/>
              </w:rPr>
              <w:t xml:space="preserve">9,900,000</w:t>
            </w:r>
          </w:p>
        </w:tc>
        <w:tc>
          <w:tcPr>
            <w:tcW w:type="pct" w:w="1175"/>
            <w:shd w:fill="FBFAF6" w:val="clear"/>
            <w:tcMar>
              <w:top w:type="dxa" w:w="50"/>
              <w:left w:type="dxa" w:w="110"/>
              <w:bottom w:type="dxa" w:w="50"/>
              <w:right w:type="dxa" w:w="110"/>
            </w:tcMar>
          </w:tcPr>
          <w:p>
            <w:pPr>
              <w:spacing w:before="26" w:after="26"/>
            </w:pPr>
            <w:r>
              <w:rPr>
                <w:color w:val="232733"/>
                <w:sz w:val="16"/>
                <w:szCs w:val="16"/>
              </w:rPr>
              <w:t xml:space="preserve">9,900,000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16.1?</w:t>
      </w:r>
    </w:p>
    <w:p>
      <w:pPr>
        <w:spacing w:after="18"/>
        <w:ind w:left="560" w:hanging="260"/>
      </w:pPr>
      <w:r>
        <w:rPr>
          <w:b/>
          <w:bCs/>
          <w:color w:val="8186EF"/>
          <w:sz w:val="18"/>
          <w:szCs w:val="18"/>
        </w:rPr>
        <w:t xml:space="preserve">A. </w:t>
      </w:r>
      <w:r>
        <w:rPr>
          <w:sz w:val="18"/>
          <w:szCs w:val="18"/>
        </w:rPr>
        <w:t xml:space="preserve">IFRS differences and what is changing</w:t>
      </w:r>
    </w:p>
    <w:p>
      <w:pPr>
        <w:spacing w:after="18"/>
        <w:ind w:left="560" w:hanging="260"/>
      </w:pPr>
      <w:r>
        <w:rPr>
          <w:b/>
          <w:bCs/>
          <w:color w:val="8186EF"/>
          <w:sz w:val="18"/>
          <w:szCs w:val="18"/>
        </w:rPr>
        <w:t xml:space="preserve">B. </w:t>
      </w:r>
      <w:r>
        <w:rPr>
          <w:sz w:val="18"/>
          <w:szCs w:val="18"/>
        </w:rPr>
        <w:t xml:space="preserve">Two control models: VIE first, then votes</w:t>
      </w:r>
    </w:p>
    <w:p>
      <w:pPr>
        <w:spacing w:after="18"/>
        <w:ind w:left="560" w:hanging="260"/>
      </w:pPr>
      <w:r>
        <w:rPr>
          <w:b/>
          <w:bCs/>
          <w:color w:val="8186EF"/>
          <w:sz w:val="18"/>
          <w:szCs w:val="18"/>
        </w:rPr>
        <w:t xml:space="preserve">C. </w:t>
      </w:r>
      <w:r>
        <w:rPr>
          <w:sz w:val="18"/>
          <w:szCs w:val="18"/>
        </w:rPr>
        <w:t xml:space="preserve">What consolidated statements are</w:t>
      </w:r>
    </w:p>
    <w:p>
      <w:pPr>
        <w:spacing w:after="18"/>
        <w:ind w:left="560" w:hanging="260"/>
      </w:pPr>
      <w:r>
        <w:rPr>
          <w:b/>
          <w:bCs/>
          <w:color w:val="8186EF"/>
          <w:sz w:val="18"/>
          <w:szCs w:val="18"/>
        </w:rPr>
        <w:t xml:space="preserve">D. </w:t>
      </w:r>
      <w:r>
        <w:rPr>
          <w:sz w:val="18"/>
          <w:szCs w:val="18"/>
        </w:rPr>
        <w:t xml:space="preserve">Eliminating intercompany balances and transactions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After an acquisition, the subsidiary has losses and NCI would become negative. Under U.S. GAAP:</w:t>
      </w:r>
    </w:p>
    <w:p>
      <w:pPr>
        <w:spacing w:after="18"/>
        <w:ind w:left="560" w:hanging="260"/>
      </w:pPr>
      <w:r>
        <w:rPr>
          <w:b/>
          <w:bCs/>
          <w:color w:val="8186EF"/>
          <w:sz w:val="18"/>
          <w:szCs w:val="18"/>
        </w:rPr>
        <w:t xml:space="preserve">A. </w:t>
      </w:r>
      <w:r>
        <w:rPr>
          <w:sz w:val="18"/>
          <w:szCs w:val="18"/>
        </w:rPr>
        <w:t xml:space="preserve">losses are still attributed to NCI, even if NCI becomes negative</w:t>
      </w:r>
    </w:p>
    <w:p>
      <w:pPr>
        <w:spacing w:after="18"/>
        <w:ind w:left="560" w:hanging="260"/>
      </w:pPr>
      <w:r>
        <w:rPr>
          <w:b/>
          <w:bCs/>
          <w:color w:val="8186EF"/>
          <w:sz w:val="18"/>
          <w:szCs w:val="18"/>
        </w:rPr>
        <w:t xml:space="preserve">B. </w:t>
      </w:r>
      <w:r>
        <w:rPr>
          <w:sz w:val="18"/>
          <w:szCs w:val="18"/>
        </w:rPr>
        <w:t xml:space="preserve">all losses go to the parent once NCI reaches zero</w:t>
      </w:r>
    </w:p>
    <w:p>
      <w:pPr>
        <w:spacing w:after="18"/>
        <w:ind w:left="560" w:hanging="260"/>
      </w:pPr>
      <w:r>
        <w:rPr>
          <w:b/>
          <w:bCs/>
          <w:color w:val="8186EF"/>
          <w:sz w:val="18"/>
          <w:szCs w:val="18"/>
        </w:rPr>
        <w:t xml:space="preserve">C. </w:t>
      </w:r>
      <w:r>
        <w:rPr>
          <w:sz w:val="18"/>
          <w:szCs w:val="18"/>
        </w:rPr>
        <w:t xml:space="preserve">NCI is reclassified as a liability</w:t>
      </w:r>
    </w:p>
    <w:p>
      <w:pPr>
        <w:spacing w:after="18"/>
        <w:ind w:left="560" w:hanging="260"/>
      </w:pPr>
      <w:r>
        <w:rPr>
          <w:b/>
          <w:bCs/>
          <w:color w:val="8186EF"/>
          <w:sz w:val="18"/>
          <w:szCs w:val="18"/>
        </w:rPr>
        <w:t xml:space="preserve">D. </w:t>
      </w:r>
      <w:r>
        <w:rPr>
          <w:sz w:val="18"/>
          <w:szCs w:val="18"/>
        </w:rPr>
        <w:t xml:space="preserve">the parent stops consolidating</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3"/>
        <w:gridCol w:w="467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6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64"/>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36"/>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564"/>
            <w:shd w:fill="FBFAF6" w:val="clear"/>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36"/>
            <w:shd w:fill="FBFAF6" w:val="clear"/>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564"/>
            <w:tcMar>
              <w:top w:type="dxa" w:w="50"/>
              <w:left w:type="dxa" w:w="110"/>
              <w:bottom w:type="dxa" w:w="50"/>
              <w:right w:type="dxa" w:w="110"/>
            </w:tcMar>
          </w:tcPr>
          <w:p>
            <w:pPr>
              <w:spacing w:before="26" w:after="26"/>
            </w:pPr>
            <w:r>
              <w:rPr>
                <w:color w:val="232733"/>
                <w:sz w:val="16"/>
                <w:szCs w:val="16"/>
              </w:rPr>
              <w:t xml:space="preserve">upstream sale</w:t>
            </w:r>
          </w:p>
        </w:tc>
        <w:tc>
          <w:tcPr>
            <w:tcW w:type="pct" w:w="2436"/>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Write the letter of the matching entry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1,400,000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9,900,000</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7,300,000</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1,200,000</w:t>
            </w:r>
          </w:p>
        </w:tc>
      </w:tr>
    </w:tbl>
    <w:p/>
    <w:p>
      <w:pPr>
        <w:spacing w:before="24" w:after="24"/>
        <w:ind w:left="300" w:hanging="300"/>
      </w:pPr>
      <w:r>
        <w:rPr>
          <w:b/>
          <w:bCs/>
          <w:color w:val="353A7C"/>
          <w:sz w:val="18"/>
          <w:szCs w:val="18"/>
        </w:rPr>
        <w:t xml:space="preserve">10.  </w:t>
      </w:r>
      <w:r>
        <w:rPr>
          <w:sz w:val="18"/>
          <w:szCs w:val="18"/>
        </w:rPr>
        <w:t xml:space="preserve">Levant's equity (book value)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Property, plant and equipment (fair value step-up)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Goodwill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Totals</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309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0933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variable interest entity  ·  proportionate consolidation  ·  upstream sale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16.5</w:t>
      </w:r>
    </w:p>
    <w:p>
      <w:pPr>
        <w:spacing w:after="8"/>
      </w:pPr>
      <w:r>
        <w:rPr>
          <w:color w:val="23265A"/>
          <w:sz w:val="22"/>
          <w:szCs w:val="22"/>
        </w:rPr>
        <w:t xml:space="preserve">Eliminating intercompany balances and transactions</w:t>
      </w:r>
    </w:p>
    <w:p>
      <w:pPr>
        <w:spacing w:after="130"/>
      </w:pPr>
      <w:r>
        <w:rPr>
          <w:color w:val="6B7280"/>
          <w:sz w:val="20"/>
          <w:szCs w:val="20"/>
        </w:rPr>
        <w:t xml:space="preserve">section 16.5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03"/>
        <w:gridCol w:w="4401"/>
        <w:gridCol w:w="30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9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9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1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95"/>
            <w:tcMar>
              <w:top w:type="dxa" w:w="50"/>
              <w:left w:type="dxa" w:w="110"/>
              <w:bottom w:type="dxa" w:w="50"/>
              <w:right w:type="dxa" w:w="110"/>
            </w:tcMar>
          </w:tcPr>
          <w:p>
            <w:pPr>
              <w:spacing w:before="26" w:after="26"/>
            </w:pPr>
            <w:r>
              <w:rPr>
                <w:color w:val="232733"/>
                <w:sz w:val="16"/>
                <w:szCs w:val="16"/>
              </w:rPr>
              <w:t xml:space="preserve">Eliminating intercompany balances and transactions</w:t>
            </w:r>
          </w:p>
        </w:tc>
        <w:tc>
          <w:tcPr>
            <w:tcW w:type="pct" w:w="2292"/>
            <w:tcMar>
              <w:top w:type="dxa" w:w="50"/>
              <w:left w:type="dxa" w:w="110"/>
              <w:bottom w:type="dxa" w:w="50"/>
              <w:right w:type="dxa" w:w="110"/>
            </w:tcMar>
          </w:tcPr>
          <w:p>
            <w:pPr>
              <w:spacing w:before="26" w:after="26"/>
            </w:pPr>
            <w:r>
              <w:rPr>
                <w:color w:val="232733"/>
                <w:sz w:val="16"/>
                <w:szCs w:val="16"/>
              </w:rPr>
              <w:t xml:space="preserve">a figure to read · Suppose: NCI in Levant, 2027 (whole USD)</w:t>
            </w:r>
          </w:p>
        </w:tc>
        <w:tc>
          <w:tcPr>
            <w:tcW w:type="pct" w:w="161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9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92"/>
            <w:shd w:fill="FBFAF6" w:val="clear"/>
            <w:tcMar>
              <w:top w:type="dxa" w:w="50"/>
              <w:left w:type="dxa" w:w="110"/>
              <w:bottom w:type="dxa" w:w="50"/>
              <w:right w:type="dxa" w:w="110"/>
            </w:tcMar>
          </w:tcPr>
          <w:p>
            <w:pPr>
              <w:spacing w:before="26" w:after="26"/>
            </w:pPr>
            <w:r>
              <w:rPr>
                <w:color w:val="232733"/>
                <w:sz w:val="16"/>
                <w:szCs w:val="16"/>
              </w:rPr>
              <w:t xml:space="preserve">a figure to read · Suppose: Levant items, 2027 (whole USD) · The English the exam uses, and what it translates</w:t>
            </w:r>
          </w:p>
        </w:tc>
        <w:tc>
          <w:tcPr>
            <w:tcW w:type="pct" w:w="161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9"/>
        <w:gridCol w:w="47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41"/>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59"/>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41"/>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59"/>
            <w:tcMar>
              <w:top w:type="dxa" w:w="50"/>
              <w:left w:type="dxa" w:w="110"/>
              <w:bottom w:type="dxa" w:w="50"/>
              <w:right w:type="dxa" w:w="110"/>
            </w:tcMar>
          </w:tcPr>
          <w:p>
            <w:pPr>
              <w:spacing w:before="26" w:after="26"/>
            </w:pPr>
            <w:r>
              <w:rPr>
                <w:color w:val="232733"/>
                <w:sz w:val="16"/>
                <w:szCs w:val="16"/>
              </w:rPr>
              <w:t xml:space="preserve"/>
            </w:r>
          </w:p>
        </w:tc>
      </w:tr>
      <w:tr>
        <w:tc>
          <w:tcPr>
            <w:tcW w:type="pct" w:w="2541"/>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59"/>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primary beneficiary   ·   Unrealized profit   ·   equity method   ·   intercompany transaction</w:t>
      </w:r>
    </w:p>
    <w:p>
      <w:pPr>
        <w:spacing w:before="36" w:after="36"/>
        <w:ind w:left="300"/>
      </w:pPr>
      <w:r>
        <w:rPr>
          <w:sz w:val="19"/>
          <w:szCs w:val="19"/>
        </w:rPr>
        <w:t xml:space="preserve">Every </w:t>
      </w:r>
      <w:r>
        <w:rPr>
          <w:u w:val="single"/>
          <w:sz w:val="19"/>
          <w:szCs w:val="19"/>
        </w:rPr>
        <w:t xml:space="preserve">                          </w:t>
      </w:r>
      <w:r>
        <w:rPr>
          <w:sz w:val="19"/>
          <w:szCs w:val="19"/>
        </w:rPr>
        <w:t xml:space="preserve"> is therefore eliminated in full, whatever the percentage owned: sales and cost of sales, receivables and payables, loans and interest, and dividends. </w:t>
      </w:r>
      <w:r>
        <w:rPr>
          <w:u w:val="single"/>
          <w:sz w:val="19"/>
          <w:szCs w:val="19"/>
        </w:rPr>
        <w:t xml:space="preserve">                   </w:t>
      </w:r>
      <w:r>
        <w:rPr>
          <w:sz w:val="19"/>
          <w:szCs w:val="19"/>
        </w:rPr>
        <w:t xml:space="preserve"> on goods still held inside the group is also removed from inventory and income until the goods are sold to outsiders.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unrealized profit   ·   upstream sale   ·   subsidiary   ·   equity method   ·   downstream sale   ·   parent</w:t>
      </w:r>
    </w:p>
    <w:p>
      <w:pPr>
        <w:spacing w:before="36" w:after="36"/>
        <w:ind w:left="300"/>
      </w:pPr>
      <w:r>
        <w:rPr>
          <w:sz w:val="19"/>
          <w:szCs w:val="19"/>
        </w:rPr>
        <w:t xml:space="preserve">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the profit, so the whole elimination reduces the parent's share. In an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it, so NCI bears its share. When one group company sells equipment to another, the gain is eliminated and the asset returns to its original cost basis.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unrealized profit   ·   equity method   ·   intercompany   ·   parent   ·   equity-method</w:t>
      </w:r>
    </w:p>
    <w:p>
      <w:pPr>
        <w:spacing w:before="36" w:after="36"/>
        <w:ind w:left="300"/>
      </w:pPr>
      <w:r>
        <w:rPr>
          <w:sz w:val="19"/>
          <w:szCs w:val="19"/>
        </w:rPr>
        <w:t xml:space="preserve">Eliminate </w:t>
      </w:r>
      <w:r>
        <w:rPr>
          <w:u w:val="single"/>
          <w:sz w:val="19"/>
          <w:szCs w:val="19"/>
        </w:rPr>
        <w:t xml:space="preserve">              </w:t>
      </w:r>
      <w:r>
        <w:rPr>
          <w:sz w:val="19"/>
          <w:szCs w:val="19"/>
        </w:rPr>
        <w:t xml:space="preserve"> items in full, not only the </w:t>
      </w:r>
      <w:r>
        <w:rPr>
          <w:u w:val="single"/>
          <w:sz w:val="19"/>
          <w:szCs w:val="19"/>
        </w:rPr>
        <w:t xml:space="preserve">           </w:t>
      </w:r>
      <w:r>
        <w:rPr>
          <w:sz w:val="19"/>
          <w:szCs w:val="19"/>
        </w:rPr>
        <w:t xml:space="preserve">'s share. Downstream profit reduces only the parent's share; upstream profit is shared with NCI. For an </w:t>
      </w:r>
      <w:r>
        <w:rPr>
          <w:u w:val="single"/>
          <w:sz w:val="19"/>
          <w:szCs w:val="19"/>
        </w:rPr>
        <w:t xml:space="preserve">               </w:t>
      </w:r>
      <w:r>
        <w:rPr>
          <w:sz w:val="19"/>
          <w:szCs w:val="19"/>
        </w:rPr>
        <w:t xml:space="preserve"> investee, remove only the investor's share of the profit.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Eliminating intercompany balances and transactions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in Levant, 2027 (whole USD)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NCI in Levant, 2027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NCI at January 1, 2027 (fair value)</w:t>
            </w:r>
          </w:p>
        </w:tc>
        <w:tc>
          <w:tcPr>
            <w:tcW w:type="pct" w:w="2400"/>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Levant's 2027 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00"/>
            <w:tcMar>
              <w:top w:type="dxa" w:w="50"/>
              <w:left w:type="dxa" w:w="110"/>
              <w:bottom w:type="dxa" w:w="50"/>
              <w:right w:type="dxa" w:w="110"/>
            </w:tcMar>
          </w:tcPr>
          <w:p>
            <w:pPr>
              <w:spacing w:before="26" w:after="26"/>
            </w:pPr>
            <w:r>
              <w:rPr>
                <w:color w:val="232733"/>
                <w:sz w:val="16"/>
                <w:szCs w:val="16"/>
              </w:rPr>
              <w:t xml:space="preserve">Less: depreciation on the PP&amp;E step-up (1,200,000 ÷ 10 years)</w:t>
            </w:r>
          </w:p>
        </w:tc>
        <w:tc>
          <w:tcPr>
            <w:tcW w:type="pct" w:w="2400"/>
            <w:tcMar>
              <w:top w:type="dxa" w:w="50"/>
              <w:left w:type="dxa" w:w="110"/>
              <w:bottom w:type="dxa" w:w="50"/>
              <w:right w:type="dxa" w:w="110"/>
            </w:tcMar>
          </w:tcPr>
          <w:p>
            <w:pPr>
              <w:spacing w:before="26" w:after="26"/>
            </w:pPr>
            <w:r>
              <w:rPr>
                <w:color w:val="232733"/>
                <w:sz w:val="16"/>
                <w:szCs w:val="16"/>
              </w:rPr>
              <w:t xml:space="preserve">(120,000)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upstream unrealized profit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Adjusted net income of Levant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share (20%)</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Less: dividends paid to NCI</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at December 31, 2027</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NCI at January 1, 2027 (fair value)?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1,900,000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(120,000)</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feature suggests that an entity is a VIE?</w:t>
      </w:r>
    </w:p>
    <w:p>
      <w:pPr>
        <w:spacing w:after="18"/>
        <w:ind w:left="560" w:hanging="260"/>
      </w:pPr>
      <w:r>
        <w:rPr>
          <w:b/>
          <w:bCs/>
          <w:color w:val="8186EF"/>
          <w:sz w:val="18"/>
          <w:szCs w:val="18"/>
        </w:rPr>
        <w:t xml:space="preserve">A. </w:t>
      </w:r>
      <w:r>
        <w:rPr>
          <w:sz w:val="18"/>
          <w:szCs w:val="18"/>
        </w:rPr>
        <w:t xml:space="preserve">It has many shareholders</w:t>
      </w:r>
    </w:p>
    <w:p>
      <w:pPr>
        <w:spacing w:after="18"/>
        <w:ind w:left="560" w:hanging="260"/>
      </w:pPr>
      <w:r>
        <w:rPr>
          <w:b/>
          <w:bCs/>
          <w:color w:val="8186EF"/>
          <w:sz w:val="18"/>
          <w:szCs w:val="18"/>
        </w:rPr>
        <w:t xml:space="preserve">B. </w:t>
      </w:r>
      <w:r>
        <w:rPr>
          <w:sz w:val="18"/>
          <w:szCs w:val="18"/>
        </w:rPr>
        <w:t xml:space="preserve">Its equity at risk is too small to finance its activities without extra support</w:t>
      </w:r>
    </w:p>
    <w:p>
      <w:pPr>
        <w:spacing w:after="18"/>
        <w:ind w:left="560" w:hanging="260"/>
      </w:pPr>
      <w:r>
        <w:rPr>
          <w:b/>
          <w:bCs/>
          <w:color w:val="8186EF"/>
          <w:sz w:val="18"/>
          <w:szCs w:val="18"/>
        </w:rPr>
        <w:t xml:space="preserve">C. </w:t>
      </w:r>
      <w:r>
        <w:rPr>
          <w:sz w:val="18"/>
          <w:szCs w:val="18"/>
        </w:rPr>
        <w:t xml:space="preserve">It pays dividends</w:t>
      </w:r>
    </w:p>
    <w:p>
      <w:pPr>
        <w:spacing w:after="18"/>
        <w:ind w:left="560" w:hanging="260"/>
      </w:pPr>
      <w:r>
        <w:rPr>
          <w:b/>
          <w:bCs/>
          <w:color w:val="8186EF"/>
          <w:sz w:val="18"/>
          <w:szCs w:val="18"/>
        </w:rPr>
        <w:t xml:space="preserve">D. </w:t>
      </w:r>
      <w:r>
        <w:rPr>
          <w:sz w:val="18"/>
          <w:szCs w:val="18"/>
        </w:rPr>
        <w:t xml:space="preserve">Its shares are listed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82"/>
        <w:gridCol w:w="2814"/>
        <w:gridCol w:w="2744"/>
        <w:gridCol w:w="126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Levant items, 2027 (whole USD) — the book’s own table</w:t>
            </w:r>
          </w:p>
        </w:tc>
      </w:tr>
      <w:tr>
        <w:tc>
          <w:tcPr>
            <w:tcW w:type="pct" w:w="1449"/>
            <w:tcMar>
              <w:top w:type="dxa" w:w="50"/>
              <w:left w:type="dxa" w:w="110"/>
              <w:bottom w:type="dxa" w:w="50"/>
              <w:right w:type="dxa" w:w="110"/>
            </w:tcMar>
          </w:tcPr>
          <w:p>
            <w:pPr>
              <w:spacing w:before="26" w:after="26"/>
            </w:pPr>
            <w:r>
              <w:rPr>
                <w:b/>
                <w:bCs/>
                <w:color w:val="353A7C"/>
                <w:sz w:val="15"/>
                <w:szCs w:val="15"/>
              </w:rPr>
              <w:t xml:space="preserve">Suppose: Levant items, 2027 (whole USD)</w:t>
            </w:r>
          </w:p>
        </w:tc>
        <w:tc>
          <w:tcPr>
            <w:tcW w:type="pct" w:w="1465"/>
            <w:tcMar>
              <w:top w:type="dxa" w:w="50"/>
              <w:left w:type="dxa" w:w="110"/>
              <w:bottom w:type="dxa" w:w="50"/>
              <w:right w:type="dxa" w:w="110"/>
            </w:tcMar>
          </w:tcPr>
          <w:p>
            <w:pPr>
              <w:spacing w:before="26" w:after="26"/>
            </w:pPr>
            <w:r>
              <w:rPr>
                <w:b/>
                <w:bCs/>
                <w:color w:val="353A7C"/>
                <w:sz w:val="15"/>
                <w:szCs w:val="15"/>
              </w:rPr>
              <w:t xml:space="preserve">Eliminate</w:t>
            </w:r>
          </w:p>
        </w:tc>
        <w:tc>
          <w:tcPr>
            <w:tcW w:type="pct" w:w="1429"/>
            <w:tcMar>
              <w:top w:type="dxa" w:w="50"/>
              <w:left w:type="dxa" w:w="110"/>
              <w:bottom w:type="dxa" w:w="50"/>
              <w:right w:type="dxa" w:w="110"/>
            </w:tcMar>
          </w:tcPr>
          <w:p>
            <w:pPr>
              <w:spacing w:before="26" w:after="26"/>
            </w:pPr>
            <w:r>
              <w:rPr>
                <w:b/>
                <w:bCs/>
                <w:color w:val="353A7C"/>
                <w:sz w:val="15"/>
                <w:szCs w:val="15"/>
              </w:rPr>
              <w:t xml:space="preserve">Result</w:t>
            </w:r>
          </w:p>
        </w:tc>
        <w:tc>
          <w:tcPr>
            <w:tcW w:type="pct" w:w="656"/>
            <w:tcMar>
              <w:top w:type="dxa" w:w="50"/>
              <w:left w:type="dxa" w:w="110"/>
              <w:bottom w:type="dxa" w:w="50"/>
              <w:right w:type="dxa" w:w="110"/>
            </w:tcMar>
          </w:tcPr>
          <w:p>
            <w:pPr>
              <w:spacing w:before="26" w:after="26"/>
            </w:pPr>
            <w:r>
              <w:rPr>
                <w:b/>
                <w:bCs/>
                <w:color w:val="353A7C"/>
                <w:sz w:val="15"/>
                <w:szCs w:val="15"/>
              </w:rPr>
              <w:t xml:space="preserve">Who bears it</w:t>
            </w:r>
          </w:p>
        </w:tc>
      </w:tr>
      <w:tr>
        <w:tc>
          <w:tcPr>
            <w:tcW w:type="pct" w:w="1449"/>
            <w:tcMar>
              <w:top w:type="dxa" w:w="50"/>
              <w:left w:type="dxa" w:w="110"/>
              <w:bottom w:type="dxa" w:w="50"/>
              <w:right w:type="dxa" w:w="110"/>
            </w:tcMar>
          </w:tcPr>
          <w:p>
            <w:pPr>
              <w:spacing w:before="26" w:after="26"/>
            </w:pPr>
            <w:r>
              <w:rPr>
                <w:color w:val="232733"/>
                <w:sz w:val="16"/>
                <w:szCs w:val="16"/>
              </w:rPr>
              <w:t xml:space="preserve">Intercompany sales and cost of sales</w:t>
            </w:r>
          </w:p>
        </w:tc>
        <w:tc>
          <w:tcPr>
            <w:tcW w:type="pct" w:w="1465"/>
            <w:tcMar>
              <w:top w:type="dxa" w:w="50"/>
              <w:left w:type="dxa" w:w="110"/>
              <w:bottom w:type="dxa" w:w="50"/>
              <w:right w:type="dxa" w:w="110"/>
            </w:tcMar>
          </w:tcPr>
          <w:p>
            <w:pPr>
              <w:spacing w:before="26" w:after="26"/>
            </w:pPr>
            <w:r>
              <w:rPr>
                <w:color w:val="232733"/>
                <w:sz w:val="16"/>
                <w:szCs w:val="16"/>
              </w:rPr>
              <w:t xml:space="preserve">Remove 750,000 of sales and cost of sales</w:t>
            </w:r>
          </w:p>
        </w:tc>
        <w:tc>
          <w:tcPr>
            <w:tcW w:type="pct" w:w="1429"/>
            <w:tcMar>
              <w:top w:type="dxa" w:w="50"/>
              <w:left w:type="dxa" w:w="110"/>
              <w:bottom w:type="dxa" w:w="50"/>
              <w:right w:type="dxa" w:w="110"/>
            </w:tcMar>
          </w:tcPr>
          <w:p>
            <w:pPr>
              <w:spacing w:before="26" w:after="26"/>
            </w:pPr>
            <w:r>
              <w:rPr>
                <w:color w:val="232733"/>
                <w:sz w:val="16"/>
                <w:szCs w:val="16"/>
              </w:rPr>
              <w:t xml:space="preserve">Revenue and expenses fall; no profit effect</w:t>
            </w:r>
          </w:p>
        </w:tc>
        <w:tc>
          <w:tcPr>
            <w:tcW w:type="pct" w:w="656"/>
            <w:tcMar>
              <w:top w:type="dxa" w:w="50"/>
              <w:left w:type="dxa" w:w="110"/>
              <w:bottom w:type="dxa" w:w="50"/>
              <w:right w:type="dxa" w:w="110"/>
            </w:tcMar>
          </w:tcPr>
          <w:p>
            <w:pPr>
              <w:spacing w:before="26" w:after="26"/>
            </w:pPr>
            <w:r>
              <w:rPr>
                <w:color w:val="232733"/>
                <w:sz w:val="16"/>
                <w:szCs w:val="16"/>
              </w:rPr>
              <w:t xml:space="preserve">—</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Downstream unrealized profit (30% unsold)</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60,000 from inventory and profit</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tcMar>
              <w:top w:type="dxa" w:w="50"/>
              <w:left w:type="dxa" w:w="110"/>
              <w:bottom w:type="dxa" w:w="50"/>
              <w:right w:type="dxa" w:w="110"/>
            </w:tcMar>
          </w:tcPr>
          <w:p>
            <w:pPr>
              <w:spacing w:before="26" w:after="26"/>
            </w:pPr>
            <w:r>
              <w:rPr>
                <w:color w:val="232733"/>
                <w:sz w:val="16"/>
                <w:szCs w:val="16"/>
              </w:rPr>
              <w:t xml:space="preserve">Upstream unrealized profit (40% unsold)</w:t>
            </w:r>
          </w:p>
        </w:tc>
        <w:tc>
          <w:tcPr>
            <w:tcW w:type="pct" w:w="1465"/>
            <w:tcMar>
              <w:top w:type="dxa" w:w="50"/>
              <w:left w:type="dxa" w:w="110"/>
              <w:bottom w:type="dxa" w:w="50"/>
              <w:right w:type="dxa" w:w="110"/>
            </w:tcMar>
          </w:tcPr>
          <w:p>
            <w:pPr>
              <w:spacing w:before="26" w:after="26"/>
            </w:pPr>
            <w:r>
              <w:rPr>
                <w:color w:val="232733"/>
                <w:sz w:val="16"/>
                <w:szCs w:val="16"/>
              </w:rPr>
              <w:t xml:space="preserve">25,000 from inventory and profit</w:t>
            </w:r>
          </w:p>
        </w:tc>
        <w:tc>
          <w:tcPr>
            <w:tcW w:type="pct" w:w="1429"/>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tcMar>
              <w:top w:type="dxa" w:w="50"/>
              <w:left w:type="dxa" w:w="110"/>
              <w:bottom w:type="dxa" w:w="50"/>
              <w:right w:type="dxa" w:w="110"/>
            </w:tcMar>
          </w:tcPr>
          <w:p>
            <w:pPr>
              <w:spacing w:before="26" w:after="26"/>
            </w:pPr>
            <w:r>
              <w:rPr>
                <w:color w:val="232733"/>
                <w:sz w:val="16"/>
                <w:szCs w:val="16"/>
              </w:rPr>
              <w:t xml:space="preserve">Orontes 20,000, NCI 5,000</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Intercompany receivable and payable</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120,000 from both</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The group cannot owe itself</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Truck sold for 90,000 (carrying 60,000)</w:t>
            </w:r>
          </w:p>
        </w:tc>
        <w:tc>
          <w:tcPr>
            <w:tcW w:type="pct" w:w="1465"/>
            <w:tcMar>
              <w:top w:type="dxa" w:w="50"/>
              <w:left w:type="dxa" w:w="110"/>
              <w:bottom w:type="dxa" w:w="50"/>
              <w:right w:type="dxa" w:w="110"/>
            </w:tcMar>
          </w:tcPr>
          <w:p>
            <w:pPr>
              <w:spacing w:before="26" w:after="26"/>
            </w:pPr>
            <w:r>
              <w:rPr>
                <w:color w:val="232733"/>
                <w:sz w:val="16"/>
                <w:szCs w:val="16"/>
              </w:rPr>
              <w:t xml:space="preserve">Gain 30,000; extra depreciation 6,000 a year</w:t>
            </w:r>
          </w:p>
        </w:tc>
        <w:tc>
          <w:tcPr>
            <w:tcW w:type="pct" w:w="1429"/>
            <w:tcMar>
              <w:top w:type="dxa" w:w="50"/>
              <w:left w:type="dxa" w:w="110"/>
              <w:bottom w:type="dxa" w:w="50"/>
              <w:right w:type="dxa" w:w="110"/>
            </w:tcMar>
          </w:tcPr>
          <w:p>
            <w:pPr>
              <w:spacing w:before="26" w:after="26"/>
            </w:pPr>
            <w:r>
              <w:rPr>
                <w:color w:val="232733"/>
                <w:sz w:val="16"/>
                <w:szCs w:val="16"/>
              </w:rPr>
              <w:t xml:space="preserve">Truck back to its original cost basis</w:t>
            </w:r>
          </w:p>
        </w:tc>
        <w:tc>
          <w:tcPr>
            <w:tcW w:type="pct" w:w="656"/>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Loan of 1,000,000 at 6%</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Loan and interest of 60,000</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No debt or interest inside the group</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Dividend of 100,000</w:t>
            </w:r>
          </w:p>
        </w:tc>
        <w:tc>
          <w:tcPr>
            <w:tcW w:type="pct" w:w="1465"/>
            <w:tcMar>
              <w:top w:type="dxa" w:w="50"/>
              <w:left w:type="dxa" w:w="110"/>
              <w:bottom w:type="dxa" w:w="50"/>
              <w:right w:type="dxa" w:w="110"/>
            </w:tcMar>
          </w:tcPr>
          <w:p>
            <w:pPr>
              <w:spacing w:before="26" w:after="26"/>
            </w:pPr>
            <w:r>
              <w:rPr>
                <w:color w:val="232733"/>
                <w:sz w:val="16"/>
                <w:szCs w:val="16"/>
              </w:rPr>
              <w:t xml:space="preserve">Orontes's dividend income 80,000</w:t>
            </w:r>
          </w:p>
        </w:tc>
        <w:tc>
          <w:tcPr>
            <w:tcW w:type="pct" w:w="1429"/>
            <w:tcMar>
              <w:top w:type="dxa" w:w="50"/>
              <w:left w:type="dxa" w:w="110"/>
              <w:bottom w:type="dxa" w:w="50"/>
              <w:right w:type="dxa" w:w="110"/>
            </w:tcMar>
          </w:tcPr>
          <w:p>
            <w:pPr>
              <w:spacing w:before="26" w:after="26"/>
            </w:pPr>
            <w:r>
              <w:rPr>
                <w:color w:val="232733"/>
                <w:sz w:val="16"/>
                <w:szCs w:val="16"/>
              </w:rPr>
              <w:t xml:space="preserve">NCI falls by 20,000</w:t>
            </w:r>
          </w:p>
        </w:tc>
        <w:tc>
          <w:tcPr>
            <w:tcW w:type="pct" w:w="656"/>
            <w:tcMar>
              <w:top w:type="dxa" w:w="50"/>
              <w:left w:type="dxa" w:w="110"/>
              <w:bottom w:type="dxa" w:w="50"/>
              <w:right w:type="dxa" w:w="110"/>
            </w:tcMar>
          </w:tcPr>
          <w:p>
            <w:pPr>
              <w:spacing w:before="26" w:after="26"/>
            </w:pPr>
            <w:r>
              <w:rPr>
                <w:color w:val="232733"/>
                <w:sz w:val="16"/>
                <w:szCs w:val="16"/>
              </w:rPr>
              <w:t xml:space="preserve">NCI</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tcMar>
              <w:top w:type="dxa" w:w="50"/>
              <w:left w:type="dxa" w:w="110"/>
              <w:bottom w:type="dxa" w:w="50"/>
              <w:right w:type="dxa" w:w="110"/>
            </w:tcMar>
          </w:tcPr>
          <w:p>
            <w:pPr>
              <w:spacing w:before="26" w:after="26"/>
            </w:pPr>
            <w:r>
              <w:rPr>
                <w:color w:val="232733"/>
                <w:sz w:val="16"/>
                <w:szCs w:val="16"/>
              </w:rPr>
              <w:t xml:space="preserve">المستفيد الرئيسي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amount does the book give for NCI at December 31, 2027?</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________</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1,900,000</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81"/>
        <w:gridCol w:w="2468"/>
        <w:gridCol w:w="2587"/>
        <w:gridCol w:w="864"/>
      </w:tblGrid>
      <w:tr>
        <w:tc>
          <w:tcPr>
            <w:tcW w:type="pct" w:w="1917"/>
            <w:shd w:fill="353A7C" w:val="clear"/>
            <w:tcMar>
              <w:top w:type="dxa" w:w="50"/>
              <w:left w:type="dxa" w:w="110"/>
              <w:bottom w:type="dxa" w:w="50"/>
              <w:right w:type="dxa" w:w="110"/>
            </w:tcMar>
          </w:tcPr>
          <w:p>
            <w:pPr>
              <w:spacing w:before="34" w:after="34"/>
            </w:pPr>
            <w:r>
              <w:rPr>
                <w:b/>
                <w:bCs/>
                <w:color w:val="FFFFFF"/>
                <w:sz w:val="15"/>
                <w:szCs w:val="15"/>
              </w:rPr>
              <w:t xml:space="preserve">Suppose: Levant items, 2027 (whole USD)</w:t>
            </w:r>
          </w:p>
        </w:tc>
        <w:tc>
          <w:tcPr>
            <w:tcW w:type="pct" w:w="1286"/>
            <w:shd w:fill="353A7C" w:val="clear"/>
            <w:tcMar>
              <w:top w:type="dxa" w:w="50"/>
              <w:left w:type="dxa" w:w="110"/>
              <w:bottom w:type="dxa" w:w="50"/>
              <w:right w:type="dxa" w:w="110"/>
            </w:tcMar>
          </w:tcPr>
          <w:p>
            <w:pPr>
              <w:spacing w:before="34" w:after="34"/>
            </w:pPr>
            <w:r>
              <w:rPr>
                <w:b/>
                <w:bCs/>
                <w:color w:val="FFFFFF"/>
                <w:sz w:val="15"/>
                <w:szCs w:val="15"/>
              </w:rPr>
              <w:t xml:space="preserve">Eliminate</w:t>
            </w:r>
          </w:p>
        </w:tc>
        <w:tc>
          <w:tcPr>
            <w:tcW w:type="pct" w:w="1347"/>
            <w:shd w:fill="353A7C" w:val="clear"/>
            <w:tcMar>
              <w:top w:type="dxa" w:w="50"/>
              <w:left w:type="dxa" w:w="110"/>
              <w:bottom w:type="dxa" w:w="50"/>
              <w:right w:type="dxa" w:w="110"/>
            </w:tcMar>
          </w:tcPr>
          <w:p>
            <w:pPr>
              <w:spacing w:before="34" w:after="34"/>
            </w:pPr>
            <w:r>
              <w:rPr>
                <w:b/>
                <w:bCs/>
                <w:color w:val="FFFFFF"/>
                <w:sz w:val="15"/>
                <w:szCs w:val="15"/>
              </w:rPr>
              <w:t xml:space="preserve">Result</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Who bears it</w:t>
            </w:r>
          </w:p>
        </w:tc>
      </w:tr>
      <w:tr>
        <w:tc>
          <w:tcPr>
            <w:tcW w:type="pct" w:w="1917"/>
            <w:tcMar>
              <w:top w:type="dxa" w:w="50"/>
              <w:left w:type="dxa" w:w="110"/>
              <w:bottom w:type="dxa" w:w="50"/>
              <w:right w:type="dxa" w:w="110"/>
            </w:tcMar>
          </w:tcPr>
          <w:p>
            <w:pPr>
              <w:spacing w:before="32" w:after="32"/>
            </w:pPr>
            <w:r>
              <w:rPr>
                <w:sz w:val="16"/>
                <w:szCs w:val="16"/>
              </w:rPr>
              <w:t xml:space="preserve">Intercompany sales and cost of sales</w:t>
            </w:r>
          </w:p>
        </w:tc>
        <w:tc>
          <w:tcPr>
            <w:tcW w:type="pct" w:w="1286"/>
            <w:tcMar>
              <w:top w:type="dxa" w:w="50"/>
              <w:left w:type="dxa" w:w="110"/>
              <w:bottom w:type="dxa" w:w="50"/>
              <w:right w:type="dxa" w:w="110"/>
            </w:tcMar>
          </w:tcPr>
          <w:p>
            <w:pPr>
              <w:spacing w:before="32" w:after="32"/>
            </w:pPr>
            <w:r>
              <w:rPr>
                <w:sz w:val="16"/>
                <w:szCs w:val="16"/>
              </w:rPr>
              <w:t xml:space="preserve">Remove 750,000 of sales and cost of sales</w:t>
            </w:r>
          </w:p>
        </w:tc>
        <w:tc>
          <w:tcPr>
            <w:tcW w:type="pct" w:w="1347"/>
            <w:tcMar>
              <w:top w:type="dxa" w:w="50"/>
              <w:left w:type="dxa" w:w="110"/>
              <w:bottom w:type="dxa" w:w="50"/>
              <w:right w:type="dxa" w:w="110"/>
            </w:tcMar>
          </w:tcPr>
          <w:p>
            <w:pPr>
              <w:spacing w:before="32" w:after="32"/>
            </w:pPr>
            <w:r>
              <w:rPr>
                <w:sz w:val="16"/>
                <w:szCs w:val="16"/>
              </w:rPr>
              <w:t xml:space="preserve">Revenue and expenses fall; no profit effect</w:t>
            </w:r>
          </w:p>
        </w:tc>
        <w:tc>
          <w:tcPr>
            <w:tcW w:type="pct" w:w="450"/>
            <w:tcMar>
              <w:top w:type="dxa" w:w="50"/>
              <w:left w:type="dxa" w:w="110"/>
              <w:bottom w:type="dxa" w:w="50"/>
              <w:right w:type="dxa" w:w="110"/>
            </w:tcMar>
          </w:tcPr>
          <w:p>
            <w:pPr>
              <w:spacing w:before="32" w:after="32"/>
            </w:pPr>
            <w:r>
              <w:rPr>
                <w:sz w:val="16"/>
                <w:szCs w:val="16"/>
              </w:rPr>
              <w:t xml:space="preserve">—</w:t>
            </w:r>
          </w:p>
        </w:tc>
      </w:tr>
      <w:tr>
        <w:tc>
          <w:tcPr>
            <w:tcW w:type="pct" w:w="1917"/>
            <w:shd w:fill="FBFAF6" w:val="clear"/>
            <w:tcMar>
              <w:top w:type="dxa" w:w="50"/>
              <w:left w:type="dxa" w:w="110"/>
              <w:bottom w:type="dxa" w:w="50"/>
              <w:right w:type="dxa" w:w="110"/>
            </w:tcMar>
          </w:tcPr>
          <w:p>
            <w:pPr>
              <w:spacing w:before="32" w:after="32"/>
            </w:pPr>
            <w:r>
              <w:rPr>
                <w:sz w:val="16"/>
                <w:szCs w:val="16"/>
              </w:rPr>
              <w:t xml:space="preserve">Downstream unrealized profit (30% unsold)</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tcMar>
              <w:top w:type="dxa" w:w="50"/>
              <w:left w:type="dxa" w:w="110"/>
              <w:bottom w:type="dxa" w:w="50"/>
              <w:right w:type="dxa" w:w="110"/>
            </w:tcMar>
          </w:tcPr>
          <w:p>
            <w:pPr>
              <w:spacing w:before="32" w:after="32"/>
            </w:pPr>
            <w:r>
              <w:rPr>
                <w:sz w:val="16"/>
                <w:szCs w:val="16"/>
              </w:rPr>
              <w:t xml:space="preserve">Upstream unrealized profit (40% unsold)</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shd w:fill="FBFAF6" w:val="clear"/>
            <w:tcMar>
              <w:top w:type="dxa" w:w="50"/>
              <w:left w:type="dxa" w:w="110"/>
              <w:bottom w:type="dxa" w:w="50"/>
              <w:right w:type="dxa" w:w="110"/>
            </w:tcMar>
          </w:tcPr>
          <w:p>
            <w:pPr>
              <w:spacing w:before="32" w:after="32"/>
            </w:pPr>
            <w:r>
              <w:rPr>
                <w:sz w:val="16"/>
                <w:szCs w:val="16"/>
              </w:rPr>
              <w:t xml:space="preserve">Intercompany receivable and payable</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tcMar>
              <w:top w:type="dxa" w:w="50"/>
              <w:left w:type="dxa" w:w="110"/>
              <w:bottom w:type="dxa" w:w="50"/>
              <w:right w:type="dxa" w:w="110"/>
            </w:tcMar>
          </w:tcPr>
          <w:p>
            <w:pPr>
              <w:spacing w:before="32" w:after="32"/>
            </w:pPr>
            <w:r>
              <w:rPr>
                <w:sz w:val="16"/>
                <w:szCs w:val="16"/>
              </w:rPr>
              <w:t xml:space="preserve">Truck sold for 90,000 (carrying 60,000)</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shd w:fill="FBFAF6" w:val="clear"/>
            <w:tcMar>
              <w:top w:type="dxa" w:w="50"/>
              <w:left w:type="dxa" w:w="110"/>
              <w:bottom w:type="dxa" w:w="50"/>
              <w:right w:type="dxa" w:w="110"/>
            </w:tcMar>
          </w:tcPr>
          <w:p>
            <w:pPr>
              <w:spacing w:before="32" w:after="32"/>
            </w:pPr>
            <w:r>
              <w:rPr>
                <w:sz w:val="16"/>
                <w:szCs w:val="16"/>
              </w:rPr>
              <w:t xml:space="preserve">Loan of 1,000,000 at 6%</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917"/>
            <w:tcMar>
              <w:top w:type="dxa" w:w="50"/>
              <w:left w:type="dxa" w:w="110"/>
              <w:bottom w:type="dxa" w:w="50"/>
              <w:right w:type="dxa" w:w="110"/>
            </w:tcMar>
          </w:tcPr>
          <w:p>
            <w:pPr>
              <w:spacing w:before="32" w:after="32"/>
            </w:pPr>
            <w:r>
              <w:rPr>
                <w:sz w:val="16"/>
                <w:szCs w:val="16"/>
              </w:rPr>
              <w:t xml:space="preserve">Dividend of 100,000</w:t>
            </w:r>
          </w:p>
        </w:tc>
        <w:tc>
          <w:tcPr>
            <w:tcW w:type="pct" w:w="1286"/>
            <w:shd w:fill="FFFFFF" w:val="clear"/>
            <w:tcMar>
              <w:top w:type="dxa" w:w="50"/>
              <w:left w:type="dxa" w:w="110"/>
              <w:bottom w:type="dxa" w:w="50"/>
              <w:right w:type="dxa" w:w="110"/>
            </w:tcMar>
          </w:tcPr>
          <w:p>
            <w:pPr>
              <w:spacing w:before="54" w:after="54"/>
            </w:pPr>
            <w:r>
              <w:rPr>
                <w:sz w:val="18"/>
                <w:szCs w:val="18"/>
              </w:rPr>
              <w:t xml:space="preserve"/>
            </w:r>
          </w:p>
        </w:tc>
        <w:tc>
          <w:tcPr>
            <w:tcW w:type="pct" w:w="1347"/>
            <w:shd w:fill="FFFFFF" w:val="clear"/>
            <w:tcMar>
              <w:top w:type="dxa" w:w="50"/>
              <w:left w:type="dxa" w:w="110"/>
              <w:bottom w:type="dxa" w:w="50"/>
              <w:right w:type="dxa" w:w="110"/>
            </w:tcMar>
          </w:tcPr>
          <w:p>
            <w:pPr>
              <w:spacing w:before="54" w:after="54"/>
            </w:pPr>
            <w:r>
              <w:rPr>
                <w:sz w:val="18"/>
                <w:szCs w:val="18"/>
              </w:rPr>
              <w:t xml:space="preserve"/>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Intercompany sales and cost of sales   ·   Downstream unrealized profit (30% unsold)   ·   Upstream unrealized profit (40% unsold)   ·   Intercompany receivable and payable   ·   Truck sold for 90,000 (carrying 60,000)   ·   Loan of 1,000,000 at 6%   ·   Dividend of 100,000</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NCI</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Orontes</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Orontes 20,000, NCI 5,000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beneficiary  ·  joint venture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16.6</w:t>
      </w:r>
    </w:p>
    <w:p>
      <w:pPr>
        <w:spacing w:after="8"/>
      </w:pPr>
      <w:r>
        <w:rPr>
          <w:color w:val="23265A"/>
          <w:sz w:val="22"/>
          <w:szCs w:val="22"/>
        </w:rPr>
        <w:t xml:space="preserve">IFRS differences and what is changing</w:t>
      </w:r>
    </w:p>
    <w:p>
      <w:pPr>
        <w:spacing w:after="130"/>
      </w:pPr>
      <w:r>
        <w:rPr>
          <w:color w:val="6B7280"/>
          <w:sz w:val="20"/>
          <w:szCs w:val="20"/>
        </w:rPr>
        <w:t xml:space="preserve">section 16.6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54"/>
        <w:gridCol w:w="473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6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46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7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62"/>
            <w:tcMar>
              <w:top w:type="dxa" w:w="50"/>
              <w:left w:type="dxa" w:w="110"/>
              <w:bottom w:type="dxa" w:w="50"/>
              <w:right w:type="dxa" w:w="110"/>
            </w:tcMar>
          </w:tcPr>
          <w:p>
            <w:pPr>
              <w:spacing w:before="26" w:after="26"/>
            </w:pPr>
            <w:r>
              <w:rPr>
                <w:color w:val="232733"/>
                <w:sz w:val="16"/>
                <w:szCs w:val="16"/>
              </w:rPr>
              <w:t xml:space="preserve">IFRS differences and what is changing</w:t>
            </w:r>
          </w:p>
        </w:tc>
        <w:tc>
          <w:tcPr>
            <w:tcW w:type="pct" w:w="2464"/>
            <w:tcMar>
              <w:top w:type="dxa" w:w="50"/>
              <w:left w:type="dxa" w:w="110"/>
              <w:bottom w:type="dxa" w:w="50"/>
              <w:right w:type="dxa" w:w="110"/>
            </w:tcMar>
          </w:tcPr>
          <w:p>
            <w:pPr>
              <w:spacing w:before="26" w:after="26"/>
            </w:pPr>
            <w:r>
              <w:rPr>
                <w:color w:val="232733"/>
                <w:sz w:val="16"/>
                <w:szCs w:val="16"/>
              </w:rPr>
              <w:t xml:space="preserve">a figure to read · Suppose: Barada Wholesale and Tadmor Retail, 202 · Suppose: Orontes Cold-Chain Logistics SPV, 2027</w:t>
            </w:r>
          </w:p>
        </w:tc>
        <w:tc>
          <w:tcPr>
            <w:tcW w:type="pct" w:w="1674"/>
            <w:tcMar>
              <w:top w:type="dxa" w:w="50"/>
              <w:left w:type="dxa" w:w="110"/>
              <w:bottom w:type="dxa" w:w="50"/>
              <w:right w:type="dxa" w:w="110"/>
            </w:tcMar>
          </w:tcPr>
          <w:p>
            <w:pPr>
              <w:spacing w:before="26" w:after="26"/>
            </w:pPr>
            <w:r>
              <w:rPr>
                <w:color w:val="232733"/>
                <w:sz w:val="16"/>
                <w:szCs w:val="16"/>
              </w:rPr>
              <w:t xml:space="preserve">What do consolidated financial statements present?</w:t>
            </w:r>
          </w:p>
        </w:tc>
      </w:tr>
      <w:tr>
        <w:tc>
          <w:tcPr>
            <w:tcW w:type="pct" w:w="86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Topic · The English the exam uses, and what it translates · Method</w:t>
            </w:r>
          </w:p>
        </w:tc>
        <w:tc>
          <w:tcPr>
            <w:tcW w:type="pct" w:w="167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method   ·   exposure   ·   investor   ·   unrealized profit   ·   controls</w:t>
      </w:r>
    </w:p>
    <w:p>
      <w:pPr>
        <w:spacing w:before="36" w:after="36"/>
        <w:ind w:left="300"/>
      </w:pPr>
      <w:r>
        <w:rPr>
          <w:sz w:val="19"/>
          <w:szCs w:val="19"/>
        </w:rPr>
        <w:t xml:space="preserve">IFRS 10 uses one control model: an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 entity if it has power over it, </w:t>
      </w:r>
      <w:r>
        <w:rPr>
          <w:u w:val="single"/>
          <w:sz w:val="19"/>
          <w:szCs w:val="19"/>
        </w:rPr>
        <w:t xml:space="preserve">           </w:t>
      </w:r>
      <w:r>
        <w:rPr>
          <w:sz w:val="19"/>
          <w:szCs w:val="19"/>
        </w:rPr>
        <w:t xml:space="preserve"> to variable returns, and the ability to use its power to affect those returns. There is no separate VIE model, and an investor can have de facto control with less than half of the votes.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operations   ·   unrealized profit   ·   liabilities   ·   equity method   ·   variable interest entity</w:t>
      </w:r>
    </w:p>
    <w:p>
      <w:pPr>
        <w:spacing w:before="36" w:after="36"/>
        <w:ind w:left="300"/>
      </w:pPr>
      <w:r>
        <w:rPr>
          <w:sz w:val="19"/>
          <w:szCs w:val="19"/>
        </w:rPr>
        <w:t xml:space="preserve">Under IFRS 11, joint ventures use the </w:t>
      </w:r>
      <w:r>
        <w:rPr>
          <w:u w:val="single"/>
          <w:sz w:val="19"/>
          <w:szCs w:val="19"/>
        </w:rPr>
        <w:t xml:space="preserve">               </w:t>
      </w:r>
      <w:r>
        <w:rPr>
          <w:sz w:val="19"/>
          <w:szCs w:val="19"/>
        </w:rPr>
        <w:t xml:space="preserve"> and joint </w:t>
      </w:r>
      <w:r>
        <w:rPr>
          <w:u w:val="single"/>
          <w:sz w:val="19"/>
          <w:szCs w:val="19"/>
        </w:rPr>
        <w:t xml:space="preserve">            </w:t>
      </w:r>
      <w:r>
        <w:rPr>
          <w:sz w:val="19"/>
          <w:szCs w:val="19"/>
        </w:rPr>
        <w:t xml:space="preserve"> recognize their own share of assets and </w:t>
      </w:r>
      <w:r>
        <w:rPr>
          <w:u w:val="single"/>
          <w:sz w:val="19"/>
          <w:szCs w:val="19"/>
        </w:rPr>
        <w:t xml:space="preserve">             </w:t>
      </w:r>
      <w:r>
        <w:rPr>
          <w:sz w:val="19"/>
          <w:szCs w:val="19"/>
        </w:rPr>
        <w:t xml:space="preserve">. ASU 2025-03 changes how to identify the acquirer when the acquired company is a VIE; it is not testable before about January 2028.</w:t>
      </w:r>
    </w:p>
    <w:p>
      <w:pPr>
        <w:spacing w:before="40" w:after="10"/>
        <w:ind w:left="300" w:hanging="300"/>
      </w:pPr>
      <w:r>
        <w:rPr>
          <w:b/>
          <w:bCs/>
          <w:color w:val="353A7C"/>
          <w:sz w:val="19"/>
          <w:szCs w:val="19"/>
        </w:rPr>
        <w:t xml:space="preserve">3.  </w:t>
      </w:r>
      <w:r>
        <w:rPr>
          <w:sz w:val="19"/>
          <w:szCs w:val="19"/>
        </w:rPr>
        <w:t xml:space="preserve">Where it ends — Fill every gap from the list. The list holds more words than there are gaps.</w:t>
      </w:r>
    </w:p>
    <w:p>
      <w:pPr>
        <w:spacing w:before="20" w:after="26"/>
        <w:ind w:left="300"/>
      </w:pPr>
      <w:r>
        <w:rPr>
          <w:color w:val="6B7280"/>
          <w:sz w:val="16"/>
          <w:szCs w:val="16"/>
        </w:rPr>
        <w:t xml:space="preserve">choose from:  </w:t>
      </w:r>
      <w:r>
        <w:rPr>
          <w:b/>
          <w:bCs/>
          <w:color w:val="353A7C"/>
          <w:sz w:val="16"/>
          <w:szCs w:val="16"/>
        </w:rPr>
        <w:t xml:space="preserve">120   ·   190   ·   600   ·   700</w:t>
      </w:r>
    </w:p>
    <w:p>
      <w:pPr>
        <w:spacing w:before="36" w:after="36"/>
        <w:ind w:left="300"/>
      </w:pPr>
      <w:r>
        <w:rPr>
          <w:sz w:val="19"/>
          <w:szCs w:val="19"/>
        </w:rPr>
        <w:t xml:space="preserve">The book’s own table “Suppose: Barada Wholesale and Tadmor Retail, 202” settles these: for Price paid for 75% of Tadmor Retail LLC, January 1, 2028 it is </w:t>
      </w:r>
      <w:r>
        <w:rPr>
          <w:u w:val="single"/>
          <w:sz w:val="19"/>
          <w:szCs w:val="19"/>
        </w:rPr>
        <w:t xml:space="preserve">           </w:t>
      </w:r>
      <w:r>
        <w:rPr>
          <w:sz w:val="19"/>
          <w:szCs w:val="19"/>
        </w:rPr>
        <w:t xml:space="preserve">, for Fair value of the 25% noncontrolling interest it is </w:t>
      </w:r>
      <w:r>
        <w:rPr>
          <w:u w:val="single"/>
          <w:sz w:val="19"/>
          <w:szCs w:val="19"/>
        </w:rPr>
        <w:t xml:space="preserve">           </w:t>
      </w:r>
      <w:r>
        <w:rPr>
          <w:sz w:val="19"/>
          <w:szCs w:val="19"/>
        </w:rPr>
        <w:t xml:space="preserve"> and for Fair value of Tadmor's identifiable net assets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IFRS differences and what is changing</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3005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the book’s own table</w:t>
            </w:r>
          </w:p>
        </w:tc>
      </w:tr>
      <w:tr>
        <w:tc>
          <w:tcPr>
            <w:tcW w:type="pct" w:w="2542"/>
            <w:tcMar>
              <w:top w:type="dxa" w:w="50"/>
              <w:left w:type="dxa" w:w="110"/>
              <w:bottom w:type="dxa" w:w="50"/>
              <w:right w:type="dxa" w:w="110"/>
            </w:tcMar>
          </w:tcPr>
          <w:p>
            <w:pPr>
              <w:spacing w:before="26" w:after="26"/>
            </w:pPr>
            <w:r>
              <w:rPr>
                <w:b/>
                <w:bCs/>
                <w:color w:val="353A7C"/>
                <w:sz w:val="15"/>
                <w:szCs w:val="15"/>
              </w:rPr>
              <w:t xml:space="preserve">Suppose: Barada Wholesale and Tadmor Retail, 202</w:t>
            </w:r>
          </w:p>
        </w:tc>
        <w:tc>
          <w:tcPr>
            <w:tcW w:type="pct" w:w="2458"/>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542"/>
            <w:tcMar>
              <w:top w:type="dxa" w:w="50"/>
              <w:left w:type="dxa" w:w="110"/>
              <w:bottom w:type="dxa" w:w="50"/>
              <w:right w:type="dxa" w:w="110"/>
            </w:tcMar>
          </w:tcPr>
          <w:p>
            <w:pPr>
              <w:spacing w:before="26" w:after="26"/>
            </w:pPr>
            <w:r>
              <w:rPr>
                <w:color w:val="232733"/>
                <w:sz w:val="16"/>
                <w:szCs w:val="16"/>
              </w:rPr>
              <w:t xml:space="preserve">Price paid for 75% of Tadmor Retail LLC, January 1, 2028</w:t>
            </w:r>
          </w:p>
        </w:tc>
        <w:tc>
          <w:tcPr>
            <w:tcW w:type="pct" w:w="2458"/>
            <w:tcMar>
              <w:top w:type="dxa" w:w="50"/>
              <w:left w:type="dxa" w:w="110"/>
              <w:bottom w:type="dxa" w:w="50"/>
              <w:right w:type="dxa" w:w="110"/>
            </w:tcMar>
          </w:tcPr>
          <w:p>
            <w:pPr>
              <w:spacing w:before="26" w:after="26"/>
            </w:pPr>
            <w:r>
              <w:rPr>
                <w:color w:val="232733"/>
                <w:sz w:val="16"/>
                <w:szCs w:val="16"/>
              </w:rPr>
              <w:t xml:space="preserve">600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Fair value of the 25% noncontrolling interest</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190</w:t>
            </w:r>
          </w:p>
        </w:tc>
      </w:tr>
      <w:tr>
        <w:tc>
          <w:tcPr>
            <w:tcW w:type="pct" w:w="2542"/>
            <w:tcMar>
              <w:top w:type="dxa" w:w="50"/>
              <w:left w:type="dxa" w:w="110"/>
              <w:bottom w:type="dxa" w:w="50"/>
              <w:right w:type="dxa" w:w="110"/>
            </w:tcMar>
          </w:tcPr>
          <w:p>
            <w:pPr>
              <w:spacing w:before="26" w:after="26"/>
            </w:pPr>
            <w:r>
              <w:rPr>
                <w:color w:val="232733"/>
                <w:sz w:val="16"/>
                <w:szCs w:val="16"/>
              </w:rPr>
              <w:t xml:space="preserve">Fair value of Tadmor's identifiable net assets</w:t>
            </w:r>
          </w:p>
        </w:tc>
        <w:tc>
          <w:tcPr>
            <w:tcW w:type="pct" w:w="2458"/>
            <w:tcMar>
              <w:top w:type="dxa" w:w="50"/>
              <w:left w:type="dxa" w:w="110"/>
              <w:bottom w:type="dxa" w:w="50"/>
              <w:right w:type="dxa" w:w="110"/>
            </w:tcMar>
          </w:tcPr>
          <w:p>
            <w:pPr>
              <w:spacing w:before="26" w:after="26"/>
            </w:pPr>
            <w:r>
              <w:rPr>
                <w:color w:val="232733"/>
                <w:sz w:val="16"/>
                <w:szCs w:val="16"/>
              </w:rPr>
              <w:t xml:space="preserve">700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Barada sold goods to Tadmor: sales 200, margin 30%, 25% still held by Tadmor</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42"/>
            <w:tcMar>
              <w:top w:type="dxa" w:w="50"/>
              <w:left w:type="dxa" w:w="110"/>
              <w:bottom w:type="dxa" w:w="50"/>
              <w:right w:type="dxa" w:w="110"/>
            </w:tcMar>
          </w:tcPr>
          <w:p>
            <w:pPr>
              <w:spacing w:before="26" w:after="26"/>
            </w:pPr>
            <w:r>
              <w:rPr>
                <w:color w:val="232733"/>
                <w:sz w:val="16"/>
                <w:szCs w:val="16"/>
              </w:rPr>
              <w:t xml:space="preserve">Tadmor sold goods to Barada: sales 160, margin 25%, 50% still held by Barada</w:t>
            </w:r>
          </w:p>
        </w:tc>
        <w:tc>
          <w:tcPr>
            <w:tcW w:type="pct" w:w="2458"/>
            <w:tcMar>
              <w:top w:type="dxa" w:w="50"/>
              <w:left w:type="dxa" w:w="110"/>
              <w:bottom w:type="dxa" w:w="50"/>
              <w:right w:type="dxa" w:w="110"/>
            </w:tcMar>
          </w:tcPr>
          <w:p>
            <w:pPr>
              <w:spacing w:before="26" w:after="26"/>
            </w:pPr>
            <w:r>
              <w:rPr>
                <w:color w:val="232733"/>
                <w:sz w:val="16"/>
                <w:szCs w:val="16"/>
              </w:rPr>
              <w:t xml:space="preserve"/>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Tadmor owes Barada at December 31,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Tadmor's 2028 net income (before any consolidation adjustment)</w:t>
            </w:r>
          </w:p>
        </w:tc>
        <w:tc>
          <w:tcPr>
            <w:tcW w:type="pct" w:w="2458"/>
            <w:tcMar>
              <w:top w:type="dxa" w:w="50"/>
              <w:left w:type="dxa" w:w="110"/>
              <w:bottom w:type="dxa" w:w="50"/>
              <w:right w:type="dxa" w:w="110"/>
            </w:tcMar>
          </w:tcPr>
          <w:p>
            <w:pPr>
              <w:spacing w:before="26" w:after="26"/>
            </w:pPr>
            <w:r>
              <w:rPr>
                <w:color w:val="232733"/>
                <w:sz w:val="16"/>
                <w:szCs w:val="16"/>
              </w:rPr>
              <w:t xml:space="preserve">120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Dividends paid by Tadmor in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M1</w:t>
            </w:r>
          </w:p>
        </w:tc>
        <w:tc>
          <w:tcPr>
            <w:tcW w:type="pct" w:w="2458"/>
            <w:tcMar>
              <w:top w:type="dxa" w:w="50"/>
              <w:left w:type="dxa" w:w="110"/>
              <w:bottom w:type="dxa" w:w="50"/>
              <w:right w:type="dxa" w:w="110"/>
            </w:tcMar>
          </w:tcPr>
          <w:p>
            <w:pPr>
              <w:spacing w:before="26" w:after="26"/>
            </w:pPr>
            <w:r>
              <w:rPr>
                <w:color w:val="232733"/>
                <w:sz w:val="16"/>
                <w:szCs w:val="16"/>
              </w:rPr>
              <w:t xml:space="preserve">Tadmor's assets are at fair value on its books, so there is no step-up to depreciate.</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Barada also holds 30% of a supplier (significant influence) and 8% of a listed food company.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Price paid for 75% of Tadmor Retail LLC, January 1, 2028?</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190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120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Under U.S. GAAP, which test does a company apply first to decide whether to consolidate an entity?</w:t>
      </w:r>
    </w:p>
    <w:p>
      <w:pPr>
        <w:spacing w:after="18"/>
        <w:ind w:left="560" w:hanging="260"/>
      </w:pPr>
      <w:r>
        <w:rPr>
          <w:b/>
          <w:bCs/>
          <w:color w:val="8186EF"/>
          <w:sz w:val="18"/>
          <w:szCs w:val="18"/>
        </w:rPr>
        <w:t xml:space="preserve">A. </w:t>
      </w:r>
      <w:r>
        <w:rPr>
          <w:sz w:val="18"/>
          <w:szCs w:val="18"/>
        </w:rPr>
        <w:t xml:space="preserve">Whether the entity is a variable interest entity</w:t>
      </w:r>
    </w:p>
    <w:p>
      <w:pPr>
        <w:spacing w:after="18"/>
        <w:ind w:left="560" w:hanging="260"/>
      </w:pPr>
      <w:r>
        <w:rPr>
          <w:b/>
          <w:bCs/>
          <w:color w:val="8186EF"/>
          <w:sz w:val="18"/>
          <w:szCs w:val="18"/>
        </w:rPr>
        <w:t xml:space="preserve">B. </w:t>
      </w:r>
      <w:r>
        <w:rPr>
          <w:sz w:val="18"/>
          <w:szCs w:val="18"/>
        </w:rPr>
        <w:t xml:space="preserve">Whether it holds more than 50% of the votes</w:t>
      </w:r>
    </w:p>
    <w:p>
      <w:pPr>
        <w:spacing w:after="18"/>
        <w:ind w:left="560" w:hanging="260"/>
      </w:pPr>
      <w:r>
        <w:rPr>
          <w:b/>
          <w:bCs/>
          <w:color w:val="8186EF"/>
          <w:sz w:val="18"/>
          <w:szCs w:val="18"/>
        </w:rPr>
        <w:t xml:space="preserve">C. </w:t>
      </w:r>
      <w:r>
        <w:rPr>
          <w:sz w:val="18"/>
          <w:szCs w:val="18"/>
        </w:rPr>
        <w:t xml:space="preserve">Whether it has significant influence</w:t>
      </w:r>
    </w:p>
    <w:p>
      <w:pPr>
        <w:spacing w:after="18"/>
        <w:ind w:left="560" w:hanging="260"/>
      </w:pPr>
      <w:r>
        <w:rPr>
          <w:b/>
          <w:bCs/>
          <w:color w:val="8186EF"/>
          <w:sz w:val="18"/>
          <w:szCs w:val="18"/>
        </w:rPr>
        <w:t xml:space="preserve">D. </w:t>
      </w:r>
      <w:r>
        <w:rPr>
          <w:sz w:val="18"/>
          <w:szCs w:val="18"/>
        </w:rPr>
        <w:t xml:space="preserve">Whether the entity is profitable</w:t>
      </w:r>
    </w:p>
    <w:p>
      <w:pPr>
        <w:spacing w:before="40" w:after="16"/>
        <w:ind w:left="300" w:hanging="300"/>
      </w:pPr>
      <w:r>
        <w:rPr>
          <w:b/>
          <w:bCs/>
          <w:color w:val="353A7C"/>
          <w:sz w:val="19"/>
          <w:szCs w:val="19"/>
        </w:rPr>
        <w:t xml:space="preserve">7.  </w:t>
      </w:r>
      <w:r>
        <w:rPr>
          <w:sz w:val="19"/>
          <w:szCs w:val="19"/>
        </w:rPr>
        <w:t xml:space="preserve">A bank lends to a VIE and bears large losses if it fails, but has no power over its activities. The bank:</w:t>
      </w:r>
    </w:p>
    <w:p>
      <w:pPr>
        <w:spacing w:after="18"/>
        <w:ind w:left="560" w:hanging="260"/>
      </w:pPr>
      <w:r>
        <w:rPr>
          <w:b/>
          <w:bCs/>
          <w:color w:val="8186EF"/>
          <w:sz w:val="18"/>
          <w:szCs w:val="18"/>
        </w:rPr>
        <w:t xml:space="preserve">A. </w:t>
      </w:r>
      <w:r>
        <w:rPr>
          <w:sz w:val="18"/>
          <w:szCs w:val="18"/>
        </w:rPr>
        <w:t xml:space="preserve">is the primary beneficiary because it bears the losses</w:t>
      </w:r>
    </w:p>
    <w:p>
      <w:pPr>
        <w:spacing w:after="18"/>
        <w:ind w:left="560" w:hanging="260"/>
      </w:pPr>
      <w:r>
        <w:rPr>
          <w:b/>
          <w:bCs/>
          <w:color w:val="8186EF"/>
          <w:sz w:val="18"/>
          <w:szCs w:val="18"/>
        </w:rPr>
        <w:t xml:space="preserve">B. </w:t>
      </w:r>
      <w:r>
        <w:rPr>
          <w:sz w:val="18"/>
          <w:szCs w:val="18"/>
        </w:rPr>
        <w:t xml:space="preserve">must use the equity method</w:t>
      </w:r>
    </w:p>
    <w:p>
      <w:pPr>
        <w:spacing w:after="18"/>
        <w:ind w:left="560" w:hanging="260"/>
      </w:pPr>
      <w:r>
        <w:rPr>
          <w:b/>
          <w:bCs/>
          <w:color w:val="8186EF"/>
          <w:sz w:val="18"/>
          <w:szCs w:val="18"/>
        </w:rPr>
        <w:t xml:space="preserve">C. </w:t>
      </w:r>
      <w:r>
        <w:rPr>
          <w:sz w:val="18"/>
          <w:szCs w:val="18"/>
        </w:rPr>
        <w:t xml:space="preserve">is not the primary beneficiary</w:t>
      </w:r>
    </w:p>
    <w:p>
      <w:pPr>
        <w:spacing w:after="18"/>
        <w:ind w:left="560" w:hanging="260"/>
      </w:pPr>
      <w:r>
        <w:rPr>
          <w:b/>
          <w:bCs/>
          <w:color w:val="8186EF"/>
          <w:sz w:val="18"/>
          <w:szCs w:val="18"/>
        </w:rPr>
        <w:t xml:space="preserve">D. </w:t>
      </w:r>
      <w:r>
        <w:rPr>
          <w:sz w:val="18"/>
          <w:szCs w:val="18"/>
        </w:rPr>
        <w:t xml:space="preserve">must use proportionate consolidation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5"/>
        <w:gridCol w:w="4496"/>
        <w:gridCol w:w="13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Cold-Chain Logistics SPV, 2027 — the extract for the question that follows</w:t>
            </w:r>
          </w:p>
        </w:tc>
      </w:tr>
      <w:tr>
        <w:tc>
          <w:tcPr>
            <w:tcW w:type="pct" w:w="1935"/>
            <w:tcMar>
              <w:top w:type="dxa" w:w="50"/>
              <w:left w:type="dxa" w:w="110"/>
              <w:bottom w:type="dxa" w:w="50"/>
              <w:right w:type="dxa" w:w="110"/>
            </w:tcMar>
          </w:tcPr>
          <w:p>
            <w:pPr>
              <w:spacing w:before="26" w:after="26"/>
            </w:pPr>
            <w:r>
              <w:rPr>
                <w:b/>
                <w:bCs/>
                <w:color w:val="353A7C"/>
                <w:sz w:val="15"/>
                <w:szCs w:val="15"/>
              </w:rPr>
              <w:t xml:space="preserve">Suppose: Orontes Cold-Chain Logistics SPV, 2027</w:t>
            </w:r>
          </w:p>
        </w:tc>
        <w:tc>
          <w:tcPr>
            <w:tcW w:type="pct" w:w="2342"/>
            <w:tcMar>
              <w:top w:type="dxa" w:w="50"/>
              <w:left w:type="dxa" w:w="110"/>
              <w:bottom w:type="dxa" w:w="50"/>
              <w:right w:type="dxa" w:w="110"/>
            </w:tcMar>
          </w:tcPr>
          <w:p>
            <w:pPr>
              <w:spacing w:before="26" w:after="26"/>
            </w:pPr>
            <w:r>
              <w:rPr>
                <w:b/>
                <w:bCs/>
                <w:color w:val="353A7C"/>
                <w:sz w:val="15"/>
                <w:szCs w:val="15"/>
              </w:rPr>
              <w:t xml:space="preserve">Facts (whole USD)</w:t>
            </w:r>
          </w:p>
        </w:tc>
        <w:tc>
          <w:tcPr>
            <w:tcW w:type="pct" w:w="723"/>
            <w:tcMar>
              <w:top w:type="dxa" w:w="50"/>
              <w:left w:type="dxa" w:w="110"/>
              <w:bottom w:type="dxa" w:w="50"/>
              <w:right w:type="dxa" w:w="110"/>
            </w:tcMar>
          </w:tcPr>
          <w:p>
            <w:pPr>
              <w:spacing w:before="26" w:after="26"/>
            </w:pPr>
            <w:r>
              <w:rPr>
                <w:b/>
                <w:bCs/>
                <w:color w:val="353A7C"/>
                <w:sz w:val="15"/>
                <w:szCs w:val="15"/>
              </w:rPr>
              <w:t xml:space="preserve">Conclusion</w:t>
            </w:r>
          </w:p>
        </w:tc>
      </w:tr>
      <w:tr>
        <w:tc>
          <w:tcPr>
            <w:tcW w:type="pct" w:w="1935"/>
            <w:tcMar>
              <w:top w:type="dxa" w:w="50"/>
              <w:left w:type="dxa" w:w="110"/>
              <w:bottom w:type="dxa" w:w="50"/>
              <w:right w:type="dxa" w:w="110"/>
            </w:tcMar>
          </w:tcPr>
          <w:p>
            <w:pPr>
              <w:spacing w:before="26" w:after="26"/>
            </w:pPr>
            <w:r>
              <w:rPr>
                <w:color w:val="232733"/>
                <w:sz w:val="16"/>
                <w:szCs w:val="16"/>
              </w:rPr>
              <w:t xml:space="preserve">Is equity at risk enough to finance the activities?</w:t>
            </w:r>
          </w:p>
        </w:tc>
        <w:tc>
          <w:tcPr>
            <w:tcW w:type="pct" w:w="2342"/>
            <w:tcMar>
              <w:top w:type="dxa" w:w="50"/>
              <w:left w:type="dxa" w:w="110"/>
              <w:bottom w:type="dxa" w:w="50"/>
              <w:right w:type="dxa" w:w="110"/>
            </w:tcMar>
          </w:tcPr>
          <w:p>
            <w:pPr>
              <w:spacing w:before="26" w:after="26"/>
            </w:pPr>
            <w:r>
              <w:rPr>
                <w:color w:val="232733"/>
                <w:sz w:val="16"/>
                <w:szCs w:val="16"/>
              </w:rPr>
              <w:t xml:space="preserve">No: third-party equity is 100,000, only 1% of total funding</w:t>
            </w:r>
          </w:p>
        </w:tc>
        <w:tc>
          <w:tcPr>
            <w:tcW w:type="pct" w:w="723"/>
            <w:tcMar>
              <w:top w:type="dxa" w:w="50"/>
              <w:left w:type="dxa" w:w="110"/>
              <w:bottom w:type="dxa" w:w="50"/>
              <w:right w:type="dxa" w:w="110"/>
            </w:tcMar>
          </w:tcPr>
          <w:p>
            <w:pPr>
              <w:spacing w:before="26" w:after="26"/>
            </w:pPr>
            <w:r>
              <w:rPr>
                <w:color w:val="232733"/>
                <w:sz w:val="16"/>
                <w:szCs w:val="16"/>
              </w:rPr>
              <w:t xml:space="preserve">Suggests a VIE</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Do the equity holders direct the key activities?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No: Orontes decides routes and customers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VIE</w:t>
            </w:r>
          </w:p>
        </w:tc>
      </w:tr>
      <w:tr>
        <w:tc>
          <w:tcPr>
            <w:tcW w:type="pct" w:w="1935"/>
            <w:tcMar>
              <w:top w:type="dxa" w:w="50"/>
              <w:left w:type="dxa" w:w="110"/>
              <w:bottom w:type="dxa" w:w="50"/>
              <w:right w:type="dxa" w:w="110"/>
            </w:tcMar>
          </w:tcPr>
          <w:p>
            <w:pPr>
              <w:spacing w:before="26" w:after="26"/>
            </w:pPr>
            <w:r>
              <w:rPr>
                <w:color w:val="232733"/>
                <w:sz w:val="16"/>
                <w:szCs w:val="16"/>
              </w:rPr>
              <w:t xml:space="preserve">Who absorbs losses?</w:t>
            </w:r>
          </w:p>
        </w:tc>
        <w:tc>
          <w:tcPr>
            <w:tcW w:type="pct" w:w="2342"/>
            <w:tcMar>
              <w:top w:type="dxa" w:w="50"/>
              <w:left w:type="dxa" w:w="110"/>
              <w:bottom w:type="dxa" w:w="50"/>
              <w:right w:type="dxa" w:w="110"/>
            </w:tcMar>
          </w:tcPr>
          <w:p>
            <w:pPr>
              <w:spacing w:before="26" w:after="26"/>
            </w:pPr>
            <w:r>
              <w:rPr>
                <w:color w:val="232733"/>
                <w:sz w:val="16"/>
                <w:szCs w:val="16"/>
              </w:rPr>
              <w:t xml:space="preserve">Orontes guarantees the 9,900,000 of debt</w:t>
            </w:r>
          </w:p>
        </w:tc>
        <w:tc>
          <w:tcPr>
            <w:tcW w:type="pct" w:w="723"/>
            <w:tcMar>
              <w:top w:type="dxa" w:w="50"/>
              <w:left w:type="dxa" w:w="110"/>
              <w:bottom w:type="dxa" w:w="50"/>
              <w:right w:type="dxa" w:w="110"/>
            </w:tcMar>
          </w:tcPr>
          <w:p>
            <w:pPr>
              <w:spacing w:before="26" w:after="26"/>
            </w:pPr>
            <w:r>
              <w:rPr>
                <w:color w:val="232733"/>
                <w:sz w:val="16"/>
                <w:szCs w:val="16"/>
              </w:rPr>
              <w:t xml:space="preserve">Orontes</w:t>
            </w:r>
          </w:p>
        </w:tc>
      </w:tr>
      <w:tr>
        <w:tc>
          <w:tcPr>
            <w:tcW w:type="pct" w:w="1935"/>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Orontes has both power and exposure to significant losses</w:t>
            </w:r>
          </w:p>
        </w:tc>
        <w:tc>
          <w:tcPr>
            <w:tcW w:type="pct" w:w="723"/>
            <w:shd w:fill="FBFAF6" w:val="clear"/>
            <w:tcMar>
              <w:top w:type="dxa" w:w="50"/>
              <w:left w:type="dxa" w:w="110"/>
              <w:bottom w:type="dxa" w:w="50"/>
              <w:right w:type="dxa" w:w="110"/>
            </w:tcMar>
          </w:tcPr>
          <w:p>
            <w:pPr>
              <w:spacing w:before="26" w:after="26"/>
            </w:pPr>
            <w:r>
              <w:rPr>
                <w:color w:val="232733"/>
                <w:sz w:val="16"/>
                <w:szCs w:val="16"/>
              </w:rPr>
              <w:t xml:space="preserve">Orontes consolidates</w:t>
            </w:r>
          </w:p>
        </w:tc>
      </w:tr>
      <w:tr>
        <w:tc>
          <w:tcPr>
            <w:tcW w:type="pct" w:w="1935"/>
            <w:tcMar>
              <w:top w:type="dxa" w:w="50"/>
              <w:left w:type="dxa" w:w="110"/>
              <w:bottom w:type="dxa" w:w="50"/>
              <w:right w:type="dxa" w:w="110"/>
            </w:tcMar>
          </w:tcPr>
          <w:p>
            <w:pPr>
              <w:spacing w:before="26" w:after="26"/>
            </w:pPr>
            <w:r>
              <w:rPr>
                <w:color w:val="232733"/>
                <w:sz w:val="16"/>
                <w:szCs w:val="16"/>
              </w:rPr>
              <w:t xml:space="preserve">NCI in consolidation</w:t>
            </w:r>
          </w:p>
        </w:tc>
        <w:tc>
          <w:tcPr>
            <w:tcW w:type="pct" w:w="2342"/>
            <w:tcMar>
              <w:top w:type="dxa" w:w="50"/>
              <w:left w:type="dxa" w:w="110"/>
              <w:bottom w:type="dxa" w:w="50"/>
              <w:right w:type="dxa" w:w="110"/>
            </w:tcMar>
          </w:tcPr>
          <w:p>
            <w:pPr>
              <w:spacing w:before="26" w:after="26"/>
            </w:pPr>
            <w:r>
              <w:rPr>
                <w:color w:val="232733"/>
                <w:sz w:val="16"/>
                <w:szCs w:val="16"/>
              </w:rPr>
              <w:t xml:space="preserve">The third party's equity of 100,000</w:t>
            </w:r>
          </w:p>
        </w:tc>
        <w:tc>
          <w:tcPr>
            <w:tcW w:type="pct" w:w="723"/>
            <w:tcMar>
              <w:top w:type="dxa" w:w="50"/>
              <w:left w:type="dxa" w:w="110"/>
              <w:bottom w:type="dxa" w:w="50"/>
              <w:right w:type="dxa" w:w="110"/>
            </w:tcMar>
          </w:tcPr>
          <w:p>
            <w:pPr>
              <w:spacing w:before="26" w:after="26"/>
            </w:pPr>
            <w:r>
              <w:rPr>
                <w:color w:val="232733"/>
                <w:sz w:val="16"/>
                <w:szCs w:val="16"/>
              </w:rPr>
              <w:t xml:space="preserve">Shown as NCI</w:t>
            </w:r>
          </w:p>
        </w:tc>
      </w:tr>
    </w:tbl>
    <w:p/>
    <w:p>
      <w:pPr>
        <w:pageBreakBefore w:val="true"/>
        <w:spacing w:after="0"/>
      </w:pPr>
      <w:r>
        <w:rPr>
          <w:sz w:val="2"/>
        </w:rPr>
        <w:t xml:space="preserve"> </w:t>
      </w:r>
    </w:p>
    <w:p>
      <w:pPr>
        <w:spacing w:before="40" w:after="16"/>
        <w:ind w:left="300" w:hanging="300"/>
      </w:pPr>
      <w:r>
        <w:rPr>
          <w:b/>
          <w:bCs/>
          <w:color w:val="353A7C"/>
          <w:sz w:val="19"/>
          <w:szCs w:val="19"/>
        </w:rPr>
        <w:t xml:space="preserve">8.  </w:t>
      </w:r>
      <w:r>
        <w:rPr>
          <w:sz w:val="19"/>
          <w:szCs w:val="19"/>
        </w:rPr>
        <w:t xml:space="preserve">The extract for this question is printed with it. Why does Orontes consolidate the cold-chain SPV?</w:t>
      </w:r>
    </w:p>
    <w:p>
      <w:pPr>
        <w:spacing w:after="18"/>
        <w:ind w:left="560" w:hanging="260"/>
      </w:pPr>
      <w:r>
        <w:rPr>
          <w:b/>
          <w:bCs/>
          <w:color w:val="8186EF"/>
          <w:sz w:val="18"/>
          <w:szCs w:val="18"/>
        </w:rPr>
        <w:t xml:space="preserve">A. </w:t>
      </w:r>
      <w:r>
        <w:rPr>
          <w:sz w:val="18"/>
          <w:szCs w:val="18"/>
        </w:rPr>
        <w:t xml:space="preserve">It owns more than 50% of the shares</w:t>
      </w:r>
    </w:p>
    <w:p>
      <w:pPr>
        <w:spacing w:after="18"/>
        <w:ind w:left="560" w:hanging="260"/>
      </w:pPr>
      <w:r>
        <w:rPr>
          <w:b/>
          <w:bCs/>
          <w:color w:val="8186EF"/>
          <w:sz w:val="18"/>
          <w:szCs w:val="18"/>
        </w:rPr>
        <w:t xml:space="preserve">B. </w:t>
      </w:r>
      <w:r>
        <w:rPr>
          <w:sz w:val="18"/>
          <w:szCs w:val="18"/>
        </w:rPr>
        <w:t xml:space="preserve">It has both the power to direct the SPV and exposure to its losses through the guarantee</w:t>
      </w:r>
    </w:p>
    <w:p>
      <w:pPr>
        <w:spacing w:after="18"/>
        <w:ind w:left="560" w:hanging="260"/>
      </w:pPr>
      <w:r>
        <w:rPr>
          <w:b/>
          <w:bCs/>
          <w:color w:val="8186EF"/>
          <w:sz w:val="18"/>
          <w:szCs w:val="18"/>
        </w:rPr>
        <w:t xml:space="preserve">C. </w:t>
      </w:r>
      <w:r>
        <w:rPr>
          <w:sz w:val="18"/>
          <w:szCs w:val="18"/>
        </w:rPr>
        <w:t xml:space="preserve">It lends money to the SPV</w:t>
      </w:r>
    </w:p>
    <w:p>
      <w:pPr>
        <w:spacing w:after="18"/>
        <w:ind w:left="560" w:hanging="260"/>
      </w:pPr>
      <w:r>
        <w:rPr>
          <w:b/>
          <w:bCs/>
          <w:color w:val="8186EF"/>
          <w:sz w:val="18"/>
          <w:szCs w:val="18"/>
        </w:rPr>
        <w:t xml:space="preserve">D. </w:t>
      </w:r>
      <w:r>
        <w:rPr>
          <w:sz w:val="18"/>
          <w:szCs w:val="18"/>
        </w:rPr>
        <w:t xml:space="preserve">The SPV is profitable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What do consolidated financial statements present?</w:t>
            </w:r>
          </w:p>
          <w:p>
            <w:pPr>
              <w:spacing w:after="16"/>
              <w:ind w:left="500" w:hanging="200"/>
            </w:pPr>
            <w:r>
              <w:rPr>
                <w:b/>
                <w:bCs/>
                <w:color w:val="8186EF"/>
                <w:sz w:val="18"/>
                <w:szCs w:val="18"/>
              </w:rPr>
              <w:t xml:space="preserve">A. </w:t>
            </w:r>
            <w:r>
              <w:rPr>
                <w:sz w:val="18"/>
                <w:szCs w:val="18"/>
              </w:rPr>
              <w:t xml:space="preserve">Only the parent's own assets and liabilities</w:t>
            </w:r>
          </w:p>
          <w:p>
            <w:pPr>
              <w:spacing w:after="16"/>
              <w:ind w:left="500" w:hanging="200"/>
            </w:pPr>
            <w:r>
              <w:rPr>
                <w:b/>
                <w:bCs/>
                <w:color w:val="8186EF"/>
                <w:sz w:val="18"/>
                <w:szCs w:val="18"/>
              </w:rPr>
              <w:t xml:space="preserve">B. </w:t>
            </w:r>
            <w:r>
              <w:rPr>
                <w:sz w:val="18"/>
                <w:szCs w:val="18"/>
              </w:rPr>
              <w:t xml:space="preserve">The parent's share of each subsidiary's assets</w:t>
            </w:r>
          </w:p>
          <w:p>
            <w:pPr>
              <w:spacing w:after="16"/>
              <w:ind w:left="500" w:hanging="200"/>
            </w:pPr>
            <w:r>
              <w:rPr>
                <w:b/>
                <w:bCs/>
                <w:color w:val="8186EF"/>
                <w:sz w:val="18"/>
                <w:szCs w:val="18"/>
              </w:rPr>
              <w:t xml:space="preserve">C. </w:t>
            </w:r>
            <w:r>
              <w:rPr>
                <w:sz w:val="18"/>
                <w:szCs w:val="18"/>
              </w:rPr>
              <w:t xml:space="preserve">A parent and its subsidiaries as a single economic entity</w:t>
            </w:r>
          </w:p>
          <w:p>
            <w:pPr>
              <w:spacing w:after="16"/>
              <w:ind w:left="500" w:hanging="200"/>
            </w:pPr>
            <w:r>
              <w:rPr>
                <w:b/>
                <w:bCs/>
                <w:color w:val="8186EF"/>
                <w:sz w:val="18"/>
                <w:szCs w:val="18"/>
              </w:rPr>
              <w:t xml:space="preserve">D. </w:t>
            </w:r>
            <w:r>
              <w:rPr>
                <w:sz w:val="18"/>
                <w:szCs w:val="18"/>
              </w:rPr>
              <w:t xml:space="preserve">All companies in which the parent holds any shares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84"/>
        <w:gridCol w:w="2470"/>
        <w:gridCol w:w="444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398"/>
            <w:tcMar>
              <w:top w:type="dxa" w:w="50"/>
              <w:left w:type="dxa" w:w="110"/>
              <w:bottom w:type="dxa" w:w="50"/>
              <w:right w:type="dxa" w:w="110"/>
            </w:tcMar>
          </w:tcPr>
          <w:p>
            <w:pPr>
              <w:spacing w:before="26" w:after="26"/>
            </w:pPr>
            <w:r>
              <w:rPr>
                <w:b/>
                <w:bCs/>
                <w:color w:val="353A7C"/>
                <w:sz w:val="15"/>
                <w:szCs w:val="15"/>
              </w:rPr>
              <w:t xml:space="preserve">Topic</w:t>
            </w:r>
          </w:p>
        </w:tc>
        <w:tc>
          <w:tcPr>
            <w:tcW w:type="pct" w:w="1286"/>
            <w:tcMar>
              <w:top w:type="dxa" w:w="50"/>
              <w:left w:type="dxa" w:w="110"/>
              <w:bottom w:type="dxa" w:w="50"/>
              <w:right w:type="dxa" w:w="110"/>
            </w:tcMar>
          </w:tcPr>
          <w:p>
            <w:pPr>
              <w:spacing w:before="26" w:after="26"/>
            </w:pPr>
            <w:r>
              <w:rPr>
                <w:b/>
                <w:bCs/>
                <w:color w:val="353A7C"/>
                <w:sz w:val="15"/>
                <w:szCs w:val="15"/>
              </w:rPr>
              <w:t xml:space="preserve">U.S. GAAP (ASC 810, 805)</w:t>
            </w:r>
          </w:p>
        </w:tc>
        <w:tc>
          <w:tcPr>
            <w:tcW w:type="pct" w:w="2316"/>
            <w:tcMar>
              <w:top w:type="dxa" w:w="50"/>
              <w:left w:type="dxa" w:w="110"/>
              <w:bottom w:type="dxa" w:w="50"/>
              <w:right w:type="dxa" w:w="110"/>
            </w:tcMar>
          </w:tcPr>
          <w:p>
            <w:pPr>
              <w:spacing w:before="26" w:after="26"/>
            </w:pPr>
            <w:r>
              <w:rPr>
                <w:b/>
                <w:bCs/>
                <w:color w:val="353A7C"/>
                <w:sz w:val="15"/>
                <w:szCs w:val="15"/>
              </w:rPr>
              <w:t xml:space="preserve">IFRS (IFRS 10, 3, 11)</w:t>
            </w:r>
          </w:p>
        </w:tc>
      </w:tr>
      <w:tr>
        <w:tc>
          <w:tcPr>
            <w:tcW w:type="pct" w:w="1398"/>
            <w:tcMar>
              <w:top w:type="dxa" w:w="50"/>
              <w:left w:type="dxa" w:w="110"/>
              <w:bottom w:type="dxa" w:w="50"/>
              <w:right w:type="dxa" w:w="110"/>
            </w:tcMar>
          </w:tcPr>
          <w:p>
            <w:pPr>
              <w:spacing w:before="26" w:after="26"/>
            </w:pPr>
            <w:r>
              <w:rPr>
                <w:color w:val="232733"/>
                <w:sz w:val="16"/>
                <w:szCs w:val="16"/>
              </w:rPr>
              <w:t xml:space="preserve">Control model</w:t>
            </w:r>
          </w:p>
        </w:tc>
        <w:tc>
          <w:tcPr>
            <w:tcW w:type="pct" w:w="1286"/>
            <w:tcMar>
              <w:top w:type="dxa" w:w="50"/>
              <w:left w:type="dxa" w:w="110"/>
              <w:bottom w:type="dxa" w:w="50"/>
              <w:right w:type="dxa" w:w="110"/>
            </w:tcMar>
          </w:tcPr>
          <w:p>
            <w:pPr>
              <w:spacing w:before="26" w:after="26"/>
            </w:pPr>
            <w:r>
              <w:rPr>
                <w:color w:val="232733"/>
                <w:sz w:val="16"/>
                <w:szCs w:val="16"/>
              </w:rPr>
              <w:t xml:space="preserve">Two: VIE model first, then voting interest</w:t>
            </w:r>
          </w:p>
        </w:tc>
        <w:tc>
          <w:tcPr>
            <w:tcW w:type="pct" w:w="2316"/>
            <w:tcMar>
              <w:top w:type="dxa" w:w="50"/>
              <w:left w:type="dxa" w:w="110"/>
              <w:bottom w:type="dxa" w:w="50"/>
              <w:right w:type="dxa" w:w="110"/>
            </w:tcMar>
          </w:tcPr>
          <w:p>
            <w:pPr>
              <w:spacing w:before="26" w:after="26"/>
            </w:pPr>
            <w:r>
              <w:rPr>
                <w:color w:val="232733"/>
                <w:sz w:val="16"/>
                <w:szCs w:val="16"/>
              </w:rPr>
              <w:t xml:space="preserve">One: power, variable returns and the link between them</w:t>
            </w:r>
          </w:p>
        </w:tc>
      </w:tr>
      <w:tr>
        <w:tc>
          <w:tcPr>
            <w:tcW w:type="pct" w:w="1398"/>
            <w:shd w:fill="FBFAF6" w:val="clear"/>
            <w:tcMar>
              <w:top w:type="dxa" w:w="50"/>
              <w:left w:type="dxa" w:w="110"/>
              <w:bottom w:type="dxa" w:w="50"/>
              <w:right w:type="dxa" w:w="110"/>
            </w:tcMar>
          </w:tcPr>
          <w:p>
            <w:pPr>
              <w:spacing w:before="26" w:after="26"/>
            </w:pPr>
            <w:r>
              <w:rPr>
                <w:color w:val="232733"/>
                <w:sz w:val="16"/>
                <w:szCs w:val="16"/>
              </w:rPr>
              <w:t xml:space="preserve">Control below 50% of votes</w:t>
            </w:r>
          </w:p>
        </w:tc>
        <w:tc>
          <w:tcPr>
            <w:tcW w:type="pct" w:w="1286"/>
            <w:shd w:fill="FBFAF6" w:val="clear"/>
            <w:tcMar>
              <w:top w:type="dxa" w:w="50"/>
              <w:left w:type="dxa" w:w="110"/>
              <w:bottom w:type="dxa" w:w="50"/>
              <w:right w:type="dxa" w:w="110"/>
            </w:tcMar>
          </w:tcPr>
          <w:p>
            <w:pPr>
              <w:spacing w:before="26" w:after="26"/>
            </w:pPr>
            <w:r>
              <w:rPr>
                <w:color w:val="232733"/>
                <w:sz w:val="16"/>
                <w:szCs w:val="16"/>
              </w:rPr>
              <w:t xml:space="preserve">Not through voting alone (unless a VIE)</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Possible: de facto control</w:t>
            </w:r>
          </w:p>
        </w:tc>
      </w:tr>
      <w:tr>
        <w:tc>
          <w:tcPr>
            <w:tcW w:type="pct" w:w="1398"/>
            <w:tcMar>
              <w:top w:type="dxa" w:w="50"/>
              <w:left w:type="dxa" w:w="110"/>
              <w:bottom w:type="dxa" w:w="50"/>
              <w:right w:type="dxa" w:w="110"/>
            </w:tcMar>
          </w:tcPr>
          <w:p>
            <w:pPr>
              <w:spacing w:before="26" w:after="26"/>
            </w:pPr>
            <w:r>
              <w:rPr>
                <w:color w:val="232733"/>
                <w:sz w:val="16"/>
                <w:szCs w:val="16"/>
              </w:rPr>
              <w:t xml:space="preserve">Measuring NCI</w:t>
            </w:r>
          </w:p>
        </w:tc>
        <w:tc>
          <w:tcPr>
            <w:tcW w:type="pct" w:w="1286"/>
            <w:tcMar>
              <w:top w:type="dxa" w:w="50"/>
              <w:left w:type="dxa" w:w="110"/>
              <w:bottom w:type="dxa" w:w="50"/>
              <w:right w:type="dxa" w:w="110"/>
            </w:tcMar>
          </w:tcPr>
          <w:p>
            <w:pPr>
              <w:spacing w:before="26" w:after="26"/>
            </w:pPr>
            <w:r>
              <w:rPr>
                <w:color w:val="232733"/>
                <w:sz w:val="16"/>
                <w:szCs w:val="16"/>
              </w:rPr>
              <w:t xml:space="preserve">Fair value (full goodwill)</w:t>
            </w:r>
          </w:p>
        </w:tc>
        <w:tc>
          <w:tcPr>
            <w:tcW w:type="pct" w:w="2316"/>
            <w:tcMar>
              <w:top w:type="dxa" w:w="50"/>
              <w:left w:type="dxa" w:w="110"/>
              <w:bottom w:type="dxa" w:w="50"/>
              <w:right w:type="dxa" w:w="110"/>
            </w:tcMar>
          </w:tcPr>
          <w:p>
            <w:pPr>
              <w:spacing w:before="26" w:after="26"/>
            </w:pPr>
            <w:r>
              <w:rPr>
                <w:color w:val="232733"/>
                <w:sz w:val="16"/>
                <w:szCs w:val="16"/>
              </w:rPr>
              <w:t xml:space="preserve">Fair value or share of net assets (partial goodwill), deal by deal</w:t>
            </w:r>
          </w:p>
        </w:tc>
      </w:tr>
      <w:tr>
        <w:tc>
          <w:tcPr>
            <w:tcW w:type="pct" w:w="1398"/>
            <w:shd w:fill="FBFAF6" w:val="clear"/>
            <w:tcMar>
              <w:top w:type="dxa" w:w="50"/>
              <w:left w:type="dxa" w:w="110"/>
              <w:bottom w:type="dxa" w:w="50"/>
              <w:right w:type="dxa" w:w="110"/>
            </w:tcMar>
          </w:tcPr>
          <w:p>
            <w:pPr>
              <w:spacing w:before="26" w:after="26"/>
            </w:pPr>
            <w:r>
              <w:rPr>
                <w:color w:val="232733"/>
                <w:sz w:val="16"/>
                <w:szCs w:val="16"/>
              </w:rPr>
              <w:t xml:space="preserve">Joint arrangements</w:t>
            </w:r>
          </w:p>
        </w:tc>
        <w:tc>
          <w:tcPr>
            <w:tcW w:type="pct" w:w="1286"/>
            <w:shd w:fill="FBFAF6" w:val="clear"/>
            <w:tcMar>
              <w:top w:type="dxa" w:w="50"/>
              <w:left w:type="dxa" w:w="110"/>
              <w:bottom w:type="dxa" w:w="50"/>
              <w:right w:type="dxa" w:w="110"/>
            </w:tcMar>
          </w:tcPr>
          <w:p>
            <w:pPr>
              <w:spacing w:before="26" w:after="26"/>
            </w:pPr>
            <w:r>
              <w:rPr>
                <w:color w:val="232733"/>
                <w:sz w:val="16"/>
                <w:szCs w:val="16"/>
              </w:rPr>
              <w:t xml:space="preserve">Joint ventures: equity method</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Joint ventures: equity method; joint operations: own share of assets and liabilities</w:t>
            </w:r>
          </w:p>
        </w:tc>
      </w:tr>
      <w:tr>
        <w:tc>
          <w:tcPr>
            <w:tcW w:type="pct" w:w="1398"/>
            <w:tcMar>
              <w:top w:type="dxa" w:w="50"/>
              <w:left w:type="dxa" w:w="110"/>
              <w:bottom w:type="dxa" w:w="50"/>
              <w:right w:type="dxa" w:w="110"/>
            </w:tcMar>
          </w:tcPr>
          <w:p>
            <w:pPr>
              <w:spacing w:before="26" w:after="26"/>
            </w:pPr>
            <w:r>
              <w:rPr>
                <w:color w:val="232733"/>
                <w:sz w:val="16"/>
                <w:szCs w:val="16"/>
              </w:rPr>
              <w:t xml:space="preserve">Group accounting policies</w:t>
            </w:r>
          </w:p>
        </w:tc>
        <w:tc>
          <w:tcPr>
            <w:tcW w:type="pct" w:w="1286"/>
            <w:tcMar>
              <w:top w:type="dxa" w:w="50"/>
              <w:left w:type="dxa" w:w="110"/>
              <w:bottom w:type="dxa" w:w="50"/>
              <w:right w:type="dxa" w:w="110"/>
            </w:tcMar>
          </w:tcPr>
          <w:p>
            <w:pPr>
              <w:spacing w:before="26" w:after="26"/>
            </w:pPr>
            <w:r>
              <w:rPr>
                <w:color w:val="232733"/>
                <w:sz w:val="16"/>
                <w:szCs w:val="16"/>
              </w:rPr>
              <w:t xml:space="preserve">No general uniformity rule</w:t>
            </w:r>
          </w:p>
        </w:tc>
        <w:tc>
          <w:tcPr>
            <w:tcW w:type="pct" w:w="2316"/>
            <w:tcMar>
              <w:top w:type="dxa" w:w="50"/>
              <w:left w:type="dxa" w:w="110"/>
              <w:bottom w:type="dxa" w:w="50"/>
              <w:right w:type="dxa" w:w="110"/>
            </w:tcMar>
          </w:tcPr>
          <w:p>
            <w:pPr>
              <w:spacing w:before="26" w:after="26"/>
            </w:pPr>
            <w:r>
              <w:rPr>
                <w:color w:val="232733"/>
                <w:sz w:val="16"/>
                <w:szCs w:val="16"/>
              </w:rPr>
              <w:t xml:space="preserve">Uniform policies required</w:t>
            </w:r>
          </w:p>
        </w:tc>
      </w:tr>
      <w:tr>
        <w:tc>
          <w:tcPr>
            <w:tcW w:type="pct" w:w="1398"/>
            <w:shd w:fill="FBFAF6" w:val="clear"/>
            <w:tcMar>
              <w:top w:type="dxa" w:w="50"/>
              <w:left w:type="dxa" w:w="110"/>
              <w:bottom w:type="dxa" w:w="50"/>
              <w:right w:type="dxa" w:w="110"/>
            </w:tcMar>
          </w:tcPr>
          <w:p>
            <w:pPr>
              <w:spacing w:before="26" w:after="26"/>
            </w:pPr>
            <w:r>
              <w:rPr>
                <w:color w:val="232733"/>
                <w:sz w:val="16"/>
                <w:szCs w:val="16"/>
              </w:rPr>
              <w:t xml:space="preserve">Investment-entity subsidiaries in a parent's statements</w:t>
            </w:r>
          </w:p>
        </w:tc>
        <w:tc>
          <w:tcPr>
            <w:tcW w:type="pct" w:w="1286"/>
            <w:shd w:fill="FBFAF6" w:val="clear"/>
            <w:tcMar>
              <w:top w:type="dxa" w:w="50"/>
              <w:left w:type="dxa" w:w="110"/>
              <w:bottom w:type="dxa" w:w="50"/>
              <w:right w:type="dxa" w:w="110"/>
            </w:tcMar>
          </w:tcPr>
          <w:p>
            <w:pPr>
              <w:spacing w:before="26" w:after="26"/>
            </w:pPr>
            <w:r>
              <w:rPr>
                <w:color w:val="232733"/>
                <w:sz w:val="16"/>
                <w:szCs w:val="16"/>
              </w:rPr>
              <w:t xml:space="preserve">Parent keeps their fair value accounting</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A non-investment-entity parent consolidates them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topic does the book pair with “Two: VIE model first, then voting interest”?</w:t>
      </w:r>
    </w:p>
    <w:p>
      <w:pPr>
        <w:spacing w:after="18"/>
        <w:ind w:left="560" w:hanging="260"/>
      </w:pPr>
      <w:r>
        <w:rPr>
          <w:b/>
          <w:bCs/>
          <w:color w:val="8186EF"/>
          <w:sz w:val="18"/>
          <w:szCs w:val="18"/>
        </w:rPr>
        <w:t xml:space="preserve">A. </w:t>
      </w:r>
      <w:r>
        <w:rPr>
          <w:sz w:val="18"/>
          <w:szCs w:val="18"/>
        </w:rPr>
        <w:t xml:space="preserve">Control model</w:t>
      </w:r>
    </w:p>
    <w:p>
      <w:pPr>
        <w:spacing w:after="18"/>
        <w:ind w:left="560" w:hanging="260"/>
      </w:pPr>
      <w:r>
        <w:rPr>
          <w:b/>
          <w:bCs/>
          <w:color w:val="8186EF"/>
          <w:sz w:val="18"/>
          <w:szCs w:val="18"/>
        </w:rPr>
        <w:t xml:space="preserve">B. </w:t>
      </w:r>
      <w:r>
        <w:rPr>
          <w:sz w:val="18"/>
          <w:szCs w:val="18"/>
        </w:rPr>
        <w:t xml:space="preserve">Investment-entity subsidiaries in a parent's statements</w:t>
      </w:r>
    </w:p>
    <w:p>
      <w:pPr>
        <w:spacing w:after="18"/>
        <w:ind w:left="560" w:hanging="260"/>
      </w:pPr>
      <w:r>
        <w:rPr>
          <w:b/>
          <w:bCs/>
          <w:color w:val="8186EF"/>
          <w:sz w:val="18"/>
          <w:szCs w:val="18"/>
        </w:rPr>
        <w:t xml:space="preserve">C. </w:t>
      </w:r>
      <w:r>
        <w:rPr>
          <w:sz w:val="18"/>
          <w:szCs w:val="18"/>
        </w:rPr>
        <w:t xml:space="preserve">Group accounting policies</w:t>
      </w:r>
    </w:p>
    <w:p>
      <w:pPr>
        <w:spacing w:after="18"/>
        <w:ind w:left="560" w:hanging="260"/>
      </w:pPr>
      <w:r>
        <w:rPr>
          <w:b/>
          <w:bCs/>
          <w:color w:val="8186EF"/>
          <w:sz w:val="18"/>
          <w:szCs w:val="18"/>
        </w:rPr>
        <w:t xml:space="preserve">D. </w:t>
      </w:r>
      <w:r>
        <w:rPr>
          <w:sz w:val="18"/>
          <w:szCs w:val="18"/>
        </w:rPr>
        <w:t xml:space="preserve">Joint arrangements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Where does Orontes present the noncontrolling interest in Levant?</w:t>
      </w:r>
    </w:p>
    <w:p>
      <w:pPr>
        <w:spacing w:after="18"/>
        <w:ind w:left="560" w:hanging="260"/>
      </w:pPr>
      <w:r>
        <w:rPr>
          <w:b/>
          <w:bCs/>
          <w:color w:val="8186EF"/>
          <w:sz w:val="18"/>
          <w:szCs w:val="18"/>
        </w:rPr>
        <w:t xml:space="preserve">A. </w:t>
      </w:r>
      <w:r>
        <w:rPr>
          <w:sz w:val="18"/>
          <w:szCs w:val="18"/>
        </w:rPr>
        <w:t xml:space="preserve">As a noncurrent liability</w:t>
      </w:r>
    </w:p>
    <w:p>
      <w:pPr>
        <w:spacing w:after="18"/>
        <w:ind w:left="560" w:hanging="260"/>
      </w:pPr>
      <w:r>
        <w:rPr>
          <w:b/>
          <w:bCs/>
          <w:color w:val="8186EF"/>
          <w:sz w:val="18"/>
          <w:szCs w:val="18"/>
        </w:rPr>
        <w:t xml:space="preserve">B. </w:t>
      </w:r>
      <w:r>
        <w:rPr>
          <w:sz w:val="18"/>
          <w:szCs w:val="18"/>
        </w:rPr>
        <w:t xml:space="preserve">Between liabilities and equity, as 'minority interest'</w:t>
      </w:r>
    </w:p>
    <w:p>
      <w:pPr>
        <w:spacing w:after="18"/>
        <w:ind w:left="560" w:hanging="260"/>
      </w:pPr>
      <w:r>
        <w:rPr>
          <w:b/>
          <w:bCs/>
          <w:color w:val="8186EF"/>
          <w:sz w:val="18"/>
          <w:szCs w:val="18"/>
        </w:rPr>
        <w:t xml:space="preserve">C. </w:t>
      </w:r>
      <w:r>
        <w:rPr>
          <w:sz w:val="18"/>
          <w:szCs w:val="18"/>
        </w:rPr>
        <w:t xml:space="preserve">Only in the notes</w:t>
      </w:r>
    </w:p>
    <w:p>
      <w:pPr>
        <w:spacing w:after="18"/>
        <w:ind w:left="560" w:hanging="260"/>
      </w:pPr>
      <w:r>
        <w:rPr>
          <w:b/>
          <w:bCs/>
          <w:color w:val="8186EF"/>
          <w:sz w:val="18"/>
          <w:szCs w:val="18"/>
        </w:rPr>
        <w:t xml:space="preserve">D. </w:t>
      </w:r>
      <w:r>
        <w:rPr>
          <w:sz w:val="18"/>
          <w:szCs w:val="18"/>
        </w:rPr>
        <w:t xml:space="preserve">In consolidated equity, separately from the parent's equity</w:t>
      </w:r>
    </w:p>
    <w:p>
      <w:pPr>
        <w:spacing w:before="40" w:after="16"/>
        <w:ind w:left="300" w:hanging="300"/>
      </w:pPr>
      <w:r>
        <w:rPr>
          <w:b/>
          <w:bCs/>
          <w:color w:val="353A7C"/>
          <w:sz w:val="19"/>
          <w:szCs w:val="19"/>
        </w:rPr>
        <w:t xml:space="preserve">13.  </w:t>
      </w:r>
      <w:r>
        <w:rPr>
          <w:sz w:val="19"/>
          <w:szCs w:val="19"/>
        </w:rPr>
        <w:t xml:space="preserve">What do consolidated financial statements present?</w:t>
      </w:r>
    </w:p>
    <w:p>
      <w:pPr>
        <w:spacing w:after="18"/>
        <w:ind w:left="560" w:hanging="260"/>
      </w:pPr>
      <w:r>
        <w:rPr>
          <w:b/>
          <w:bCs/>
          <w:color w:val="8186EF"/>
          <w:sz w:val="18"/>
          <w:szCs w:val="18"/>
        </w:rPr>
        <w:t xml:space="preserve">A. </w:t>
      </w:r>
      <w:r>
        <w:rPr>
          <w:sz w:val="18"/>
          <w:szCs w:val="18"/>
        </w:rPr>
        <w:t xml:space="preserve">Only the parent's own assets and liabilities</w:t>
      </w:r>
    </w:p>
    <w:p>
      <w:pPr>
        <w:spacing w:after="18"/>
        <w:ind w:left="560" w:hanging="260"/>
      </w:pPr>
      <w:r>
        <w:rPr>
          <w:b/>
          <w:bCs/>
          <w:color w:val="8186EF"/>
          <w:sz w:val="18"/>
          <w:szCs w:val="18"/>
        </w:rPr>
        <w:t xml:space="preserve">B. </w:t>
      </w:r>
      <w:r>
        <w:rPr>
          <w:sz w:val="18"/>
          <w:szCs w:val="18"/>
        </w:rPr>
        <w:t xml:space="preserve">The parent's share of each subsidiary's assets</w:t>
      </w:r>
    </w:p>
    <w:p>
      <w:pPr>
        <w:spacing w:after="18"/>
        <w:ind w:left="560" w:hanging="260"/>
      </w:pPr>
      <w:r>
        <w:rPr>
          <w:b/>
          <w:bCs/>
          <w:color w:val="8186EF"/>
          <w:sz w:val="18"/>
          <w:szCs w:val="18"/>
        </w:rPr>
        <w:t xml:space="preserve">C. </w:t>
      </w:r>
      <w:r>
        <w:rPr>
          <w:sz w:val="18"/>
          <w:szCs w:val="18"/>
        </w:rPr>
        <w:t xml:space="preserve">A parent and its subsidiaries as a single economic entity</w:t>
      </w:r>
    </w:p>
    <w:p>
      <w:pPr>
        <w:spacing w:after="18"/>
        <w:ind w:left="560" w:hanging="260"/>
      </w:pPr>
      <w:r>
        <w:rPr>
          <w:b/>
          <w:bCs/>
          <w:color w:val="8186EF"/>
          <w:sz w:val="18"/>
          <w:szCs w:val="18"/>
        </w:rPr>
        <w:t xml:space="preserve">D. </w:t>
      </w:r>
      <w:r>
        <w:rPr>
          <w:sz w:val="18"/>
          <w:szCs w:val="18"/>
        </w:rPr>
        <w:t xml:space="preserve">All companies in which the parent holds any shares</w:t>
      </w:r>
    </w:p>
    <w:p>
      <w:pPr>
        <w:spacing w:before="40" w:after="16"/>
        <w:ind w:left="300" w:hanging="300"/>
      </w:pPr>
      <w:r>
        <w:rPr>
          <w:b/>
          <w:bCs/>
          <w:color w:val="353A7C"/>
          <w:sz w:val="19"/>
          <w:szCs w:val="19"/>
        </w:rPr>
        <w:t xml:space="preserve">14.  </w:t>
      </w:r>
      <w:r>
        <w:rPr>
          <w:sz w:val="19"/>
          <w:szCs w:val="19"/>
        </w:rPr>
        <w:t xml:space="preserve">Orontes holds 30% of Jordan Glass and has significant influence. Which method does it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Proportionate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equity method</w:t>
            </w:r>
          </w:p>
        </w:tc>
      </w:tr>
    </w:tbl>
    <w:p>
      <w:pPr>
        <w:spacing w:before="40" w:after="16"/>
        <w:ind w:left="300" w:hanging="300"/>
      </w:pPr>
      <w:r>
        <w:rPr>
          <w:b/>
          <w:bCs/>
          <w:color w:val="353A7C"/>
          <w:sz w:val="19"/>
          <w:szCs w:val="19"/>
        </w:rPr>
        <w:t xml:space="preserve">15.  </w:t>
      </w:r>
      <w:r>
        <w:rPr>
          <w:sz w:val="19"/>
          <w:szCs w:val="19"/>
        </w:rPr>
        <w:t xml:space="preserve">In 2028 Orontes buys another 10% of Levant from the NCI holders and keeps control. It records:</w:t>
      </w:r>
    </w:p>
    <w:p>
      <w:pPr>
        <w:spacing w:after="18"/>
        <w:ind w:left="560" w:hanging="260"/>
      </w:pPr>
      <w:r>
        <w:rPr>
          <w:b/>
          <w:bCs/>
          <w:color w:val="8186EF"/>
          <w:sz w:val="18"/>
          <w:szCs w:val="18"/>
        </w:rPr>
        <w:t xml:space="preserve">A. </w:t>
      </w:r>
      <w:r>
        <w:rPr>
          <w:sz w:val="18"/>
          <w:szCs w:val="18"/>
        </w:rPr>
        <w:t xml:space="preserve">a gain or loss in net income</w:t>
      </w:r>
    </w:p>
    <w:p>
      <w:pPr>
        <w:spacing w:after="18"/>
        <w:ind w:left="560" w:hanging="260"/>
      </w:pPr>
      <w:r>
        <w:rPr>
          <w:b/>
          <w:bCs/>
          <w:color w:val="8186EF"/>
          <w:sz w:val="18"/>
          <w:szCs w:val="18"/>
        </w:rPr>
        <w:t xml:space="preserve">B. </w:t>
      </w:r>
      <w:r>
        <w:rPr>
          <w:sz w:val="18"/>
          <w:szCs w:val="18"/>
        </w:rPr>
        <w:t xml:space="preserve">an equity transaction, with no gain or loss</w:t>
      </w:r>
    </w:p>
    <w:p>
      <w:pPr>
        <w:spacing w:after="18"/>
        <w:ind w:left="560" w:hanging="260"/>
      </w:pPr>
      <w:r>
        <w:rPr>
          <w:b/>
          <w:bCs/>
          <w:color w:val="8186EF"/>
          <w:sz w:val="18"/>
          <w:szCs w:val="18"/>
        </w:rPr>
        <w:t xml:space="preserve">C. </w:t>
      </w:r>
      <w:r>
        <w:rPr>
          <w:sz w:val="18"/>
          <w:szCs w:val="18"/>
        </w:rPr>
        <w:t xml:space="preserve">new goodwill</w:t>
      </w:r>
    </w:p>
    <w:p>
      <w:pPr>
        <w:spacing w:after="18"/>
        <w:ind w:left="560" w:hanging="260"/>
      </w:pPr>
      <w:r>
        <w:rPr>
          <w:b/>
          <w:bCs/>
          <w:color w:val="8186EF"/>
          <w:sz w:val="18"/>
          <w:szCs w:val="18"/>
        </w:rPr>
        <w:t xml:space="preserve">D. </w:t>
      </w:r>
      <w:r>
        <w:rPr>
          <w:sz w:val="18"/>
          <w:szCs w:val="18"/>
        </w:rPr>
        <w:t xml:space="preserve">a remeasurement of Levant's assets to fair value</w:t>
      </w:r>
    </w:p>
    <w:p>
      <w:pPr>
        <w:spacing w:before="40" w:after="16"/>
        <w:ind w:left="300" w:hanging="300"/>
      </w:pPr>
      <w:r>
        <w:rPr>
          <w:b/>
          <w:bCs/>
          <w:color w:val="353A7C"/>
          <w:sz w:val="19"/>
          <w:szCs w:val="19"/>
        </w:rPr>
        <w:t xml:space="preserve">16.  </w:t>
      </w:r>
      <w:r>
        <w:rPr>
          <w:sz w:val="19"/>
          <w:szCs w:val="19"/>
        </w:rPr>
        <w:t xml:space="preserve">The extract for this question is printed with it. Why does Orontes consolidate the cold-chain SPV?</w:t>
      </w:r>
    </w:p>
    <w:p>
      <w:pPr>
        <w:spacing w:after="18"/>
        <w:ind w:left="560" w:hanging="260"/>
      </w:pPr>
      <w:r>
        <w:rPr>
          <w:b/>
          <w:bCs/>
          <w:color w:val="8186EF"/>
          <w:sz w:val="18"/>
          <w:szCs w:val="18"/>
        </w:rPr>
        <w:t xml:space="preserve">A. </w:t>
      </w:r>
      <w:r>
        <w:rPr>
          <w:sz w:val="18"/>
          <w:szCs w:val="18"/>
        </w:rPr>
        <w:t xml:space="preserve">It owns more than 50% of the shares</w:t>
      </w:r>
    </w:p>
    <w:p>
      <w:pPr>
        <w:spacing w:after="18"/>
        <w:ind w:left="560" w:hanging="260"/>
      </w:pPr>
      <w:r>
        <w:rPr>
          <w:b/>
          <w:bCs/>
          <w:color w:val="8186EF"/>
          <w:sz w:val="18"/>
          <w:szCs w:val="18"/>
        </w:rPr>
        <w:t xml:space="preserve">B. </w:t>
      </w:r>
      <w:r>
        <w:rPr>
          <w:sz w:val="18"/>
          <w:szCs w:val="18"/>
        </w:rPr>
        <w:t xml:space="preserve">It has both the power to direct the SPV and exposure to its losses through the guarantee</w:t>
      </w:r>
    </w:p>
    <w:p>
      <w:pPr>
        <w:spacing w:after="18"/>
        <w:ind w:left="560" w:hanging="260"/>
      </w:pPr>
      <w:r>
        <w:rPr>
          <w:b/>
          <w:bCs/>
          <w:color w:val="8186EF"/>
          <w:sz w:val="18"/>
          <w:szCs w:val="18"/>
        </w:rPr>
        <w:t xml:space="preserve">C. </w:t>
      </w:r>
      <w:r>
        <w:rPr>
          <w:sz w:val="18"/>
          <w:szCs w:val="18"/>
        </w:rPr>
        <w:t xml:space="preserve">It lends money to the SPV</w:t>
      </w:r>
    </w:p>
    <w:p>
      <w:pPr>
        <w:spacing w:after="18"/>
        <w:ind w:left="560" w:hanging="260"/>
      </w:pPr>
      <w:r>
        <w:rPr>
          <w:b/>
          <w:bCs/>
          <w:color w:val="8186EF"/>
          <w:sz w:val="18"/>
          <w:szCs w:val="18"/>
        </w:rPr>
        <w:t xml:space="preserve">D. </w:t>
      </w:r>
      <w:r>
        <w:rPr>
          <w:sz w:val="18"/>
          <w:szCs w:val="18"/>
        </w:rPr>
        <w:t xml:space="preserve">The SPV is profitable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7"/>
        <w:gridCol w:w="2766"/>
        <w:gridCol w:w="2671"/>
        <w:gridCol w:w="2081"/>
        <w:gridCol w:w="89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extract for the question that follows</w:t>
            </w:r>
          </w:p>
        </w:tc>
      </w:tr>
      <w:tr>
        <w:tc>
          <w:tcPr>
            <w:tcW w:type="pct" w:w="618"/>
            <w:tcMar>
              <w:top w:type="dxa" w:w="50"/>
              <w:left w:type="dxa" w:w="110"/>
              <w:bottom w:type="dxa" w:w="50"/>
              <w:right w:type="dxa" w:w="110"/>
            </w:tcMar>
          </w:tcPr>
          <w:p>
            <w:pPr>
              <w:spacing w:before="26" w:after="26"/>
            </w:pPr>
            <w:r>
              <w:rPr>
                <w:b/>
                <w:bCs/>
                <w:color w:val="353A7C"/>
                <w:sz w:val="15"/>
                <w:szCs w:val="15"/>
              </w:rPr>
              <w:t xml:space="preserve">Method</w:t>
            </w:r>
          </w:p>
        </w:tc>
        <w:tc>
          <w:tcPr>
            <w:tcW w:type="pct" w:w="1441"/>
            <w:tcMar>
              <w:top w:type="dxa" w:w="50"/>
              <w:left w:type="dxa" w:w="110"/>
              <w:bottom w:type="dxa" w:w="50"/>
              <w:right w:type="dxa" w:w="110"/>
            </w:tcMar>
          </w:tcPr>
          <w:p>
            <w:pPr>
              <w:spacing w:before="26" w:after="26"/>
            </w:pPr>
            <w:r>
              <w:rPr>
                <w:b/>
                <w:bCs/>
                <w:color w:val="353A7C"/>
                <w:sz w:val="15"/>
                <w:szCs w:val="15"/>
              </w:rPr>
              <w:t xml:space="preserve">When used (U.S. GAAP)</w:t>
            </w:r>
          </w:p>
        </w:tc>
        <w:tc>
          <w:tcPr>
            <w:tcW w:type="pct" w:w="1391"/>
            <w:tcMar>
              <w:top w:type="dxa" w:w="50"/>
              <w:left w:type="dxa" w:w="110"/>
              <w:bottom w:type="dxa" w:w="50"/>
              <w:right w:type="dxa" w:w="110"/>
            </w:tcMar>
          </w:tcPr>
          <w:p>
            <w:pPr>
              <w:spacing w:before="26" w:after="26"/>
            </w:pPr>
            <w:r>
              <w:rPr>
                <w:b/>
                <w:bCs/>
                <w:color w:val="353A7C"/>
                <w:sz w:val="15"/>
                <w:szCs w:val="15"/>
              </w:rPr>
              <w:t xml:space="preserve">What appears</w:t>
            </w:r>
          </w:p>
        </w:tc>
        <w:tc>
          <w:tcPr>
            <w:tcW w:type="pct" w:w="1084"/>
            <w:tcMar>
              <w:top w:type="dxa" w:w="50"/>
              <w:left w:type="dxa" w:w="110"/>
              <w:bottom w:type="dxa" w:w="50"/>
              <w:right w:type="dxa" w:w="110"/>
            </w:tcMar>
          </w:tcPr>
          <w:p>
            <w:pPr>
              <w:spacing w:before="26" w:after="26"/>
            </w:pPr>
            <w:r>
              <w:rPr>
                <w:b/>
                <w:bCs/>
                <w:color w:val="353A7C"/>
                <w:sz w:val="15"/>
                <w:szCs w:val="15"/>
              </w:rPr>
              <w:t xml:space="preserve">Intercompany profit removed</w:t>
            </w:r>
          </w:p>
        </w:tc>
        <w:tc>
          <w:tcPr>
            <w:tcW w:type="pct" w:w="466"/>
            <w:tcMar>
              <w:top w:type="dxa" w:w="50"/>
              <w:left w:type="dxa" w:w="110"/>
              <w:bottom w:type="dxa" w:w="50"/>
              <w:right w:type="dxa" w:w="110"/>
            </w:tcMar>
          </w:tcPr>
          <w:p>
            <w:pPr>
              <w:spacing w:before="26" w:after="26"/>
            </w:pPr>
            <w:r>
              <w:rPr>
                <w:b/>
                <w:bCs/>
                <w:color w:val="353A7C"/>
                <w:sz w:val="15"/>
                <w:szCs w:val="15"/>
              </w:rPr>
              <w:t xml:space="preserve">Orontes</w:t>
            </w:r>
          </w:p>
        </w:tc>
      </w:tr>
      <w:tr>
        <w:tc>
          <w:tcPr>
            <w:tcW w:type="pct" w:w="618"/>
            <w:tcMar>
              <w:top w:type="dxa" w:w="50"/>
              <w:left w:type="dxa" w:w="110"/>
              <w:bottom w:type="dxa" w:w="50"/>
              <w:right w:type="dxa" w:w="110"/>
            </w:tcMar>
          </w:tcPr>
          <w:p>
            <w:pPr>
              <w:spacing w:before="26" w:after="26"/>
            </w:pPr>
            <w:r>
              <w:rPr>
                <w:color w:val="232733"/>
                <w:sz w:val="16"/>
                <w:szCs w:val="16"/>
              </w:rPr>
              <w:t xml:space="preserve">Full consolidation</w:t>
            </w:r>
          </w:p>
        </w:tc>
        <w:tc>
          <w:tcPr>
            <w:tcW w:type="pct" w:w="1441"/>
            <w:tcMar>
              <w:top w:type="dxa" w:w="50"/>
              <w:left w:type="dxa" w:w="110"/>
              <w:bottom w:type="dxa" w:w="50"/>
              <w:right w:type="dxa" w:w="110"/>
            </w:tcMar>
          </w:tcPr>
          <w:p>
            <w:pPr>
              <w:spacing w:before="26" w:after="26"/>
            </w:pPr>
            <w:r>
              <w:rPr>
                <w:color w:val="232733"/>
                <w:sz w:val="16"/>
                <w:szCs w:val="16"/>
              </w:rPr>
              <w:t xml:space="preserve">Control (subsidiary or VIE)</w:t>
            </w:r>
          </w:p>
        </w:tc>
        <w:tc>
          <w:tcPr>
            <w:tcW w:type="pct" w:w="1391"/>
            <w:tcMar>
              <w:top w:type="dxa" w:w="50"/>
              <w:left w:type="dxa" w:w="110"/>
              <w:bottom w:type="dxa" w:w="50"/>
              <w:right w:type="dxa" w:w="110"/>
            </w:tcMar>
          </w:tcPr>
          <w:p>
            <w:pPr>
              <w:spacing w:before="26" w:after="26"/>
            </w:pPr>
            <w:r>
              <w:rPr>
                <w:color w:val="232733"/>
                <w:sz w:val="16"/>
                <w:szCs w:val="16"/>
              </w:rPr>
              <w:t xml:space="preserve">100% of each asset, liability, revenue and expense; NCI shown</w:t>
            </w:r>
          </w:p>
        </w:tc>
        <w:tc>
          <w:tcPr>
            <w:tcW w:type="pct" w:w="1084"/>
            <w:tcMar>
              <w:top w:type="dxa" w:w="50"/>
              <w:left w:type="dxa" w:w="110"/>
              <w:bottom w:type="dxa" w:w="50"/>
              <w:right w:type="dxa" w:w="110"/>
            </w:tcMar>
          </w:tcPr>
          <w:p>
            <w:pPr>
              <w:spacing w:before="26" w:after="26"/>
            </w:pPr>
            <w:r>
              <w:rPr>
                <w:color w:val="232733"/>
                <w:sz w:val="16"/>
                <w:szCs w:val="16"/>
              </w:rPr>
              <w:t xml:space="preserve">100% of intercompany items</w:t>
            </w:r>
          </w:p>
        </w:tc>
        <w:tc>
          <w:tcPr>
            <w:tcW w:type="pct" w:w="466"/>
            <w:tcMar>
              <w:top w:type="dxa" w:w="50"/>
              <w:left w:type="dxa" w:w="110"/>
              <w:bottom w:type="dxa" w:w="50"/>
              <w:right w:type="dxa" w:w="110"/>
            </w:tcMar>
          </w:tcPr>
          <w:p>
            <w:pPr>
              <w:spacing w:before="26" w:after="26"/>
            </w:pPr>
            <w:r>
              <w:rPr>
                <w:color w:val="232733"/>
                <w:sz w:val="16"/>
                <w:szCs w:val="16"/>
              </w:rPr>
              <w:t xml:space="preserve">Levant (80%)</w:t>
            </w:r>
          </w:p>
        </w:tc>
      </w:tr>
      <w:tr>
        <w:tc>
          <w:tcPr>
            <w:tcW w:type="pct" w:w="618"/>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1441"/>
            <w:shd w:fill="FBFAF6" w:val="clear"/>
            <w:tcMar>
              <w:top w:type="dxa" w:w="50"/>
              <w:left w:type="dxa" w:w="110"/>
              <w:bottom w:type="dxa" w:w="50"/>
              <w:right w:type="dxa" w:w="110"/>
            </w:tcMar>
          </w:tcPr>
          <w:p>
            <w:pPr>
              <w:spacing w:before="26" w:after="26"/>
            </w:pPr>
            <w:r>
              <w:rPr>
                <w:color w:val="232733"/>
                <w:sz w:val="16"/>
                <w:szCs w:val="16"/>
              </w:rPr>
              <w:t xml:space="preserve">Significant influence (20%–50%); joint ventures</w:t>
            </w:r>
          </w:p>
        </w:tc>
        <w:tc>
          <w:tcPr>
            <w:tcW w:type="pct" w:w="1391"/>
            <w:shd w:fill="FBFAF6" w:val="clear"/>
            <w:tcMar>
              <w:top w:type="dxa" w:w="50"/>
              <w:left w:type="dxa" w:w="110"/>
              <w:bottom w:type="dxa" w:w="50"/>
              <w:right w:type="dxa" w:w="110"/>
            </w:tcMar>
          </w:tcPr>
          <w:p>
            <w:pPr>
              <w:spacing w:before="26" w:after="26"/>
            </w:pPr>
            <w:r>
              <w:rPr>
                <w:color w:val="232733"/>
                <w:sz w:val="16"/>
                <w:szCs w:val="16"/>
              </w:rPr>
              <w:t xml:space="preserve">One line: investment and share of income</w:t>
            </w:r>
          </w:p>
        </w:tc>
        <w:tc>
          <w:tcPr>
            <w:tcW w:type="pct" w:w="1084"/>
            <w:shd w:fill="FBFAF6" w:val="clear"/>
            <w:tcMar>
              <w:top w:type="dxa" w:w="50"/>
              <w:left w:type="dxa" w:w="110"/>
              <w:bottom w:type="dxa" w:w="50"/>
              <w:right w:type="dxa" w:w="110"/>
            </w:tcMar>
          </w:tcPr>
          <w:p>
            <w:pPr>
              <w:spacing w:before="26" w:after="26"/>
            </w:pPr>
            <w:r>
              <w:rPr>
                <w:color w:val="232733"/>
                <w:sz w:val="16"/>
                <w:szCs w:val="16"/>
              </w:rPr>
              <w:t xml:space="preserve">Only the investor's share: 30% × 40,000 = 12,000</w:t>
            </w:r>
          </w:p>
        </w:tc>
        <w:tc>
          <w:tcPr>
            <w:tcW w:type="pct" w:w="466"/>
            <w:shd w:fill="FBFAF6" w:val="clear"/>
            <w:tcMar>
              <w:top w:type="dxa" w:w="50"/>
              <w:left w:type="dxa" w:w="110"/>
              <w:bottom w:type="dxa" w:w="50"/>
              <w:right w:type="dxa" w:w="110"/>
            </w:tcMar>
          </w:tcPr>
          <w:p>
            <w:pPr>
              <w:spacing w:before="26" w:after="26"/>
            </w:pPr>
            <w:r>
              <w:rPr>
                <w:color w:val="232733"/>
                <w:sz w:val="16"/>
                <w:szCs w:val="16"/>
              </w:rPr>
              <w:t xml:space="preserve">Jordan Glass (30%)</w:t>
            </w:r>
          </w:p>
        </w:tc>
      </w:tr>
      <w:tr>
        <w:tc>
          <w:tcPr>
            <w:tcW w:type="pct" w:w="618"/>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1441"/>
            <w:tcMar>
              <w:top w:type="dxa" w:w="50"/>
              <w:left w:type="dxa" w:w="110"/>
              <w:bottom w:type="dxa" w:w="50"/>
              <w:right w:type="dxa" w:w="110"/>
            </w:tcMar>
          </w:tcPr>
          <w:p>
            <w:pPr>
              <w:spacing w:before="26" w:after="26"/>
            </w:pPr>
            <w:r>
              <w:rPr>
                <w:color w:val="232733"/>
                <w:sz w:val="16"/>
                <w:szCs w:val="16"/>
              </w:rPr>
              <w:t xml:space="preserve">Rare in U.S. GAAP: some construction and oil and gas interests</w:t>
            </w:r>
          </w:p>
        </w:tc>
        <w:tc>
          <w:tcPr>
            <w:tcW w:type="pct" w:w="1391"/>
            <w:tcMar>
              <w:top w:type="dxa" w:w="50"/>
              <w:left w:type="dxa" w:w="110"/>
              <w:bottom w:type="dxa" w:w="50"/>
              <w:right w:type="dxa" w:w="110"/>
            </w:tcMar>
          </w:tcPr>
          <w:p>
            <w:pPr>
              <w:spacing w:before="26" w:after="26"/>
            </w:pPr>
            <w:r>
              <w:rPr>
                <w:color w:val="232733"/>
                <w:sz w:val="16"/>
                <w:szCs w:val="16"/>
              </w:rPr>
              <w:t xml:space="preserve">Investor's share of each line</w:t>
            </w:r>
          </w:p>
        </w:tc>
        <w:tc>
          <w:tcPr>
            <w:tcW w:type="pct" w:w="1084"/>
            <w:tcMar>
              <w:top w:type="dxa" w:w="50"/>
              <w:left w:type="dxa" w:w="110"/>
              <w:bottom w:type="dxa" w:w="50"/>
              <w:right w:type="dxa" w:w="110"/>
            </w:tcMar>
          </w:tcPr>
          <w:p>
            <w:pPr>
              <w:spacing w:before="26" w:after="26"/>
            </w:pPr>
            <w:r>
              <w:rPr>
                <w:color w:val="232733"/>
                <w:sz w:val="16"/>
                <w:szCs w:val="16"/>
              </w:rPr>
              <w:t xml:space="preserve">Investor's share</w:t>
            </w:r>
          </w:p>
        </w:tc>
        <w:tc>
          <w:tcPr>
            <w:tcW w:type="pct" w:w="466"/>
            <w:tcMar>
              <w:top w:type="dxa" w:w="50"/>
              <w:left w:type="dxa" w:w="110"/>
              <w:bottom w:type="dxa" w:w="50"/>
              <w:right w:type="dxa" w:w="110"/>
            </w:tcMar>
          </w:tcPr>
          <w:p>
            <w:pPr>
              <w:spacing w:before="26" w:after="26"/>
            </w:pPr>
            <w:r>
              <w:rPr>
                <w:color w:val="232733"/>
                <w:sz w:val="16"/>
                <w:szCs w:val="16"/>
              </w:rPr>
              <w:t xml:space="preserve">Not used by Orontes</w:t>
            </w:r>
          </w:p>
        </w:tc>
      </w:tr>
    </w:tbl>
    <w:p/>
    <w:p>
      <w:pPr>
        <w:spacing w:before="40" w:after="16"/>
        <w:ind w:left="300" w:hanging="300"/>
      </w:pPr>
      <w:r>
        <w:rPr>
          <w:b/>
          <w:bCs/>
          <w:color w:val="353A7C"/>
          <w:sz w:val="19"/>
          <w:szCs w:val="19"/>
        </w:rPr>
        <w:t xml:space="preserve">17.  </w:t>
      </w:r>
      <w:r>
        <w:rPr>
          <w:sz w:val="19"/>
          <w:szCs w:val="19"/>
        </w:rPr>
        <w:t xml:space="preserve">The extract for this question is printed with it. How much unrealized profit on bottles bought from Jordan Glass does Orontes remove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43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43005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noncontrolling interest  ·  equity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88"/>
        <w:gridCol w:w="4430"/>
        <w:gridCol w:w="408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6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30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2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67"/>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307"/>
            <w:tcMar>
              <w:top w:type="dxa" w:w="50"/>
              <w:left w:type="dxa" w:w="110"/>
              <w:bottom w:type="dxa" w:w="50"/>
              <w:right w:type="dxa" w:w="110"/>
            </w:tcMar>
          </w:tcPr>
          <w:p>
            <w:pPr>
              <w:spacing w:before="26" w:after="26"/>
            </w:pPr>
            <w:r>
              <w:rPr>
                <w:color w:val="232733"/>
                <w:sz w:val="16"/>
                <w:szCs w:val="16"/>
              </w:rPr>
              <w:t xml:space="preserve">a figure to read · Method · Suppose: Levant items, 2027 (whole USD)</w:t>
            </w:r>
          </w:p>
        </w:tc>
        <w:tc>
          <w:tcPr>
            <w:tcW w:type="pct" w:w="2126"/>
            <w:tcMar>
              <w:top w:type="dxa" w:w="50"/>
              <w:left w:type="dxa" w:w="110"/>
              <w:bottom w:type="dxa" w:w="50"/>
              <w:right w:type="dxa" w:w="110"/>
            </w:tcMar>
          </w:tcPr>
          <w:p>
            <w:pPr>
              <w:spacing w:before="26" w:after="26"/>
            </w:pPr>
            <w:r>
              <w:rPr>
                <w:color w:val="232733"/>
                <w:sz w:val="16"/>
                <w:szCs w:val="16"/>
              </w:rPr>
              <w:t xml:space="preserve">A company holds 60% of the votes, but a 40% owner must approve the annual budget and key hires. Under the voting model:</w:t>
            </w:r>
          </w:p>
        </w:tc>
      </w:tr>
      <w:tr>
        <w:tc>
          <w:tcPr>
            <w:tcW w:type="pct" w:w="567"/>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307"/>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12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67"/>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307"/>
            <w:tcMar>
              <w:top w:type="dxa" w:w="50"/>
              <w:left w:type="dxa" w:w="110"/>
              <w:bottom w:type="dxa" w:w="50"/>
              <w:right w:type="dxa" w:w="110"/>
            </w:tcMar>
          </w:tcPr>
          <w:p>
            <w:pPr>
              <w:spacing w:before="26" w:after="26"/>
            </w:pPr>
            <w:r>
              <w:rPr>
                <w:color w:val="232733"/>
                <w:sz w:val="16"/>
                <w:szCs w:val="16"/>
              </w:rPr>
              <w:t xml:space="preserve">consolidated financial statements · parent · subsidiary · variable interest entity · primary beneficiary · noncontrolling interest</w:t>
            </w:r>
          </w:p>
        </w:tc>
        <w:tc>
          <w:tcPr>
            <w:tcW w:type="pct" w:w="212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controlling financial interest   ·   upstream sale   ·   variable interest entity   ·   subsidiary   ·   parent</w:t>
      </w:r>
    </w:p>
    <w:p>
      <w:pPr>
        <w:spacing w:before="36" w:after="36"/>
        <w:ind w:left="300"/>
      </w:pPr>
      <w:r>
        <w:rPr>
          <w:sz w:val="19"/>
          <w:szCs w:val="19"/>
        </w:rPr>
        <w:t xml:space="preserve">A company consolidates another entity when it has a </w:t>
      </w:r>
      <w:r>
        <w:rPr>
          <w:u w:val="single"/>
          <w:sz w:val="19"/>
          <w:szCs w:val="19"/>
        </w:rPr>
        <w:t xml:space="preserve">                                </w:t>
      </w:r>
      <w:r>
        <w:rPr>
          <w:sz w:val="19"/>
          <w:szCs w:val="19"/>
        </w:rPr>
        <w:t xml:space="preserve"> in it. Consolidation adds all of the </w:t>
      </w:r>
      <w:r>
        <w:rPr>
          <w:u w:val="single"/>
          <w:sz w:val="19"/>
          <w:szCs w:val="19"/>
        </w:rPr>
        <w:t xml:space="preserve">            </w:t>
      </w:r>
      <w:r>
        <w:rPr>
          <w:sz w:val="19"/>
          <w:szCs w:val="19"/>
        </w:rPr>
        <w:t xml:space="preserve">'s assets, liabilities, revenues and expenses to the </w:t>
      </w:r>
      <w:r>
        <w:rPr>
          <w:u w:val="single"/>
          <w:sz w:val="19"/>
          <w:szCs w:val="19"/>
        </w:rPr>
        <w:t xml:space="preserve">           </w:t>
      </w:r>
      <w:r>
        <w:rPr>
          <w:sz w:val="19"/>
          <w:szCs w:val="19"/>
        </w:rPr>
        <w:t xml:space="preserve">'s, line by line, even when the parent owns less than all of its shares.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variable interest entity   ·   equity method   ·   proportionate consolidation   ·   acquisition method   ·   upstream sale   ·   subsidiary</w:t>
      </w:r>
    </w:p>
    <w:p>
      <w:pPr>
        <w:spacing w:before="36" w:after="36"/>
        <w:ind w:left="300"/>
      </w:pPr>
      <w:r>
        <w:rPr>
          <w:sz w:val="19"/>
          <w:szCs w:val="19"/>
        </w:rPr>
        <w:t xml:space="preserve">A controlled </w:t>
      </w:r>
      <w:r>
        <w:rPr>
          <w:u w:val="single"/>
          <w:sz w:val="19"/>
          <w:szCs w:val="19"/>
        </w:rPr>
        <w:t xml:space="preserve">            </w:t>
      </w:r>
      <w:r>
        <w:rPr>
          <w:sz w:val="19"/>
          <w:szCs w:val="19"/>
        </w:rPr>
        <w:t xml:space="preserve">'s intercompany profit is removed in full. The LOS phrase 'equity consolidation' means the </w:t>
      </w:r>
      <w:r>
        <w:rPr>
          <w:u w:val="single"/>
          <w:sz w:val="19"/>
          <w:szCs w:val="19"/>
        </w:rPr>
        <w:t xml:space="preserve">               </w:t>
      </w:r>
      <w:r>
        <w:rPr>
          <w:sz w:val="19"/>
          <w:szCs w:val="19"/>
        </w:rPr>
        <w:t xml:space="preserve">: one line, no NCI. Also, joint ventures use the equity method, not </w:t>
      </w:r>
      <w:r>
        <w:rPr>
          <w:u w:val="single"/>
          <w:sz w:val="19"/>
          <w:szCs w:val="19"/>
        </w:rPr>
        <w:t xml:space="preserve">                             </w:t>
      </w:r>
      <w:r>
        <w:rPr>
          <w:sz w:val="19"/>
          <w:szCs w:val="19"/>
        </w:rPr>
        <w:t xml:space="preserve">. When a company gains control of a business, it uses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downstream sale   ·   parent   ·   subsidiary   ·   variable interest entity   ·   upstream sale   ·   primary beneficiary</w:t>
      </w:r>
    </w:p>
    <w:p>
      <w:pPr>
        <w:spacing w:before="36" w:after="36"/>
        <w:ind w:left="300"/>
      </w:pPr>
      <w:r>
        <w:rPr>
          <w:sz w:val="19"/>
          <w:szCs w:val="19"/>
        </w:rPr>
        <w:t xml:space="preserve">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the profit, so the whole elimination reduces the parent's share. In an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earned it, so NCI bears its share. When one group company sells equipment to another, the gain is eliminated and the asset returns to its original cost basis.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58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45872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16.1?</w:t>
      </w:r>
    </w:p>
    <w:p>
      <w:pPr>
        <w:spacing w:after="18"/>
        <w:ind w:left="560" w:hanging="260"/>
      </w:pPr>
      <w:r>
        <w:rPr>
          <w:b/>
          <w:bCs/>
          <w:color w:val="8186EF"/>
          <w:sz w:val="18"/>
          <w:szCs w:val="18"/>
        </w:rPr>
        <w:t xml:space="preserve">A. </w:t>
      </w:r>
      <w:r>
        <w:rPr>
          <w:sz w:val="18"/>
          <w:szCs w:val="18"/>
        </w:rPr>
        <w:t xml:space="preserve">IFRS differences and what is changing</w:t>
      </w:r>
    </w:p>
    <w:p>
      <w:pPr>
        <w:spacing w:after="18"/>
        <w:ind w:left="560" w:hanging="260"/>
      </w:pPr>
      <w:r>
        <w:rPr>
          <w:b/>
          <w:bCs/>
          <w:color w:val="8186EF"/>
          <w:sz w:val="18"/>
          <w:szCs w:val="18"/>
        </w:rPr>
        <w:t xml:space="preserve">B. </w:t>
      </w:r>
      <w:r>
        <w:rPr>
          <w:sz w:val="18"/>
          <w:szCs w:val="18"/>
        </w:rPr>
        <w:t xml:space="preserve">Eliminating intercompany balances and transactions</w:t>
      </w:r>
    </w:p>
    <w:p>
      <w:pPr>
        <w:spacing w:after="18"/>
        <w:ind w:left="560" w:hanging="260"/>
      </w:pPr>
      <w:r>
        <w:rPr>
          <w:b/>
          <w:bCs/>
          <w:color w:val="8186EF"/>
          <w:sz w:val="18"/>
          <w:szCs w:val="18"/>
        </w:rPr>
        <w:t xml:space="preserve">C. </w:t>
      </w:r>
      <w:r>
        <w:rPr>
          <w:sz w:val="18"/>
          <w:szCs w:val="18"/>
        </w:rPr>
        <w:t xml:space="preserve">What consolidated statements are</w:t>
      </w:r>
    </w:p>
    <w:p>
      <w:pPr>
        <w:spacing w:after="18"/>
        <w:ind w:left="560" w:hanging="260"/>
      </w:pPr>
      <w:r>
        <w:rPr>
          <w:b/>
          <w:bCs/>
          <w:color w:val="8186EF"/>
          <w:sz w:val="18"/>
          <w:szCs w:val="18"/>
        </w:rPr>
        <w:t xml:space="preserve">D. </w:t>
      </w:r>
      <w:r>
        <w:rPr>
          <w:sz w:val="18"/>
          <w:szCs w:val="18"/>
        </w:rPr>
        <w:t xml:space="preserve">Two control models: VIE first, then votes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16.1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16.4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16.2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16.5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16.3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16.6</w:t>
            </w:r>
          </w:p>
        </w:tc>
      </w:tr>
    </w:tbl>
    <w:p/>
    <w:p>
      <w:pPr>
        <w:spacing w:before="24" w:after="24"/>
        <w:ind w:left="300" w:hanging="300"/>
      </w:pPr>
      <w:r>
        <w:rPr>
          <w:b/>
          <w:bCs/>
          <w:color w:val="353A7C"/>
          <w:sz w:val="18"/>
          <w:szCs w:val="18"/>
        </w:rPr>
        <w:t xml:space="preserve">6.  </w:t>
      </w:r>
      <w:r>
        <w:rPr>
          <w:sz w:val="18"/>
          <w:szCs w:val="18"/>
        </w:rPr>
        <w:t xml:space="preserve">What consolidated statements are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Two control models: VIE first, then votes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Full consolidation, proportionate consolidation and the equity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acquisition: goodwill and noncontrolling interest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Eliminating intercompany balances and transactions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IFRS differences and what is changing</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A parent sells inventory to its 60%-owned subsidiary at a profit of $10,000; all of it is still unsold. How much of the elimination reduces NCI?</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w:t>
            </w:r>
          </w:p>
        </w:tc>
      </w:tr>
    </w:tbl>
    <w:p>
      <w:pPr>
        <w:spacing w:before="40" w:after="16"/>
        <w:ind w:left="300" w:hanging="300"/>
      </w:pPr>
      <w:r>
        <w:rPr>
          <w:b/>
          <w:bCs/>
          <w:color w:val="353A7C"/>
          <w:sz w:val="19"/>
          <w:szCs w:val="19"/>
        </w:rPr>
        <w:t xml:space="preserve">13.  </w:t>
      </w:r>
      <w:r>
        <w:rPr>
          <w:sz w:val="19"/>
          <w:szCs w:val="19"/>
        </w:rPr>
        <w:t xml:space="preserve">Orontes sells half of its Levant shares and loses control, keeping a 40% stake. It:</w:t>
      </w:r>
    </w:p>
    <w:p>
      <w:pPr>
        <w:spacing w:after="18"/>
        <w:ind w:left="560" w:hanging="260"/>
      </w:pPr>
      <w:r>
        <w:rPr>
          <w:b/>
          <w:bCs/>
          <w:color w:val="8186EF"/>
          <w:sz w:val="18"/>
          <w:szCs w:val="18"/>
        </w:rPr>
        <w:t xml:space="preserve">A. </w:t>
      </w:r>
      <w:r>
        <w:rPr>
          <w:sz w:val="18"/>
          <w:szCs w:val="18"/>
        </w:rPr>
        <w:t xml:space="preserve">records an equity transaction with no gain or loss</w:t>
      </w:r>
    </w:p>
    <w:p>
      <w:pPr>
        <w:spacing w:after="18"/>
        <w:ind w:left="560" w:hanging="260"/>
      </w:pPr>
      <w:r>
        <w:rPr>
          <w:b/>
          <w:bCs/>
          <w:color w:val="8186EF"/>
          <w:sz w:val="18"/>
          <w:szCs w:val="18"/>
        </w:rPr>
        <w:t xml:space="preserve">B. </w:t>
      </w:r>
      <w:r>
        <w:rPr>
          <w:sz w:val="18"/>
          <w:szCs w:val="18"/>
        </w:rPr>
        <w:t xml:space="preserve">keeps consolidating Levant</w:t>
      </w:r>
    </w:p>
    <w:p>
      <w:pPr>
        <w:spacing w:after="18"/>
        <w:ind w:left="560" w:hanging="260"/>
      </w:pPr>
      <w:r>
        <w:rPr>
          <w:b/>
          <w:bCs/>
          <w:color w:val="8186EF"/>
          <w:sz w:val="18"/>
          <w:szCs w:val="18"/>
        </w:rPr>
        <w:t xml:space="preserve">C. </w:t>
      </w:r>
      <w:r>
        <w:rPr>
          <w:sz w:val="18"/>
          <w:szCs w:val="18"/>
        </w:rPr>
        <w:t xml:space="preserve">measures the 40% at its old carrying amount with no gain or loss</w:t>
      </w:r>
    </w:p>
    <w:p>
      <w:pPr>
        <w:spacing w:after="18"/>
        <w:ind w:left="560" w:hanging="260"/>
      </w:pPr>
      <w:r>
        <w:rPr>
          <w:b/>
          <w:bCs/>
          <w:color w:val="8186EF"/>
          <w:sz w:val="18"/>
          <w:szCs w:val="18"/>
        </w:rPr>
        <w:t xml:space="preserve">D. </w:t>
      </w:r>
      <w:r>
        <w:rPr>
          <w:sz w:val="18"/>
          <w:szCs w:val="18"/>
        </w:rPr>
        <w:t xml:space="preserve">deconsolidates Levant and measures the 40% at fair value, with a gain or loss in net income</w:t>
      </w:r>
    </w:p>
    <w:p>
      <w:pPr>
        <w:spacing w:before="40" w:after="16"/>
        <w:ind w:left="300" w:hanging="300"/>
      </w:pPr>
      <w:r>
        <w:rPr>
          <w:b/>
          <w:bCs/>
          <w:color w:val="353A7C"/>
          <w:sz w:val="19"/>
          <w:szCs w:val="19"/>
        </w:rPr>
        <w:t xml:space="preserve">14.  </w:t>
      </w:r>
      <w:r>
        <w:rPr>
          <w:sz w:val="19"/>
          <w:szCs w:val="19"/>
        </w:rPr>
        <w:t xml:space="preserve">Orontes holds 30% of Jordan Glass and has significant influence. Which method does it use?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Full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Fair value through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Proportionate consolidation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equity method</w:t>
            </w:r>
          </w:p>
        </w:tc>
      </w:tr>
    </w:tbl>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7"/>
        <w:gridCol w:w="2766"/>
        <w:gridCol w:w="2671"/>
        <w:gridCol w:w="2081"/>
        <w:gridCol w:w="89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extract for the question that follows</w:t>
            </w:r>
          </w:p>
        </w:tc>
      </w:tr>
      <w:tr>
        <w:tc>
          <w:tcPr>
            <w:tcW w:type="pct" w:w="618"/>
            <w:tcMar>
              <w:top w:type="dxa" w:w="50"/>
              <w:left w:type="dxa" w:w="110"/>
              <w:bottom w:type="dxa" w:w="50"/>
              <w:right w:type="dxa" w:w="110"/>
            </w:tcMar>
          </w:tcPr>
          <w:p>
            <w:pPr>
              <w:spacing w:before="26" w:after="26"/>
            </w:pPr>
            <w:r>
              <w:rPr>
                <w:b/>
                <w:bCs/>
                <w:color w:val="353A7C"/>
                <w:sz w:val="15"/>
                <w:szCs w:val="15"/>
              </w:rPr>
              <w:t xml:space="preserve">Method</w:t>
            </w:r>
          </w:p>
        </w:tc>
        <w:tc>
          <w:tcPr>
            <w:tcW w:type="pct" w:w="1441"/>
            <w:tcMar>
              <w:top w:type="dxa" w:w="50"/>
              <w:left w:type="dxa" w:w="110"/>
              <w:bottom w:type="dxa" w:w="50"/>
              <w:right w:type="dxa" w:w="110"/>
            </w:tcMar>
          </w:tcPr>
          <w:p>
            <w:pPr>
              <w:spacing w:before="26" w:after="26"/>
            </w:pPr>
            <w:r>
              <w:rPr>
                <w:b/>
                <w:bCs/>
                <w:color w:val="353A7C"/>
                <w:sz w:val="15"/>
                <w:szCs w:val="15"/>
              </w:rPr>
              <w:t xml:space="preserve">When used (U.S. GAAP)</w:t>
            </w:r>
          </w:p>
        </w:tc>
        <w:tc>
          <w:tcPr>
            <w:tcW w:type="pct" w:w="1391"/>
            <w:tcMar>
              <w:top w:type="dxa" w:w="50"/>
              <w:left w:type="dxa" w:w="110"/>
              <w:bottom w:type="dxa" w:w="50"/>
              <w:right w:type="dxa" w:w="110"/>
            </w:tcMar>
          </w:tcPr>
          <w:p>
            <w:pPr>
              <w:spacing w:before="26" w:after="26"/>
            </w:pPr>
            <w:r>
              <w:rPr>
                <w:b/>
                <w:bCs/>
                <w:color w:val="353A7C"/>
                <w:sz w:val="15"/>
                <w:szCs w:val="15"/>
              </w:rPr>
              <w:t xml:space="preserve">What appears</w:t>
            </w:r>
          </w:p>
        </w:tc>
        <w:tc>
          <w:tcPr>
            <w:tcW w:type="pct" w:w="1084"/>
            <w:tcMar>
              <w:top w:type="dxa" w:w="50"/>
              <w:left w:type="dxa" w:w="110"/>
              <w:bottom w:type="dxa" w:w="50"/>
              <w:right w:type="dxa" w:w="110"/>
            </w:tcMar>
          </w:tcPr>
          <w:p>
            <w:pPr>
              <w:spacing w:before="26" w:after="26"/>
            </w:pPr>
            <w:r>
              <w:rPr>
                <w:b/>
                <w:bCs/>
                <w:color w:val="353A7C"/>
                <w:sz w:val="15"/>
                <w:szCs w:val="15"/>
              </w:rPr>
              <w:t xml:space="preserve">Intercompany profit removed</w:t>
            </w:r>
          </w:p>
        </w:tc>
        <w:tc>
          <w:tcPr>
            <w:tcW w:type="pct" w:w="466"/>
            <w:tcMar>
              <w:top w:type="dxa" w:w="50"/>
              <w:left w:type="dxa" w:w="110"/>
              <w:bottom w:type="dxa" w:w="50"/>
              <w:right w:type="dxa" w:w="110"/>
            </w:tcMar>
          </w:tcPr>
          <w:p>
            <w:pPr>
              <w:spacing w:before="26" w:after="26"/>
            </w:pPr>
            <w:r>
              <w:rPr>
                <w:b/>
                <w:bCs/>
                <w:color w:val="353A7C"/>
                <w:sz w:val="15"/>
                <w:szCs w:val="15"/>
              </w:rPr>
              <w:t xml:space="preserve">Orontes</w:t>
            </w:r>
          </w:p>
        </w:tc>
      </w:tr>
      <w:tr>
        <w:tc>
          <w:tcPr>
            <w:tcW w:type="pct" w:w="618"/>
            <w:tcMar>
              <w:top w:type="dxa" w:w="50"/>
              <w:left w:type="dxa" w:w="110"/>
              <w:bottom w:type="dxa" w:w="50"/>
              <w:right w:type="dxa" w:w="110"/>
            </w:tcMar>
          </w:tcPr>
          <w:p>
            <w:pPr>
              <w:spacing w:before="26" w:after="26"/>
            </w:pPr>
            <w:r>
              <w:rPr>
                <w:color w:val="232733"/>
                <w:sz w:val="16"/>
                <w:szCs w:val="16"/>
              </w:rPr>
              <w:t xml:space="preserve">Full consolidation</w:t>
            </w:r>
          </w:p>
        </w:tc>
        <w:tc>
          <w:tcPr>
            <w:tcW w:type="pct" w:w="1441"/>
            <w:tcMar>
              <w:top w:type="dxa" w:w="50"/>
              <w:left w:type="dxa" w:w="110"/>
              <w:bottom w:type="dxa" w:w="50"/>
              <w:right w:type="dxa" w:w="110"/>
            </w:tcMar>
          </w:tcPr>
          <w:p>
            <w:pPr>
              <w:spacing w:before="26" w:after="26"/>
            </w:pPr>
            <w:r>
              <w:rPr>
                <w:color w:val="232733"/>
                <w:sz w:val="16"/>
                <w:szCs w:val="16"/>
              </w:rPr>
              <w:t xml:space="preserve">Control (subsidiary or VIE)</w:t>
            </w:r>
          </w:p>
        </w:tc>
        <w:tc>
          <w:tcPr>
            <w:tcW w:type="pct" w:w="1391"/>
            <w:tcMar>
              <w:top w:type="dxa" w:w="50"/>
              <w:left w:type="dxa" w:w="110"/>
              <w:bottom w:type="dxa" w:w="50"/>
              <w:right w:type="dxa" w:w="110"/>
            </w:tcMar>
          </w:tcPr>
          <w:p>
            <w:pPr>
              <w:spacing w:before="26" w:after="26"/>
            </w:pPr>
            <w:r>
              <w:rPr>
                <w:color w:val="232733"/>
                <w:sz w:val="16"/>
                <w:szCs w:val="16"/>
              </w:rPr>
              <w:t xml:space="preserve">100% of each asset, liability, revenue and expense; NCI shown</w:t>
            </w:r>
          </w:p>
        </w:tc>
        <w:tc>
          <w:tcPr>
            <w:tcW w:type="pct" w:w="1084"/>
            <w:tcMar>
              <w:top w:type="dxa" w:w="50"/>
              <w:left w:type="dxa" w:w="110"/>
              <w:bottom w:type="dxa" w:w="50"/>
              <w:right w:type="dxa" w:w="110"/>
            </w:tcMar>
          </w:tcPr>
          <w:p>
            <w:pPr>
              <w:spacing w:before="26" w:after="26"/>
            </w:pPr>
            <w:r>
              <w:rPr>
                <w:color w:val="232733"/>
                <w:sz w:val="16"/>
                <w:szCs w:val="16"/>
              </w:rPr>
              <w:t xml:space="preserve">100% of intercompany items</w:t>
            </w:r>
          </w:p>
        </w:tc>
        <w:tc>
          <w:tcPr>
            <w:tcW w:type="pct" w:w="466"/>
            <w:tcMar>
              <w:top w:type="dxa" w:w="50"/>
              <w:left w:type="dxa" w:w="110"/>
              <w:bottom w:type="dxa" w:w="50"/>
              <w:right w:type="dxa" w:w="110"/>
            </w:tcMar>
          </w:tcPr>
          <w:p>
            <w:pPr>
              <w:spacing w:before="26" w:after="26"/>
            </w:pPr>
            <w:r>
              <w:rPr>
                <w:color w:val="232733"/>
                <w:sz w:val="16"/>
                <w:szCs w:val="16"/>
              </w:rPr>
              <w:t xml:space="preserve">Levant (80%)</w:t>
            </w:r>
          </w:p>
        </w:tc>
      </w:tr>
      <w:tr>
        <w:tc>
          <w:tcPr>
            <w:tcW w:type="pct" w:w="618"/>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1441"/>
            <w:shd w:fill="FBFAF6" w:val="clear"/>
            <w:tcMar>
              <w:top w:type="dxa" w:w="50"/>
              <w:left w:type="dxa" w:w="110"/>
              <w:bottom w:type="dxa" w:w="50"/>
              <w:right w:type="dxa" w:w="110"/>
            </w:tcMar>
          </w:tcPr>
          <w:p>
            <w:pPr>
              <w:spacing w:before="26" w:after="26"/>
            </w:pPr>
            <w:r>
              <w:rPr>
                <w:color w:val="232733"/>
                <w:sz w:val="16"/>
                <w:szCs w:val="16"/>
              </w:rPr>
              <w:t xml:space="preserve">Significant influence (20%–50%); joint ventures</w:t>
            </w:r>
          </w:p>
        </w:tc>
        <w:tc>
          <w:tcPr>
            <w:tcW w:type="pct" w:w="1391"/>
            <w:shd w:fill="FBFAF6" w:val="clear"/>
            <w:tcMar>
              <w:top w:type="dxa" w:w="50"/>
              <w:left w:type="dxa" w:w="110"/>
              <w:bottom w:type="dxa" w:w="50"/>
              <w:right w:type="dxa" w:w="110"/>
            </w:tcMar>
          </w:tcPr>
          <w:p>
            <w:pPr>
              <w:spacing w:before="26" w:after="26"/>
            </w:pPr>
            <w:r>
              <w:rPr>
                <w:color w:val="232733"/>
                <w:sz w:val="16"/>
                <w:szCs w:val="16"/>
              </w:rPr>
              <w:t xml:space="preserve">One line: investment and share of income</w:t>
            </w:r>
          </w:p>
        </w:tc>
        <w:tc>
          <w:tcPr>
            <w:tcW w:type="pct" w:w="1084"/>
            <w:shd w:fill="FBFAF6" w:val="clear"/>
            <w:tcMar>
              <w:top w:type="dxa" w:w="50"/>
              <w:left w:type="dxa" w:w="110"/>
              <w:bottom w:type="dxa" w:w="50"/>
              <w:right w:type="dxa" w:w="110"/>
            </w:tcMar>
          </w:tcPr>
          <w:p>
            <w:pPr>
              <w:spacing w:before="26" w:after="26"/>
            </w:pPr>
            <w:r>
              <w:rPr>
                <w:color w:val="232733"/>
                <w:sz w:val="16"/>
                <w:szCs w:val="16"/>
              </w:rPr>
              <w:t xml:space="preserve">Only the investor's share: 30% × 40,000 = 12,000</w:t>
            </w:r>
          </w:p>
        </w:tc>
        <w:tc>
          <w:tcPr>
            <w:tcW w:type="pct" w:w="466"/>
            <w:shd w:fill="FBFAF6" w:val="clear"/>
            <w:tcMar>
              <w:top w:type="dxa" w:w="50"/>
              <w:left w:type="dxa" w:w="110"/>
              <w:bottom w:type="dxa" w:w="50"/>
              <w:right w:type="dxa" w:w="110"/>
            </w:tcMar>
          </w:tcPr>
          <w:p>
            <w:pPr>
              <w:spacing w:before="26" w:after="26"/>
            </w:pPr>
            <w:r>
              <w:rPr>
                <w:color w:val="232733"/>
                <w:sz w:val="16"/>
                <w:szCs w:val="16"/>
              </w:rPr>
              <w:t xml:space="preserve">Jordan Glass (30%)</w:t>
            </w:r>
          </w:p>
        </w:tc>
      </w:tr>
      <w:tr>
        <w:tc>
          <w:tcPr>
            <w:tcW w:type="pct" w:w="618"/>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1441"/>
            <w:tcMar>
              <w:top w:type="dxa" w:w="50"/>
              <w:left w:type="dxa" w:w="110"/>
              <w:bottom w:type="dxa" w:w="50"/>
              <w:right w:type="dxa" w:w="110"/>
            </w:tcMar>
          </w:tcPr>
          <w:p>
            <w:pPr>
              <w:spacing w:before="26" w:after="26"/>
            </w:pPr>
            <w:r>
              <w:rPr>
                <w:color w:val="232733"/>
                <w:sz w:val="16"/>
                <w:szCs w:val="16"/>
              </w:rPr>
              <w:t xml:space="preserve">Rare in U.S. GAAP: some construction and oil and gas interests</w:t>
            </w:r>
          </w:p>
        </w:tc>
        <w:tc>
          <w:tcPr>
            <w:tcW w:type="pct" w:w="1391"/>
            <w:tcMar>
              <w:top w:type="dxa" w:w="50"/>
              <w:left w:type="dxa" w:w="110"/>
              <w:bottom w:type="dxa" w:w="50"/>
              <w:right w:type="dxa" w:w="110"/>
            </w:tcMar>
          </w:tcPr>
          <w:p>
            <w:pPr>
              <w:spacing w:before="26" w:after="26"/>
            </w:pPr>
            <w:r>
              <w:rPr>
                <w:color w:val="232733"/>
                <w:sz w:val="16"/>
                <w:szCs w:val="16"/>
              </w:rPr>
              <w:t xml:space="preserve">Investor's share of each line</w:t>
            </w:r>
          </w:p>
        </w:tc>
        <w:tc>
          <w:tcPr>
            <w:tcW w:type="pct" w:w="1084"/>
            <w:tcMar>
              <w:top w:type="dxa" w:w="50"/>
              <w:left w:type="dxa" w:w="110"/>
              <w:bottom w:type="dxa" w:w="50"/>
              <w:right w:type="dxa" w:w="110"/>
            </w:tcMar>
          </w:tcPr>
          <w:p>
            <w:pPr>
              <w:spacing w:before="26" w:after="26"/>
            </w:pPr>
            <w:r>
              <w:rPr>
                <w:color w:val="232733"/>
                <w:sz w:val="16"/>
                <w:szCs w:val="16"/>
              </w:rPr>
              <w:t xml:space="preserve">Investor's share</w:t>
            </w:r>
          </w:p>
        </w:tc>
        <w:tc>
          <w:tcPr>
            <w:tcW w:type="pct" w:w="466"/>
            <w:tcMar>
              <w:top w:type="dxa" w:w="50"/>
              <w:left w:type="dxa" w:w="110"/>
              <w:bottom w:type="dxa" w:w="50"/>
              <w:right w:type="dxa" w:w="110"/>
            </w:tcMar>
          </w:tcPr>
          <w:p>
            <w:pPr>
              <w:spacing w:before="26" w:after="26"/>
            </w:pPr>
            <w:r>
              <w:rPr>
                <w:color w:val="232733"/>
                <w:sz w:val="16"/>
                <w:szCs w:val="16"/>
              </w:rPr>
              <w:t xml:space="preserve">Not used by Orontes</w:t>
            </w:r>
          </w:p>
        </w:tc>
      </w:tr>
    </w:tbl>
    <w:p/>
    <w:p>
      <w:pPr>
        <w:spacing w:before="40" w:after="16"/>
        <w:ind w:left="300" w:hanging="300"/>
      </w:pPr>
      <w:r>
        <w:rPr>
          <w:b/>
          <w:bCs/>
          <w:color w:val="353A7C"/>
          <w:sz w:val="19"/>
          <w:szCs w:val="19"/>
        </w:rPr>
        <w:t xml:space="preserve">15.  </w:t>
      </w:r>
      <w:r>
        <w:rPr>
          <w:sz w:val="19"/>
          <w:szCs w:val="19"/>
        </w:rPr>
        <w:t xml:space="preserve">The extract for this question is printed with it. How much unrealized profit on bottles bought from Jordan Glass does Orontes remove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80,000</w:t>
            </w:r>
          </w:p>
        </w:tc>
      </w:tr>
    </w:tbl>
    <w:p>
      <w:pPr>
        <w:spacing w:before="40" w:after="16"/>
        <w:ind w:left="300" w:hanging="300"/>
      </w:pPr>
      <w:r>
        <w:rPr>
          <w:b/>
          <w:bCs/>
          <w:color w:val="353A7C"/>
          <w:sz w:val="19"/>
          <w:szCs w:val="19"/>
        </w:rPr>
        <w:t xml:space="preserve">16.  </w:t>
      </w:r>
      <w:r>
        <w:rPr>
          <w:sz w:val="19"/>
          <w:szCs w:val="19"/>
        </w:rPr>
        <w:t xml:space="preserve">In 2028 Orontes buys another 10% of Levant from the NCI holders and keeps control. It records:</w:t>
      </w:r>
    </w:p>
    <w:p>
      <w:pPr>
        <w:spacing w:after="18"/>
        <w:ind w:left="560" w:hanging="260"/>
      </w:pPr>
      <w:r>
        <w:rPr>
          <w:b/>
          <w:bCs/>
          <w:color w:val="8186EF"/>
          <w:sz w:val="18"/>
          <w:szCs w:val="18"/>
        </w:rPr>
        <w:t xml:space="preserve">A. </w:t>
      </w:r>
      <w:r>
        <w:rPr>
          <w:sz w:val="18"/>
          <w:szCs w:val="18"/>
        </w:rPr>
        <w:t xml:space="preserve">a gain or loss in net income</w:t>
      </w:r>
    </w:p>
    <w:p>
      <w:pPr>
        <w:spacing w:after="18"/>
        <w:ind w:left="560" w:hanging="260"/>
      </w:pPr>
      <w:r>
        <w:rPr>
          <w:b/>
          <w:bCs/>
          <w:color w:val="8186EF"/>
          <w:sz w:val="18"/>
          <w:szCs w:val="18"/>
        </w:rPr>
        <w:t xml:space="preserve">B. </w:t>
      </w:r>
      <w:r>
        <w:rPr>
          <w:sz w:val="18"/>
          <w:szCs w:val="18"/>
        </w:rPr>
        <w:t xml:space="preserve">an equity transaction, with no gain or loss</w:t>
      </w:r>
    </w:p>
    <w:p>
      <w:pPr>
        <w:spacing w:after="18"/>
        <w:ind w:left="560" w:hanging="260"/>
      </w:pPr>
      <w:r>
        <w:rPr>
          <w:b/>
          <w:bCs/>
          <w:color w:val="8186EF"/>
          <w:sz w:val="18"/>
          <w:szCs w:val="18"/>
        </w:rPr>
        <w:t xml:space="preserve">C. </w:t>
      </w:r>
      <w:r>
        <w:rPr>
          <w:sz w:val="18"/>
          <w:szCs w:val="18"/>
        </w:rPr>
        <w:t xml:space="preserve">new goodwill</w:t>
      </w:r>
    </w:p>
    <w:p>
      <w:pPr>
        <w:spacing w:after="18"/>
        <w:ind w:left="560" w:hanging="260"/>
      </w:pPr>
      <w:r>
        <w:rPr>
          <w:b/>
          <w:bCs/>
          <w:color w:val="8186EF"/>
          <w:sz w:val="18"/>
          <w:szCs w:val="18"/>
        </w:rPr>
        <w:t xml:space="preserve">D. </w:t>
      </w:r>
      <w:r>
        <w:rPr>
          <w:sz w:val="18"/>
          <w:szCs w:val="18"/>
        </w:rPr>
        <w:t xml:space="preserve">a remeasurement of Levant's assets to fair value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82"/>
        <w:gridCol w:w="2814"/>
        <w:gridCol w:w="2744"/>
        <w:gridCol w:w="126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Levant items, 2027 (whole USD) — the extract for the question that follows</w:t>
            </w:r>
          </w:p>
        </w:tc>
      </w:tr>
      <w:tr>
        <w:tc>
          <w:tcPr>
            <w:tcW w:type="pct" w:w="1449"/>
            <w:tcMar>
              <w:top w:type="dxa" w:w="50"/>
              <w:left w:type="dxa" w:w="110"/>
              <w:bottom w:type="dxa" w:w="50"/>
              <w:right w:type="dxa" w:w="110"/>
            </w:tcMar>
          </w:tcPr>
          <w:p>
            <w:pPr>
              <w:spacing w:before="26" w:after="26"/>
            </w:pPr>
            <w:r>
              <w:rPr>
                <w:b/>
                <w:bCs/>
                <w:color w:val="353A7C"/>
                <w:sz w:val="15"/>
                <w:szCs w:val="15"/>
              </w:rPr>
              <w:t xml:space="preserve">Suppose: Levant items, 2027 (whole USD)</w:t>
            </w:r>
          </w:p>
        </w:tc>
        <w:tc>
          <w:tcPr>
            <w:tcW w:type="pct" w:w="1465"/>
            <w:tcMar>
              <w:top w:type="dxa" w:w="50"/>
              <w:left w:type="dxa" w:w="110"/>
              <w:bottom w:type="dxa" w:w="50"/>
              <w:right w:type="dxa" w:w="110"/>
            </w:tcMar>
          </w:tcPr>
          <w:p>
            <w:pPr>
              <w:spacing w:before="26" w:after="26"/>
            </w:pPr>
            <w:r>
              <w:rPr>
                <w:b/>
                <w:bCs/>
                <w:color w:val="353A7C"/>
                <w:sz w:val="15"/>
                <w:szCs w:val="15"/>
              </w:rPr>
              <w:t xml:space="preserve">Eliminate</w:t>
            </w:r>
          </w:p>
        </w:tc>
        <w:tc>
          <w:tcPr>
            <w:tcW w:type="pct" w:w="1429"/>
            <w:tcMar>
              <w:top w:type="dxa" w:w="50"/>
              <w:left w:type="dxa" w:w="110"/>
              <w:bottom w:type="dxa" w:w="50"/>
              <w:right w:type="dxa" w:w="110"/>
            </w:tcMar>
          </w:tcPr>
          <w:p>
            <w:pPr>
              <w:spacing w:before="26" w:after="26"/>
            </w:pPr>
            <w:r>
              <w:rPr>
                <w:b/>
                <w:bCs/>
                <w:color w:val="353A7C"/>
                <w:sz w:val="15"/>
                <w:szCs w:val="15"/>
              </w:rPr>
              <w:t xml:space="preserve">Result</w:t>
            </w:r>
          </w:p>
        </w:tc>
        <w:tc>
          <w:tcPr>
            <w:tcW w:type="pct" w:w="656"/>
            <w:tcMar>
              <w:top w:type="dxa" w:w="50"/>
              <w:left w:type="dxa" w:w="110"/>
              <w:bottom w:type="dxa" w:w="50"/>
              <w:right w:type="dxa" w:w="110"/>
            </w:tcMar>
          </w:tcPr>
          <w:p>
            <w:pPr>
              <w:spacing w:before="26" w:after="26"/>
            </w:pPr>
            <w:r>
              <w:rPr>
                <w:b/>
                <w:bCs/>
                <w:color w:val="353A7C"/>
                <w:sz w:val="15"/>
                <w:szCs w:val="15"/>
              </w:rPr>
              <w:t xml:space="preserve">Who bears it</w:t>
            </w:r>
          </w:p>
        </w:tc>
      </w:tr>
      <w:tr>
        <w:tc>
          <w:tcPr>
            <w:tcW w:type="pct" w:w="1449"/>
            <w:tcMar>
              <w:top w:type="dxa" w:w="50"/>
              <w:left w:type="dxa" w:w="110"/>
              <w:bottom w:type="dxa" w:w="50"/>
              <w:right w:type="dxa" w:w="110"/>
            </w:tcMar>
          </w:tcPr>
          <w:p>
            <w:pPr>
              <w:spacing w:before="26" w:after="26"/>
            </w:pPr>
            <w:r>
              <w:rPr>
                <w:color w:val="232733"/>
                <w:sz w:val="16"/>
                <w:szCs w:val="16"/>
              </w:rPr>
              <w:t xml:space="preserve">Intercompany sales and cost of sales</w:t>
            </w:r>
          </w:p>
        </w:tc>
        <w:tc>
          <w:tcPr>
            <w:tcW w:type="pct" w:w="1465"/>
            <w:tcMar>
              <w:top w:type="dxa" w:w="50"/>
              <w:left w:type="dxa" w:w="110"/>
              <w:bottom w:type="dxa" w:w="50"/>
              <w:right w:type="dxa" w:w="110"/>
            </w:tcMar>
          </w:tcPr>
          <w:p>
            <w:pPr>
              <w:spacing w:before="26" w:after="26"/>
            </w:pPr>
            <w:r>
              <w:rPr>
                <w:color w:val="232733"/>
                <w:sz w:val="16"/>
                <w:szCs w:val="16"/>
              </w:rPr>
              <w:t xml:space="preserve">Remove 750,000 of sales and cost of sales</w:t>
            </w:r>
          </w:p>
        </w:tc>
        <w:tc>
          <w:tcPr>
            <w:tcW w:type="pct" w:w="1429"/>
            <w:tcMar>
              <w:top w:type="dxa" w:w="50"/>
              <w:left w:type="dxa" w:w="110"/>
              <w:bottom w:type="dxa" w:w="50"/>
              <w:right w:type="dxa" w:w="110"/>
            </w:tcMar>
          </w:tcPr>
          <w:p>
            <w:pPr>
              <w:spacing w:before="26" w:after="26"/>
            </w:pPr>
            <w:r>
              <w:rPr>
                <w:color w:val="232733"/>
                <w:sz w:val="16"/>
                <w:szCs w:val="16"/>
              </w:rPr>
              <w:t xml:space="preserve">Revenue and expenses fall; no profit effect</w:t>
            </w:r>
          </w:p>
        </w:tc>
        <w:tc>
          <w:tcPr>
            <w:tcW w:type="pct" w:w="656"/>
            <w:tcMar>
              <w:top w:type="dxa" w:w="50"/>
              <w:left w:type="dxa" w:w="110"/>
              <w:bottom w:type="dxa" w:w="50"/>
              <w:right w:type="dxa" w:w="110"/>
            </w:tcMar>
          </w:tcPr>
          <w:p>
            <w:pPr>
              <w:spacing w:before="26" w:after="26"/>
            </w:pPr>
            <w:r>
              <w:rPr>
                <w:color w:val="232733"/>
                <w:sz w:val="16"/>
                <w:szCs w:val="16"/>
              </w:rPr>
              <w:t xml:space="preserve">—</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Downstream unrealized profit (30% unsold)</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60,000 from inventory and profit</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tcMar>
              <w:top w:type="dxa" w:w="50"/>
              <w:left w:type="dxa" w:w="110"/>
              <w:bottom w:type="dxa" w:w="50"/>
              <w:right w:type="dxa" w:w="110"/>
            </w:tcMar>
          </w:tcPr>
          <w:p>
            <w:pPr>
              <w:spacing w:before="26" w:after="26"/>
            </w:pPr>
            <w:r>
              <w:rPr>
                <w:color w:val="232733"/>
                <w:sz w:val="16"/>
                <w:szCs w:val="16"/>
              </w:rPr>
              <w:t xml:space="preserve">Upstream unrealized profit (40% unsold)</w:t>
            </w:r>
          </w:p>
        </w:tc>
        <w:tc>
          <w:tcPr>
            <w:tcW w:type="pct" w:w="1465"/>
            <w:tcMar>
              <w:top w:type="dxa" w:w="50"/>
              <w:left w:type="dxa" w:w="110"/>
              <w:bottom w:type="dxa" w:w="50"/>
              <w:right w:type="dxa" w:w="110"/>
            </w:tcMar>
          </w:tcPr>
          <w:p>
            <w:pPr>
              <w:spacing w:before="26" w:after="26"/>
            </w:pPr>
            <w:r>
              <w:rPr>
                <w:color w:val="232733"/>
                <w:sz w:val="16"/>
                <w:szCs w:val="16"/>
              </w:rPr>
              <w:t xml:space="preserve">25,000 from inventory and profit</w:t>
            </w:r>
          </w:p>
        </w:tc>
        <w:tc>
          <w:tcPr>
            <w:tcW w:type="pct" w:w="1429"/>
            <w:tcMar>
              <w:top w:type="dxa" w:w="50"/>
              <w:left w:type="dxa" w:w="110"/>
              <w:bottom w:type="dxa" w:w="50"/>
              <w:right w:type="dxa" w:w="110"/>
            </w:tcMar>
          </w:tcPr>
          <w:p>
            <w:pPr>
              <w:spacing w:before="26" w:after="26"/>
            </w:pPr>
            <w:r>
              <w:rPr>
                <w:color w:val="232733"/>
                <w:sz w:val="16"/>
                <w:szCs w:val="16"/>
              </w:rPr>
              <w:t xml:space="preserve">Inventory at the group's cost</w:t>
            </w:r>
          </w:p>
        </w:tc>
        <w:tc>
          <w:tcPr>
            <w:tcW w:type="pct" w:w="656"/>
            <w:tcMar>
              <w:top w:type="dxa" w:w="50"/>
              <w:left w:type="dxa" w:w="110"/>
              <w:bottom w:type="dxa" w:w="50"/>
              <w:right w:type="dxa" w:w="110"/>
            </w:tcMar>
          </w:tcPr>
          <w:p>
            <w:pPr>
              <w:spacing w:before="26" w:after="26"/>
            </w:pPr>
            <w:r>
              <w:rPr>
                <w:color w:val="232733"/>
                <w:sz w:val="16"/>
                <w:szCs w:val="16"/>
              </w:rPr>
              <w:t xml:space="preserve">Orontes 20,000, NCI 5,000</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Intercompany receivable and payable</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120,000 from both</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The group cannot owe itself</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Truck sold for 90,000 (carrying 60,000)</w:t>
            </w:r>
          </w:p>
        </w:tc>
        <w:tc>
          <w:tcPr>
            <w:tcW w:type="pct" w:w="1465"/>
            <w:tcMar>
              <w:top w:type="dxa" w:w="50"/>
              <w:left w:type="dxa" w:w="110"/>
              <w:bottom w:type="dxa" w:w="50"/>
              <w:right w:type="dxa" w:w="110"/>
            </w:tcMar>
          </w:tcPr>
          <w:p>
            <w:pPr>
              <w:spacing w:before="26" w:after="26"/>
            </w:pPr>
            <w:r>
              <w:rPr>
                <w:color w:val="232733"/>
                <w:sz w:val="16"/>
                <w:szCs w:val="16"/>
              </w:rPr>
              <w:t xml:space="preserve">Gain 30,000; extra depreciation 6,000 a year</w:t>
            </w:r>
          </w:p>
        </w:tc>
        <w:tc>
          <w:tcPr>
            <w:tcW w:type="pct" w:w="1429"/>
            <w:tcMar>
              <w:top w:type="dxa" w:w="50"/>
              <w:left w:type="dxa" w:w="110"/>
              <w:bottom w:type="dxa" w:w="50"/>
              <w:right w:type="dxa" w:w="110"/>
            </w:tcMar>
          </w:tcPr>
          <w:p>
            <w:pPr>
              <w:spacing w:before="26" w:after="26"/>
            </w:pPr>
            <w:r>
              <w:rPr>
                <w:color w:val="232733"/>
                <w:sz w:val="16"/>
                <w:szCs w:val="16"/>
              </w:rPr>
              <w:t xml:space="preserve">Truck back to its original cost basis</w:t>
            </w:r>
          </w:p>
        </w:tc>
        <w:tc>
          <w:tcPr>
            <w:tcW w:type="pct" w:w="656"/>
            <w:tcMar>
              <w:top w:type="dxa" w:w="50"/>
              <w:left w:type="dxa" w:w="110"/>
              <w:bottom w:type="dxa" w:w="50"/>
              <w:right w:type="dxa" w:w="110"/>
            </w:tcMar>
          </w:tcPr>
          <w:p>
            <w:pPr>
              <w:spacing w:before="26" w:after="26"/>
            </w:pPr>
            <w:r>
              <w:rPr>
                <w:color w:val="232733"/>
                <w:sz w:val="16"/>
                <w:szCs w:val="16"/>
              </w:rPr>
              <w:t xml:space="preserve">Orontes</w:t>
            </w:r>
          </w:p>
        </w:tc>
      </w:tr>
      <w:tr>
        <w:tc>
          <w:tcPr>
            <w:tcW w:type="pct" w:w="1449"/>
            <w:shd w:fill="FBFAF6" w:val="clear"/>
            <w:tcMar>
              <w:top w:type="dxa" w:w="50"/>
              <w:left w:type="dxa" w:w="110"/>
              <w:bottom w:type="dxa" w:w="50"/>
              <w:right w:type="dxa" w:w="110"/>
            </w:tcMar>
          </w:tcPr>
          <w:p>
            <w:pPr>
              <w:spacing w:before="26" w:after="26"/>
            </w:pPr>
            <w:r>
              <w:rPr>
                <w:color w:val="232733"/>
                <w:sz w:val="16"/>
                <w:szCs w:val="16"/>
              </w:rPr>
              <w:t xml:space="preserve">Loan of 1,000,000 at 6%</w:t>
            </w:r>
          </w:p>
        </w:tc>
        <w:tc>
          <w:tcPr>
            <w:tcW w:type="pct" w:w="1465"/>
            <w:shd w:fill="FBFAF6" w:val="clear"/>
            <w:tcMar>
              <w:top w:type="dxa" w:w="50"/>
              <w:left w:type="dxa" w:w="110"/>
              <w:bottom w:type="dxa" w:w="50"/>
              <w:right w:type="dxa" w:w="110"/>
            </w:tcMar>
          </w:tcPr>
          <w:p>
            <w:pPr>
              <w:spacing w:before="26" w:after="26"/>
            </w:pPr>
            <w:r>
              <w:rPr>
                <w:color w:val="232733"/>
                <w:sz w:val="16"/>
                <w:szCs w:val="16"/>
              </w:rPr>
              <w:t xml:space="preserve">Loan and interest of 60,000</w:t>
            </w:r>
          </w:p>
        </w:tc>
        <w:tc>
          <w:tcPr>
            <w:tcW w:type="pct" w:w="1429"/>
            <w:shd w:fill="FBFAF6" w:val="clear"/>
            <w:tcMar>
              <w:top w:type="dxa" w:w="50"/>
              <w:left w:type="dxa" w:w="110"/>
              <w:bottom w:type="dxa" w:w="50"/>
              <w:right w:type="dxa" w:w="110"/>
            </w:tcMar>
          </w:tcPr>
          <w:p>
            <w:pPr>
              <w:spacing w:before="26" w:after="26"/>
            </w:pPr>
            <w:r>
              <w:rPr>
                <w:color w:val="232733"/>
                <w:sz w:val="16"/>
                <w:szCs w:val="16"/>
              </w:rPr>
              <w:t xml:space="preserve">No debt or interest inside the group</w:t>
            </w:r>
          </w:p>
        </w:tc>
        <w:tc>
          <w:tcPr>
            <w:tcW w:type="pct" w:w="656"/>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1449"/>
            <w:tcMar>
              <w:top w:type="dxa" w:w="50"/>
              <w:left w:type="dxa" w:w="110"/>
              <w:bottom w:type="dxa" w:w="50"/>
              <w:right w:type="dxa" w:w="110"/>
            </w:tcMar>
          </w:tcPr>
          <w:p>
            <w:pPr>
              <w:spacing w:before="26" w:after="26"/>
            </w:pPr>
            <w:r>
              <w:rPr>
                <w:color w:val="232733"/>
                <w:sz w:val="16"/>
                <w:szCs w:val="16"/>
              </w:rPr>
              <w:t xml:space="preserve">Dividend of 100,000</w:t>
            </w:r>
          </w:p>
        </w:tc>
        <w:tc>
          <w:tcPr>
            <w:tcW w:type="pct" w:w="1465"/>
            <w:tcMar>
              <w:top w:type="dxa" w:w="50"/>
              <w:left w:type="dxa" w:w="110"/>
              <w:bottom w:type="dxa" w:w="50"/>
              <w:right w:type="dxa" w:w="110"/>
            </w:tcMar>
          </w:tcPr>
          <w:p>
            <w:pPr>
              <w:spacing w:before="26" w:after="26"/>
            </w:pPr>
            <w:r>
              <w:rPr>
                <w:color w:val="232733"/>
                <w:sz w:val="16"/>
                <w:szCs w:val="16"/>
              </w:rPr>
              <w:t xml:space="preserve">Orontes's dividend income 80,000</w:t>
            </w:r>
          </w:p>
        </w:tc>
        <w:tc>
          <w:tcPr>
            <w:tcW w:type="pct" w:w="1429"/>
            <w:tcMar>
              <w:top w:type="dxa" w:w="50"/>
              <w:left w:type="dxa" w:w="110"/>
              <w:bottom w:type="dxa" w:w="50"/>
              <w:right w:type="dxa" w:w="110"/>
            </w:tcMar>
          </w:tcPr>
          <w:p>
            <w:pPr>
              <w:spacing w:before="26" w:after="26"/>
            </w:pPr>
            <w:r>
              <w:rPr>
                <w:color w:val="232733"/>
                <w:sz w:val="16"/>
                <w:szCs w:val="16"/>
              </w:rPr>
              <w:t xml:space="preserve">NCI falls by 20,000</w:t>
            </w:r>
          </w:p>
        </w:tc>
        <w:tc>
          <w:tcPr>
            <w:tcW w:type="pct" w:w="656"/>
            <w:tcMar>
              <w:top w:type="dxa" w:w="50"/>
              <w:left w:type="dxa" w:w="110"/>
              <w:bottom w:type="dxa" w:w="50"/>
              <w:right w:type="dxa" w:w="110"/>
            </w:tcMar>
          </w:tcPr>
          <w:p>
            <w:pPr>
              <w:spacing w:before="26" w:after="26"/>
            </w:pPr>
            <w:r>
              <w:rPr>
                <w:color w:val="232733"/>
                <w:sz w:val="16"/>
                <w:szCs w:val="16"/>
              </w:rPr>
              <w:t xml:space="preserve">NCI</w:t>
            </w:r>
          </w:p>
        </w:tc>
      </w:tr>
    </w:tbl>
    <w:p/>
    <w:p>
      <w:pPr>
        <w:spacing w:before="40" w:after="16"/>
        <w:ind w:left="300" w:hanging="300"/>
      </w:pPr>
      <w:r>
        <w:rPr>
          <w:b/>
          <w:bCs/>
          <w:color w:val="353A7C"/>
          <w:sz w:val="19"/>
          <w:szCs w:val="19"/>
        </w:rPr>
        <w:t xml:space="preserve">17.  </w:t>
      </w:r>
      <w:r>
        <w:rPr>
          <w:sz w:val="19"/>
          <w:szCs w:val="19"/>
        </w:rPr>
        <w:t xml:space="preserve">The extract for this question is printed with it. How much downstream unrealized profit does Orontes eliminate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48,000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A company holds 60% of the votes, but a 40% owner must approve the annual budget and key hires. Under the voting model:</w:t>
            </w:r>
          </w:p>
          <w:p>
            <w:pPr>
              <w:spacing w:after="16"/>
              <w:ind w:left="500" w:hanging="200"/>
            </w:pPr>
            <w:r>
              <w:rPr>
                <w:b/>
                <w:bCs/>
                <w:color w:val="8186EF"/>
                <w:sz w:val="18"/>
                <w:szCs w:val="18"/>
              </w:rPr>
              <w:t xml:space="preserve">A. </w:t>
            </w:r>
            <w:r>
              <w:rPr>
                <w:sz w:val="18"/>
                <w:szCs w:val="18"/>
              </w:rPr>
              <w:t xml:space="preserve">the 60% holder controls</w:t>
            </w:r>
          </w:p>
          <w:p>
            <w:pPr>
              <w:spacing w:after="16"/>
              <w:ind w:left="500" w:hanging="200"/>
            </w:pPr>
            <w:r>
              <w:rPr>
                <w:b/>
                <w:bCs/>
                <w:color w:val="8186EF"/>
                <w:sz w:val="18"/>
                <w:szCs w:val="18"/>
              </w:rPr>
              <w:t xml:space="preserve">B. </w:t>
            </w:r>
            <w:r>
              <w:rPr>
                <w:sz w:val="18"/>
                <w:szCs w:val="18"/>
              </w:rPr>
              <w:t xml:space="preserve">the 40% owner controls</w:t>
            </w:r>
          </w:p>
          <w:p>
            <w:pPr>
              <w:spacing w:after="16"/>
              <w:ind w:left="500" w:hanging="200"/>
            </w:pPr>
            <w:r>
              <w:rPr>
                <w:b/>
                <w:bCs/>
                <w:color w:val="8186EF"/>
                <w:sz w:val="18"/>
                <w:szCs w:val="18"/>
              </w:rPr>
              <w:t xml:space="preserve">C. </w:t>
            </w:r>
            <w:r>
              <w:rPr>
                <w:sz w:val="18"/>
                <w:szCs w:val="18"/>
              </w:rPr>
              <w:t xml:space="preserve">both consolidate</w:t>
            </w:r>
          </w:p>
          <w:p>
            <w:pPr>
              <w:spacing w:after="16"/>
              <w:ind w:left="500" w:hanging="200"/>
            </w:pPr>
            <w:r>
              <w:rPr>
                <w:b/>
                <w:bCs/>
                <w:color w:val="8186EF"/>
                <w:sz w:val="18"/>
                <w:szCs w:val="18"/>
              </w:rPr>
              <w:t xml:space="preserve">D. </w:t>
            </w:r>
            <w:r>
              <w:rPr>
                <w:sz w:val="18"/>
                <w:szCs w:val="18"/>
              </w:rPr>
              <w:t xml:space="preserve">the 60% holder does not have control, because the other owner has substantive participating rights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C16-1</w:t>
            </w:r>
          </w:p>
        </w:tc>
        <w:tc>
          <w:tcPr>
            <w:tcW w:type="pct" w:w="2939"/>
            <w:tcMar>
              <w:top w:type="dxa" w:w="50"/>
              <w:left w:type="dxa" w:w="110"/>
              <w:bottom w:type="dxa" w:w="50"/>
              <w:right w:type="dxa" w:w="110"/>
            </w:tcMar>
          </w:tcPr>
          <w:p>
            <w:pPr>
              <w:spacing w:before="26" w:after="26"/>
            </w:pPr>
            <w:r>
              <w:rPr>
                <w:color w:val="232733"/>
                <w:sz w:val="16"/>
                <w:szCs w:val="16"/>
              </w:rPr>
              <w:t xml:space="preserve">Choose the method for each investment.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C16-2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goodwill Barada recognizes on January 1, 2028.</w:t>
            </w:r>
          </w:p>
        </w:tc>
      </w:tr>
      <w:tr>
        <w:tc>
          <w:tcPr>
            <w:tcW w:type="pct" w:w="2061"/>
            <w:tcMar>
              <w:top w:type="dxa" w:w="50"/>
              <w:left w:type="dxa" w:w="110"/>
              <w:bottom w:type="dxa" w:w="50"/>
              <w:right w:type="dxa" w:w="110"/>
            </w:tcMar>
          </w:tcPr>
          <w:p>
            <w:pPr>
              <w:spacing w:before="26" w:after="26"/>
            </w:pPr>
            <w:r>
              <w:rPr>
                <w:color w:val="232733"/>
                <w:sz w:val="16"/>
                <w:szCs w:val="16"/>
              </w:rPr>
              <w:t xml:space="preserve">C16-3</w:t>
            </w:r>
          </w:p>
        </w:tc>
        <w:tc>
          <w:tcPr>
            <w:tcW w:type="pct" w:w="2939"/>
            <w:tcMar>
              <w:top w:type="dxa" w:w="50"/>
              <w:left w:type="dxa" w:w="110"/>
              <w:bottom w:type="dxa" w:w="50"/>
              <w:right w:type="dxa" w:w="110"/>
            </w:tcMar>
          </w:tcPr>
          <w:p>
            <w:pPr>
              <w:spacing w:before="26" w:after="26"/>
            </w:pPr>
            <w:r>
              <w:rPr>
                <w:color w:val="232733"/>
                <w:sz w:val="16"/>
                <w:szCs w:val="16"/>
              </w:rPr>
              <w:t xml:space="preserve">Enter the total unrealized profit eliminated from inventory at December 31, 2028.</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C16-4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2028 net income attributable to NCI.</w:t>
            </w:r>
          </w:p>
        </w:tc>
      </w:tr>
      <w:tr>
        <w:tc>
          <w:tcPr>
            <w:tcW w:type="pct" w:w="2061"/>
            <w:tcMar>
              <w:top w:type="dxa" w:w="50"/>
              <w:left w:type="dxa" w:w="110"/>
              <w:bottom w:type="dxa" w:w="50"/>
              <w:right w:type="dxa" w:w="110"/>
            </w:tcMar>
          </w:tcPr>
          <w:p>
            <w:pPr>
              <w:spacing w:before="26" w:after="26"/>
            </w:pPr>
            <w:r>
              <w:rPr>
                <w:color w:val="232733"/>
                <w:sz w:val="16"/>
                <w:szCs w:val="16"/>
              </w:rPr>
              <w:t xml:space="preserve">C16-5</w:t>
            </w:r>
          </w:p>
        </w:tc>
        <w:tc>
          <w:tcPr>
            <w:tcW w:type="pct" w:w="2939"/>
            <w:tcMar>
              <w:top w:type="dxa" w:w="50"/>
              <w:left w:type="dxa" w:w="110"/>
              <w:bottom w:type="dxa" w:w="50"/>
              <w:right w:type="dxa" w:w="110"/>
            </w:tcMar>
          </w:tcPr>
          <w:p>
            <w:pPr>
              <w:spacing w:before="26" w:after="26"/>
            </w:pPr>
            <w:r>
              <w:rPr>
                <w:color w:val="232733"/>
                <w:sz w:val="16"/>
                <w:szCs w:val="16"/>
              </w:rPr>
              <w:t xml:space="preserve">Enter NCI at December 31, 2028.</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C16-6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How is the amount Tadmor owes Barada treated in consolidation?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20.  </w:t>
      </w:r>
      <w:r>
        <w:rPr>
          <w:sz w:val="18"/>
          <w:szCs w:val="18"/>
        </w:rPr>
        <w:t xml:space="preserve">How is the amount Tadmor owes Barada treated in consolidation?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Choose the method for each investment. (On the exam screen you would drag each item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Enter the total unrealized profit eliminated from inventory at December 31, 2028.</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the 2028 net income attributable to NCI.</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Enter NCI at December 31, 2028.</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Enter the goodwill Barada recognizes on January 1, 2028.</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An IFRS company measures NCI at its share of the subsidiary's net assets. For Levant, goodwill would be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1,700,000</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chapter map. Write every section in order and what each one settles.</w:t>
      </w:r>
    </w:p>
    <w:p>
      <w:pPr>
        <w:spacing w:after="40" w:before="90"/>
        <w:jc w:val="center"/>
      </w:pPr>
      <w:r>
        <w:drawing>
          <wp:inline distT="0" distB="0" distL="0" distR="0">
            <wp:extent cx="5734050" cy="458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45872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consolidated financial statements  ·  parent  ·  subsidiary  ·  variable interest entity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16.7 · The whole chapter</w:t>
          </w:r>
        </w:p>
      </w:tc>
      <w:tc>
        <w:tcPr>
          <w:tcW w:type="pct" w:w="1400"/>
          <w:tcMar>
            <w:top w:type="dxa" w:w="-30"/>
            <w:left w:type="dxa" w:w="30"/>
            <w:bottom w:type="dxa" w:w="-30"/>
            <w:right w:type="dxa" w:w="30"/>
          </w:tcMar>
        </w:tcPr>
        <w:p>
          <w:pPr>
            <w:jc w:val="right"/>
          </w:pPr>
          <w:r>
            <w:rPr>
              <w:color w:val="6B7280"/>
              <w:sz w:val="16"/>
              <w:szCs w:val="16"/>
            </w:rPr>
            <w:t xml:space="preserve">Handout 16.7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226110e03c76c97c2f7a0639963323bad9fe4fd.png" Type="http://schemas.openxmlformats.org/officeDocument/2006/relationships/image"/><Relationship Id="rId102" Target="media/b04455edca526a92e5274e329474c19f0c03b4e1.png" Type="http://schemas.openxmlformats.org/officeDocument/2006/relationships/image"/><Relationship Id="rId103" Target="media/351556bb82ecb003670407d1348a1e6dcfbcf8c4.png" Type="http://schemas.openxmlformats.org/officeDocument/2006/relationships/image"/><Relationship Id="rId104" Target="media/d737f248049239d61aff9e21928d70c5c23d962d.png" Type="http://schemas.openxmlformats.org/officeDocument/2006/relationships/image"/><Relationship Id="rId105" Target="media/e3283f8d924c4194ac12150967bd3e5151ef6727.png" Type="http://schemas.openxmlformats.org/officeDocument/2006/relationships/image"/><Relationship Id="rId106" Target="media/7e90d618b5a16f50c5ebb2cab0e509591b7e3d71.png" Type="http://schemas.openxmlformats.org/officeDocument/2006/relationships/image"/><Relationship Id="rId107" Target="media/b1f4b513dfd359fe2e6378240144e23f33cd4108.png" Type="http://schemas.openxmlformats.org/officeDocument/2006/relationships/image"/><Relationship Id="rId108" Target="media/d82dfd0e74856d989511aa666f52b95d80c8981b.png" Type="http://schemas.openxmlformats.org/officeDocument/2006/relationships/image"/><Relationship Id="rId109" Target="media/6b24c604c4a6146569b4d66c884c21fee99407ed.png" Type="http://schemas.openxmlformats.org/officeDocument/2006/relationships/image"/><Relationship Id="rId110" Target="media/1815f95f2cfbfa1ce051a839fdd4dd9256fa8e05.png" Type="http://schemas.openxmlformats.org/officeDocument/2006/relationships/image"/><Relationship Id="rId111" Target="media/4b6d59597f729b649d191c6ec6fab8d6dbbe51fc.png" Type="http://schemas.openxmlformats.org/officeDocument/2006/relationships/image"/><Relationship Id="rId112" Target="media/a7568d07df57e308520ce4c08260b7deeacfd4de.png" Type="http://schemas.openxmlformats.org/officeDocument/2006/relationships/image"/><Relationship Id="rId113" Target="media/0a522fed4352bef8bee084346c772024de2fd596.png" Type="http://schemas.openxmlformats.org/officeDocument/2006/relationships/image"/><Relationship Id="rId114" Target="media/ad9f03a3ced530de6d2fd55de46ff524b742ee13.png" Type="http://schemas.openxmlformats.org/officeDocument/2006/relationships/image"/><Relationship Id="rId115" Target="media/247c920b5ba37ad10e11b25961213560d8527834.png" Type="http://schemas.openxmlformats.org/officeDocument/2006/relationships/image"/><Relationship Id="rId116" Target="media/d78f3310f06f8634cb01fd768ae2ae1c0ac4121f.png" Type="http://schemas.openxmlformats.org/officeDocument/2006/relationships/image"/><Relationship Id="rId117" Target="media/689cd1e7e2be0df711743e06d711f4300c306a8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Consolidated Financial Statements</dc:subject>
  <cp:category>Student Book</cp:category>
</cp:coreProperties>
</file>