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17.1 · (i) Share-based payments and employee benefits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graded vesting · straight-line · conditions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forfeitures · recognized · obligation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defined benefit plan · remeasurements · prior service cost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defined benefit plan · remeasurements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For a defined benefit plan, both frameworks put remeasurements in OCI.</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share awards that vest in parts, or graded vesting, U.S. GAAP lets a company recognize the cost straight-line over the whole period or tranche by tranche, when the awards have only service conditions. IFRS 2 requires tranche by tranche, which puts more expense in the early years.”</w:t>
      </w:r>
    </w:p>
    <w:p>
      <w:pPr>
        <w:spacing w:after="18"/>
        <w:ind w:left="300" w:hanging="300"/>
      </w:pPr>
      <w:r>
        <w:rPr>
          <w:b/>
          <w:bCs/>
          <w:color w:val="8186EF"/>
          <w:sz w:val="16"/>
          <w:szCs w:val="16"/>
        </w:rPr>
        <w:t xml:space="preserve">2  </w:t>
      </w:r>
      <w:r>
        <w:rPr>
          <w:sz w:val="16"/>
          <w:szCs w:val="16"/>
        </w:rPr>
        <w:t xml:space="preserve">The book writes: “U.S. GAAP also allows a policy choice to record forfeitures as they occur; IFRS 2 requires an estimate. Employer payroll taxes on share awards are recognized when the tax obligation arises under U.S. GAAP, but accrued over the vesting period under IFRS.”</w:t>
      </w:r>
    </w:p>
    <w:p>
      <w:pPr>
        <w:spacing w:after="18"/>
        <w:ind w:left="300" w:hanging="300"/>
      </w:pPr>
      <w:r>
        <w:rPr>
          <w:b/>
          <w:bCs/>
          <w:color w:val="8186EF"/>
          <w:sz w:val="16"/>
          <w:szCs w:val="16"/>
        </w:rPr>
        <w:t xml:space="preserve">3  </w:t>
      </w:r>
      <w:r>
        <w:rPr>
          <w:sz w:val="16"/>
          <w:szCs w:val="16"/>
        </w:rPr>
        <w:t xml:space="preserve">The book writes: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Graded vesting (service condition) with “Choice: straight-line over the whole period or tranche by tranche”.</w:t>
      </w:r>
    </w:p>
    <w:p>
      <w:pPr>
        <w:spacing w:after="18"/>
        <w:ind w:left="300" w:hanging="300"/>
      </w:pPr>
      <w:r>
        <w:rPr>
          <w:b/>
          <w:bCs/>
          <w:color w:val="8186EF"/>
          <w:sz w:val="16"/>
          <w:szCs w:val="16"/>
        </w:rPr>
        <w:t xml:space="preserve">7  </w:t>
      </w:r>
      <w:r>
        <w:rPr>
          <w:sz w:val="16"/>
          <w:szCs w:val="16"/>
        </w:rPr>
        <w:t xml:space="preserve">The book gives Tranche by tranche as the ifrs (ifrs 2, ias 19) of Graded vesting (service condition).</w:t>
      </w:r>
    </w:p>
    <w:p>
      <w:pPr>
        <w:spacing w:after="18"/>
        <w:ind w:left="300" w:hanging="300"/>
      </w:pPr>
      <w:r>
        <w:rPr>
          <w:b/>
          <w:bCs/>
          <w:color w:val="8186EF"/>
          <w:sz w:val="16"/>
          <w:szCs w:val="16"/>
        </w:rPr>
        <w:t xml:space="preserve">8  </w:t>
      </w:r>
      <w:r>
        <w:rPr>
          <w:sz w:val="16"/>
          <w:szCs w:val="16"/>
        </w:rPr>
        <w:t xml:space="preserve">Public companies test goodwill for impairment only. A is wrong: The alternative is for private companies only. B is wrong: Goodwill amortization for public companies ended in 2001.</w:t>
      </w:r>
    </w:p>
    <w:p>
      <w:pPr>
        <w:spacing w:after="18"/>
        <w:ind w:left="300" w:hanging="300"/>
      </w:pPr>
      <w:r>
        <w:rPr>
          <w:b/>
          <w:bCs/>
          <w:color w:val="8186EF"/>
          <w:sz w:val="16"/>
          <w:szCs w:val="16"/>
        </w:rPr>
        <w:t xml:space="preserve">9  </w:t>
      </w:r>
      <w:r>
        <w:rPr>
          <w:sz w:val="16"/>
          <w:szCs w:val="16"/>
        </w:rPr>
        <w:t xml:space="preserve">IAS 19 remeasurements stay in equity. A is wrong: Amortization is the U.S. GAAP approach. B is wrong: They are not recycled.</w:t>
      </w:r>
    </w:p>
    <w:p>
      <w:pPr>
        <w:spacing w:after="18"/>
        <w:ind w:left="300" w:hanging="300"/>
      </w:pPr>
      <w:r>
        <w:rPr>
          <w:b/>
          <w:bCs/>
          <w:color w:val="8186EF"/>
          <w:sz w:val="16"/>
          <w:szCs w:val="16"/>
        </w:rPr>
        <w:t xml:space="preserve">10  </w:t>
      </w:r>
      <w:r>
        <w:rPr>
          <w:sz w:val="16"/>
          <w:szCs w:val="16"/>
        </w:rPr>
        <w:t xml:space="preserve">U.S. GAAP uses expected return; IAS 19 uses net interest. A is wrong: This is the IAS 19 net interest approach. B is wrong: The difference from actual return goes to OCI.</w:t>
      </w:r>
    </w:p>
    <w:p>
      <w:pPr>
        <w:spacing w:after="18"/>
        <w:ind w:left="300" w:hanging="300"/>
      </w:pPr>
      <w:r>
        <w:rPr>
          <w:b/>
          <w:bCs/>
          <w:color w:val="8186EF"/>
          <w:sz w:val="16"/>
          <w:szCs w:val="16"/>
        </w:rPr>
        <w:t xml:space="preserve">11  </w:t>
      </w:r>
      <w:r>
        <w:rPr>
          <w:sz w:val="16"/>
          <w:szCs w:val="16"/>
        </w:rPr>
        <w:t xml:space="preserve">Accruing over the vesting period is the IFRS approach. A is wrong: This is the IFRS treatment. C is wrong: No obligation exists at grant.</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book’s own table gives Lowers U.S. net income as the category of L1 Development costs.</w:t>
      </w:r>
    </w:p>
    <w:p>
      <w:pPr>
        <w:spacing w:after="18"/>
        <w:ind w:left="300" w:hanging="300"/>
      </w:pPr>
      <w:r>
        <w:rPr>
          <w:b/>
          <w:bCs/>
          <w:color w:val="8186EF"/>
          <w:sz w:val="16"/>
          <w:szCs w:val="16"/>
        </w:rPr>
        <w:t xml:space="preserve">15  </w:t>
      </w:r>
      <w:r>
        <w:rPr>
          <w:sz w:val="16"/>
          <w:szCs w:val="16"/>
        </w:rPr>
        <w:t xml:space="preserve">The book’s own table gives Lowers U.S. net income as the category of L2 Write-down reversal.</w:t>
      </w:r>
    </w:p>
    <w:p>
      <w:pPr>
        <w:spacing w:after="18"/>
        <w:ind w:left="300" w:hanging="300"/>
      </w:pPr>
      <w:r>
        <w:rPr>
          <w:b/>
          <w:bCs/>
          <w:color w:val="8186EF"/>
          <w:sz w:val="16"/>
          <w:szCs w:val="16"/>
        </w:rPr>
        <w:t xml:space="preserve">16  </w:t>
      </w:r>
      <w:r>
        <w:rPr>
          <w:sz w:val="16"/>
          <w:szCs w:val="16"/>
        </w:rPr>
        <w:t xml:space="preserve">The book’s own table gives No effect on net income as the category of L3 Land revaluation.</w:t>
      </w:r>
    </w:p>
    <w:p>
      <w:pPr>
        <w:spacing w:after="18"/>
        <w:ind w:left="300" w:hanging="300"/>
      </w:pPr>
      <w:r>
        <w:rPr>
          <w:b/>
          <w:bCs/>
          <w:color w:val="8186EF"/>
          <w:sz w:val="16"/>
          <w:szCs w:val="16"/>
        </w:rPr>
        <w:t xml:space="preserve">17  </w:t>
      </w:r>
      <w:r>
        <w:rPr>
          <w:sz w:val="16"/>
          <w:szCs w:val="16"/>
        </w:rPr>
        <w:t xml:space="preserve">Acquired intangibles are recognized under both. B is wrong: Neither framework recognizes internally generated brands. C is wrong: U.S. GAAP expenses development.</w:t>
      </w:r>
    </w:p>
    <w:p>
      <w:pPr>
        <w:spacing w:after="18"/>
        <w:ind w:left="300" w:hanging="300"/>
      </w:pPr>
      <w:r>
        <w:rPr>
          <w:b/>
          <w:bCs/>
          <w:color w:val="8186EF"/>
          <w:sz w:val="16"/>
          <w:szCs w:val="16"/>
        </w:rPr>
        <w:t xml:space="preserve">18  </w:t>
      </w:r>
      <w:r>
        <w:rPr>
          <w:sz w:val="16"/>
          <w:szCs w:val="16"/>
        </w:rPr>
        <w:t xml:space="preserve">The reversal is limited to the original write-down: back to cost. A is wrong: IFRS reverses write-downs. B is wrong: The full recovery up to cost is reversed.</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17.2 · (ii) Intangible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development · capitalizes · feasibility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revaluation model · intangibles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intangibles · internal-use · environmental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expenses research and development as incurred, with narrow exceptions for software. IAS 38 expenses research but capitalizes development once six criteria are met, such as technical feasibility, intention and ability to complete, and a way to generate future benefits.”</w:t>
      </w:r>
    </w:p>
    <w:p>
      <w:pPr>
        <w:spacing w:after="18"/>
        <w:ind w:left="300" w:hanging="300"/>
      </w:pPr>
      <w:r>
        <w:rPr>
          <w:b/>
          <w:bCs/>
          <w:color w:val="8186EF"/>
          <w:sz w:val="16"/>
          <w:szCs w:val="16"/>
        </w:rPr>
        <w:t xml:space="preserve">2  </w:t>
      </w:r>
      <w:r>
        <w:rPr>
          <w:sz w:val="16"/>
          <w:szCs w:val="16"/>
        </w:rPr>
        <w:t xml:space="preserve">The book writes: “Under U.S. GAAP the whole amount is an expense; under IFRS it is an intangible asset, amortized once the product is ready. IAS 38 also allows the revaluation model for intangibles, but only where an active market exists, which is rare.”</w:t>
      </w:r>
    </w:p>
    <w:p>
      <w:pPr>
        <w:spacing w:after="18"/>
        <w:ind w:left="300" w:hanging="300"/>
      </w:pPr>
      <w:r>
        <w:rPr>
          <w:b/>
          <w:bCs/>
          <w:color w:val="8186EF"/>
          <w:sz w:val="16"/>
          <w:szCs w:val="16"/>
        </w:rPr>
        <w:t xml:space="preserve">3  </w:t>
      </w:r>
      <w:r>
        <w:rPr>
          <w:sz w:val="16"/>
          <w:szCs w:val="16"/>
        </w:rPr>
        <w:t xml:space="preserve">The book writes: “U.S. GAAP never revalues intangibles upward. Both frameworks refuse to recognize internally generated brands. ASU 2025-06 simplifies when internal-use software costs are capitalized, and ASU 2026-02 creates new rules for environmental credits.”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Software developed for sale or internal use with “Capitalized only in limited stages (ASC 985-20, 350-40)”.</w:t>
      </w:r>
    </w:p>
    <w:p>
      <w:pPr>
        <w:spacing w:after="18"/>
        <w:ind w:left="300" w:hanging="300"/>
      </w:pPr>
      <w:r>
        <w:rPr>
          <w:b/>
          <w:bCs/>
          <w:color w:val="8186EF"/>
          <w:sz w:val="16"/>
          <w:szCs w:val="16"/>
        </w:rPr>
        <w:t xml:space="preserve">6  </w:t>
      </w:r>
      <w:r>
        <w:rPr>
          <w:sz w:val="16"/>
          <w:szCs w:val="16"/>
        </w:rPr>
        <w:t xml:space="preserve">LCM still applies to LIFO and the retail method. B is wrong: LCNRV applies to FIFO and average cost. C is wrong: Inventory is not at fair value.</w:t>
      </w:r>
    </w:p>
    <w:p>
      <w:pPr>
        <w:spacing w:after="18"/>
        <w:ind w:left="300" w:hanging="300"/>
      </w:pPr>
      <w:r>
        <w:rPr>
          <w:b/>
          <w:bCs/>
          <w:color w:val="8186EF"/>
          <w:sz w:val="16"/>
          <w:szCs w:val="16"/>
        </w:rPr>
        <w:t xml:space="preserve">7  </w:t>
      </w:r>
      <w:r>
        <w:rPr>
          <w:sz w:val="16"/>
          <w:szCs w:val="16"/>
        </w:rPr>
        <w:t xml:space="preserve">Only the timing differs. A is wrong: Totals are equal. C is wrong: Totals are equal.</w:t>
      </w:r>
    </w:p>
    <w:p>
      <w:pPr>
        <w:spacing w:after="18"/>
        <w:ind w:left="300" w:hanging="300"/>
      </w:pPr>
      <w:r>
        <w:rPr>
          <w:b/>
          <w:bCs/>
          <w:color w:val="8186EF"/>
          <w:sz w:val="16"/>
          <w:szCs w:val="16"/>
        </w:rPr>
        <w:t xml:space="preserve">8  </w:t>
      </w:r>
      <w:r>
        <w:rPr>
          <w:sz w:val="16"/>
          <w:szCs w:val="16"/>
        </w:rPr>
        <w:t xml:space="preserve">IAS 40 offers a fair value or cost model; U.S. GAAP has no such category. A is wrong: IFRS also allows fair value. B is wrong: Investment property fair value changes go to profit.</w:t>
      </w:r>
    </w:p>
    <w:p>
      <w:pPr>
        <w:spacing w:after="18"/>
        <w:ind w:left="300" w:hanging="300"/>
      </w:pPr>
      <w:r>
        <w:rPr>
          <w:b/>
          <w:bCs/>
          <w:color w:val="8186EF"/>
          <w:sz w:val="16"/>
          <w:szCs w:val="16"/>
        </w:rPr>
        <w:t xml:space="preserve">9  </w:t>
      </w:r>
      <w:r>
        <w:rPr>
          <w:sz w:val="16"/>
          <w:szCs w:val="16"/>
        </w:rPr>
        <w:t xml:space="preserve">Step 1 is the recoverability test. B is wrong: Value in use is an IFRS measure. C is wrong: Recoverable amount is an IFRS measure.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Recoverable amount is the higher amount, $460,000. A is wrong: IFRS has no undiscounted screen. C is wrong: This uses an average.</w:t>
      </w:r>
    </w:p>
    <w:p>
      <w:pPr>
        <w:spacing w:after="18"/>
        <w:ind w:left="300" w:hanging="300"/>
      </w:pPr>
      <w:r>
        <w:rPr>
          <w:b/>
          <w:bCs/>
          <w:color w:val="8186EF"/>
          <w:sz w:val="16"/>
          <w:szCs w:val="16"/>
        </w:rPr>
        <w:t xml:space="preserve">14  </w:t>
      </w:r>
      <w:r>
        <w:rPr>
          <w:sz w:val="16"/>
          <w:szCs w:val="16"/>
        </w:rPr>
        <w:t xml:space="preserve">IAS 36 prohibits reversal of goodwill impairment. A is wrong: Goodwill impairments are never reversed. B is wrong: No reversal is allowed for goodwill.</w:t>
      </w:r>
    </w:p>
    <w:p>
      <w:pPr>
        <w:spacing w:after="18"/>
        <w:ind w:left="300" w:hanging="300"/>
      </w:pPr>
      <w:r>
        <w:rPr>
          <w:b/>
          <w:bCs/>
          <w:color w:val="8186EF"/>
          <w:sz w:val="16"/>
          <w:szCs w:val="16"/>
        </w:rPr>
        <w:t xml:space="preserve">15  </w:t>
      </w:r>
      <w:r>
        <w:rPr>
          <w:sz w:val="16"/>
          <w:szCs w:val="16"/>
        </w:rPr>
        <w:t xml:space="preserve">This is the main intangibles difference. B is wrong: The treatments are reversed. C is wrong: Research is expensed under both.</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17.3 · (iii)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 statements · frameworks</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difference · recovers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write-down · inventory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IFRS does not allow LIFO. U.S. GAAP allows it, and companies that use LIFO for tax must also use it in their financial statements. Chapter 7 showed how LIFO changes cost of goods sold when prices rise.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allows it, and companies that use LIFO for tax must also use it in their financial statements. Chapter 7 showed how LIFO changes cost of goods sold when prices rise. Both frameworks write inventory down when its value falls below cost.”</w:t>
      </w:r>
    </w:p>
    <w:p>
      <w:pPr>
        <w:spacing w:after="18"/>
        <w:ind w:left="300" w:hanging="300"/>
      </w:pPr>
      <w:r>
        <w:rPr>
          <w:b/>
          <w:bCs/>
          <w:color w:val="8186EF"/>
          <w:sz w:val="16"/>
          <w:szCs w:val="16"/>
        </w:rPr>
        <w:t xml:space="preserve">2  </w:t>
      </w:r>
      <w:r>
        <w:rPr>
          <w:sz w:val="16"/>
          <w:szCs w:val="16"/>
        </w:rPr>
        <w:t xml:space="preserve">The book writes: “IAS 2 uses the lower of cost and NRV for all inventory. U.S. GAAP uses lower of cost and NRV for FIFO and average cost, but lower of cost or market for LIFO and the retail method. The key difference comes when value recovers.”</w:t>
      </w:r>
    </w:p>
    <w:p>
      <w:pPr>
        <w:spacing w:after="18"/>
        <w:ind w:left="300" w:hanging="300"/>
      </w:pPr>
      <w:r>
        <w:rPr>
          <w:b/>
          <w:bCs/>
          <w:color w:val="8186EF"/>
          <w:sz w:val="16"/>
          <w:szCs w:val="16"/>
        </w:rPr>
        <w:t xml:space="preserve">3  </w:t>
      </w:r>
      <w:r>
        <w:rPr>
          <w:sz w:val="16"/>
          <w:szCs w:val="16"/>
        </w:rPr>
        <w:t xml:space="preserve">The book writes: “IFRS reverses the write-down, but never above the original cost. French stocks means inventory, not shares. French dépréciation des stocks is a write-down, not depreciation. In U.S. terms, a write-down reduces the inventory itself; do not call it a provision or a reserve.”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“(ii) Intangible assets” as section 17.2.</w:t>
      </w:r>
    </w:p>
    <w:p>
      <w:pPr>
        <w:spacing w:after="18"/>
        <w:ind w:left="300" w:hanging="300"/>
      </w:pPr>
      <w:r>
        <w:rPr>
          <w:b/>
          <w:bCs/>
          <w:color w:val="8186EF"/>
          <w:sz w:val="16"/>
          <w:szCs w:val="16"/>
        </w:rPr>
        <w:t xml:space="preserve">6  </w:t>
      </w:r>
      <w:r>
        <w:rPr>
          <w:sz w:val="16"/>
          <w:szCs w:val="16"/>
        </w:rPr>
        <w:t xml:space="preserve">IFRS 16 remeasures for index changes; ASC 842 does not. A is wrong: This is the U.S. GAAP treatment. C is wrong: Classification is not affected.</w:t>
      </w:r>
    </w:p>
    <w:p>
      <w:pPr>
        <w:spacing w:after="18"/>
        <w:ind w:left="300" w:hanging="300"/>
      </w:pPr>
      <w:r>
        <w:rPr>
          <w:b/>
          <w:bCs/>
          <w:color w:val="8186EF"/>
          <w:sz w:val="16"/>
          <w:szCs w:val="16"/>
        </w:rPr>
        <w:t xml:space="preserve">7  </w:t>
      </w:r>
      <w:r>
        <w:rPr>
          <w:sz w:val="16"/>
          <w:szCs w:val="16"/>
        </w:rPr>
        <w:t xml:space="preserve">This is the main intangibles difference. B is wrong: The treatments are reversed. C is wrong: Research is expensed under both.</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10  </w:t>
      </w:r>
      <w:r>
        <w:rPr>
          <w:sz w:val="16"/>
          <w:szCs w:val="16"/>
        </w:rPr>
        <w:t xml:space="preserve">The term tables in each section are the book’s own.</w:t>
      </w:r>
    </w:p>
    <w:p>
      <w:pPr>
        <w:spacing w:after="18"/>
        <w:ind w:left="300" w:hanging="300"/>
      </w:pPr>
      <w:r>
        <w:rPr>
          <w:b/>
          <w:bCs/>
          <w:color w:val="8186EF"/>
          <w:sz w:val="16"/>
          <w:szCs w:val="16"/>
        </w:rPr>
        <w:t xml:space="preserve">11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12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17.4 · (iv) Leases: the lessee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right-of-use · straight-line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exemption · remeasures · classifies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Two: finance and operating · One straight-line lease cost: 100,000 · No exemption · Not remeasured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IFRS 16 has one lessee model: every lease is treated like a finance lease, with depreciation of the right-of-use asset plus interest. U.S. GAAP keeps two models, and an operating lease has one straight-line cost.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16 has one lessee model: every lease is treated like a finance lease, with depreciation of the right-of-use asset plus interest. U.S. GAAP keeps two models, and an operating lease has one straight-line cost.”</w:t>
      </w:r>
    </w:p>
    <w:p>
      <w:pPr>
        <w:spacing w:after="18"/>
        <w:ind w:left="300" w:hanging="300"/>
      </w:pPr>
      <w:r>
        <w:rPr>
          <w:b/>
          <w:bCs/>
          <w:color w:val="8186EF"/>
          <w:sz w:val="16"/>
          <w:szCs w:val="16"/>
        </w:rPr>
        <w:t xml:space="preserve">2  </w:t>
      </w:r>
      <w:r>
        <w:rPr>
          <w:sz w:val="16"/>
          <w:szCs w:val="16"/>
        </w:rPr>
        <w:t xml:space="preserve">The book writes: “Over the whole lease, total expense is the same. IFRS 16 also allows an exemption for low-value assets, remeasures the liability when an index such as CPI changes, and classifies lease principal as financing.”</w:t>
      </w:r>
    </w:p>
    <w:p>
      <w:pPr>
        <w:spacing w:after="18"/>
        <w:ind w:left="300" w:hanging="300"/>
      </w:pPr>
      <w:r>
        <w:rPr>
          <w:b/>
          <w:bCs/>
          <w:color w:val="8186EF"/>
          <w:sz w:val="16"/>
          <w:szCs w:val="16"/>
        </w:rPr>
        <w:t xml:space="preserve">3  </w:t>
      </w:r>
      <w:r>
        <w:rPr>
          <w:sz w:val="16"/>
          <w:szCs w:val="16"/>
        </w:rPr>
        <w:t xml:space="preserve">From the book’s own table “Topic”: The book’s own table “Topic” settles these: for Lessee models it is Two: finance and operating and for Warehouse lease, 2026 expense (Chapter 14) it is One straight-line lease cost: 100,000 and for Low-value assets it is No exemption and for Index-linked payments (CPI) it is Not remeasured.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Lessee models with “Two: finance and operating”.</w:t>
      </w:r>
    </w:p>
    <w:p>
      <w:pPr>
        <w:spacing w:after="18"/>
        <w:ind w:left="300" w:hanging="300"/>
      </w:pPr>
      <w:r>
        <w:rPr>
          <w:b/>
          <w:bCs/>
          <w:color w:val="8186EF"/>
          <w:sz w:val="16"/>
          <w:szCs w:val="16"/>
        </w:rPr>
        <w:t xml:space="preserve">6  </w:t>
      </w:r>
      <w:r>
        <w:rPr>
          <w:sz w:val="16"/>
          <w:szCs w:val="16"/>
        </w:rPr>
        <w:t xml:space="preserve">IAS 23 deducts investment income on specific borrowings. A is wrong: This is closer to the U.S. GAAP approach. B is wrong: Borrowing costs on qualifying assets are capitalized.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17.5 · (v) Long-lived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revaluation model · revaluation surplus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Orontes · revaluation model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component depreciation · construction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U.S. GAAP carries property, plant and equipment at cost less depreciation. IAS 16 also allows the revaluation model for a whole class of assets: the assets are carried at fair value, and increases go to a revaluation surplus in OCI.</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revaluation model · revaluation surplus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IAS 16 also allows the revaluation model for a whole class of assets: the assets are carried at fair value, and increases go to a revaluation surplus in OCI.</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carries property, plant and equipment at cost less depreciation. IAS 16 also allows the revaluation model for a whole class of assets: the assets are carried at fair value, and increases go to a revaluation surplus in OCI.”</w:t>
      </w:r>
    </w:p>
    <w:p>
      <w:pPr>
        <w:spacing w:after="18"/>
        <w:ind w:left="300" w:hanging="300"/>
      </w:pPr>
      <w:r>
        <w:rPr>
          <w:b/>
          <w:bCs/>
          <w:color w:val="8186EF"/>
          <w:sz w:val="16"/>
          <w:szCs w:val="16"/>
        </w:rPr>
        <w:t xml:space="preserve">2  </w:t>
      </w:r>
      <w:r>
        <w:rPr>
          <w:sz w:val="16"/>
          <w:szCs w:val="16"/>
        </w:rPr>
        <w:t xml:space="preserve">The book writes: “Under U.S. GAAP it stays at cost. Under IFRS, if Orontes chose the revaluation model, it would show the land at fair value and a surplus of $600,000 in OCI.”</w:t>
      </w:r>
    </w:p>
    <w:p>
      <w:pPr>
        <w:spacing w:after="18"/>
        <w:ind w:left="300" w:hanging="300"/>
      </w:pPr>
      <w:r>
        <w:rPr>
          <w:b/>
          <w:bCs/>
          <w:color w:val="8186EF"/>
          <w:sz w:val="16"/>
          <w:szCs w:val="16"/>
        </w:rPr>
        <w:t xml:space="preserve">3  </w:t>
      </w:r>
      <w:r>
        <w:rPr>
          <w:sz w:val="16"/>
          <w:szCs w:val="16"/>
        </w:rPr>
        <w:t xml:space="preserve">The book writes: “IFRS requires component depreciation for significant parts with different lives; U.S. GAAP allows but does not require it. Both frameworks capitalize borrowing costs on assets under construction, but IFRS deducts income earned on specific borrowings.”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Land in Amman: cost 2,000,000, fair value 2,600,000 with “Stays at 2,000,000”.</w:t>
      </w:r>
    </w:p>
    <w:p>
      <w:pPr>
        <w:spacing w:after="18"/>
        <w:ind w:left="300" w:hanging="300"/>
      </w:pPr>
      <w:r>
        <w:rPr>
          <w:b/>
          <w:bCs/>
          <w:color w:val="8186EF"/>
          <w:sz w:val="16"/>
          <w:szCs w:val="16"/>
        </w:rPr>
        <w:t xml:space="preserve">7  </w:t>
      </w:r>
      <w:r>
        <w:rPr>
          <w:sz w:val="16"/>
          <w:szCs w:val="16"/>
        </w:rPr>
        <w:t xml:space="preserve">The book gives Required for significant parts as the ifrs (ias 16, 23, 40) of Component depreciation.</w:t>
      </w:r>
    </w:p>
    <w:p>
      <w:pPr>
        <w:spacing w:after="18"/>
        <w:ind w:left="300" w:hanging="300"/>
      </w:pPr>
      <w:r>
        <w:rPr>
          <w:b/>
          <w:bCs/>
          <w:color w:val="8186EF"/>
          <w:sz w:val="16"/>
          <w:szCs w:val="16"/>
        </w:rPr>
        <w:t xml:space="preserve">8  </w:t>
      </w:r>
      <w:r>
        <w:rPr>
          <w:sz w:val="16"/>
          <w:szCs w:val="16"/>
        </w:rPr>
        <w:t xml:space="preserve">IAS 36 tests assets in cash-generating units. A is wrong: A reporting unit is the U.S. goodwill level. C is wrong: A disposal group is for assets held for sale.</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17.6 · (vi) Impairment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held-and-used · compares · undiscounted</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U.S. GAAP only: LIFO is permitted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cash-generating unit · recoverable amount · fair value less costs of disposal · value in use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________: Development costs are capitalized when criteria are met, Impairment is tested first with undiscounted cash flows, A short-term lease exemption exists, Prior service cost is expensed immediately</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recoverable amount · held-and-used</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IFRS only: Inventory write-downs are reversed when NRV recovers</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U.S. GAAP tests a held-and-used asset group in two steps. First, it compares the carrying amount with undiscounted future cash flows. Only if the carrying amount is higher does it measure a loss, equal to the carrying amount minus fair value.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GAAP tests a held-and-used asset group in two steps. First, it compares the carrying amount with undiscounted future cash flows.”</w:t>
      </w:r>
    </w:p>
    <w:p>
      <w:pPr>
        <w:spacing w:after="18"/>
        <w:ind w:left="300" w:hanging="300"/>
      </w:pPr>
      <w:r>
        <w:rPr>
          <w:b/>
          <w:bCs/>
          <w:color w:val="8186EF"/>
          <w:sz w:val="16"/>
          <w:szCs w:val="16"/>
        </w:rPr>
        <w:t xml:space="preserve">2  </w:t>
      </w:r>
      <w:r>
        <w:rPr>
          <w:sz w:val="16"/>
          <w:szCs w:val="16"/>
        </w:rPr>
        <w:t xml:space="preserve">The book writes: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w:t>
      </w:r>
    </w:p>
    <w:p>
      <w:pPr>
        <w:spacing w:after="18"/>
        <w:ind w:left="300" w:hanging="300"/>
      </w:pPr>
      <w:r>
        <w:rPr>
          <w:b/>
          <w:bCs/>
          <w:color w:val="8186EF"/>
          <w:sz w:val="16"/>
          <w:szCs w:val="16"/>
        </w:rPr>
        <w:t xml:space="preserve">3  </w:t>
      </w:r>
      <w:r>
        <w:rPr>
          <w:sz w:val="16"/>
          <w:szCs w:val="16"/>
        </w:rPr>
        <w:t xml:space="preserve">The book writes: “The frameworks also differ after the loss. IFRS reverses an impairment when the recoverable amount rises, but not for goodwill and not above the carrying amount without the loss. U.S. GAAP never reverses an impairment of a held-and-used asset or of goodwill.”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“(ii) Intangible assets” as section 17.2.</w:t>
      </w:r>
    </w:p>
    <w:p>
      <w:pPr>
        <w:spacing w:after="18"/>
        <w:ind w:left="300" w:hanging="300"/>
      </w:pPr>
      <w:r>
        <w:rPr>
          <w:b/>
          <w:bCs/>
          <w:color w:val="8186EF"/>
          <w:sz w:val="16"/>
          <w:szCs w:val="16"/>
        </w:rPr>
        <w:t xml:space="preserve">6  </w:t>
      </w:r>
      <w:r>
        <w:rPr>
          <w:sz w:val="16"/>
          <w:szCs w:val="16"/>
        </w:rPr>
        <w:t xml:space="preserve">Every rule on a Workshop sheet is settled by the model printed on the same sheet.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LIFO is permitted with “U.S. GAAP only”.</w:t>
      </w:r>
    </w:p>
    <w:p>
      <w:pPr>
        <w:spacing w:after="18"/>
        <w:ind w:left="300" w:hanging="300"/>
      </w:pPr>
      <w:r>
        <w:rPr>
          <w:b/>
          <w:bCs/>
          <w:color w:val="8186EF"/>
          <w:sz w:val="16"/>
          <w:szCs w:val="16"/>
        </w:rPr>
        <w:t xml:space="preserve">13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defined benefit plan · remeasurements · prior service cost · development costs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financial · statements · frameworks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cash-generating unit · recoverable amount · fair value less costs of disposal · value in use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17.1: (i) Share-based payments and employee benefits. 17.2: (ii) Intangible assets. 17.3: (iii) Inventories. 17.4: (iv) Leases: the lessee. 17.5: (v) Long-lived assets. 17.6: (vi) Impairment.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 The largest intangibles difference is development costs.”</w:t>
      </w:r>
    </w:p>
    <w:p>
      <w:pPr>
        <w:spacing w:after="18"/>
        <w:ind w:left="300" w:hanging="300"/>
      </w:pPr>
      <w:r>
        <w:rPr>
          <w:b/>
          <w:bCs/>
          <w:color w:val="8186EF"/>
          <w:sz w:val="16"/>
          <w:szCs w:val="16"/>
        </w:rPr>
        <w:t xml:space="preserve">2  </w:t>
      </w:r>
      <w:r>
        <w:rPr>
          <w:sz w:val="16"/>
          <w:szCs w:val="16"/>
        </w:rPr>
        <w:t xml:space="preserve">The book writes: “U.S. GAAP allows it, and companies that use LIFO for tax must also use it in their financial statements. Chapter 7 showed how LIFO changes cost of goods sold when prices rise. Both frameworks write inventory down when its value falls below cost.”</w:t>
      </w:r>
    </w:p>
    <w:p>
      <w:pPr>
        <w:spacing w:after="18"/>
        <w:ind w:left="300" w:hanging="300"/>
      </w:pPr>
      <w:r>
        <w:rPr>
          <w:b/>
          <w:bCs/>
          <w:color w:val="8186EF"/>
          <w:sz w:val="16"/>
          <w:szCs w:val="16"/>
        </w:rPr>
        <w:t xml:space="preserve">3  </w:t>
      </w:r>
      <w:r>
        <w:rPr>
          <w:sz w:val="16"/>
          <w:szCs w:val="16"/>
        </w:rPr>
        <w:t xml:space="preserve">The book writes: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11  </w:t>
      </w:r>
      <w:r>
        <w:rPr>
          <w:sz w:val="16"/>
          <w:szCs w:val="16"/>
        </w:rPr>
        <w:t xml:space="preserve">IAS 2 prohibits LIFO. B is wrong: The conformity rule is a U.S. tax rule; IFRS still prohibits LIFO. C is wrong: LIFO is prohibited for all inventory.</w:t>
      </w:r>
    </w:p>
    <w:p>
      <w:pPr>
        <w:spacing w:after="18"/>
        <w:ind w:left="300" w:hanging="300"/>
      </w:pPr>
      <w:r>
        <w:rPr>
          <w:b/>
          <w:bCs/>
          <w:color w:val="8186EF"/>
          <w:sz w:val="16"/>
          <w:szCs w:val="16"/>
        </w:rPr>
        <w:t xml:space="preserve">12  </w:t>
      </w:r>
      <w:r>
        <w:rPr>
          <w:sz w:val="16"/>
          <w:szCs w:val="16"/>
        </w:rPr>
        <w:t xml:space="preserve">Depreciation $84,247 + interest $25,274. A is wrong: Depreciation must be added. B is wrong: Interest must be added.</w:t>
      </w:r>
    </w:p>
    <w:p>
      <w:pPr>
        <w:spacing w:after="18"/>
        <w:ind w:left="300" w:hanging="300"/>
      </w:pPr>
      <w:r>
        <w:rPr>
          <w:b/>
          <w:bCs/>
          <w:color w:val="8186EF"/>
          <w:sz w:val="16"/>
          <w:szCs w:val="16"/>
        </w:rPr>
        <w:t xml:space="preserve">13  </w:t>
      </w:r>
      <w:r>
        <w:rPr>
          <w:sz w:val="16"/>
          <w:szCs w:val="16"/>
        </w:rPr>
        <w:t xml:space="preserve">Only IFRS 16 has the low-value exemption. A is wrong: Both frameworks have the short-term exemption. B is wrong: Both frameworks recognize ROU assets.</w:t>
      </w:r>
    </w:p>
    <w:p>
      <w:pPr>
        <w:spacing w:after="18"/>
        <w:ind w:left="300" w:hanging="300"/>
      </w:pPr>
      <w:r>
        <w:rPr>
          <w:b/>
          <w:bCs/>
          <w:color w:val="8186EF"/>
          <w:sz w:val="16"/>
          <w:szCs w:val="16"/>
        </w:rPr>
        <w:t xml:space="preserve">14  </w:t>
      </w:r>
      <w:r>
        <w:rPr>
          <w:sz w:val="16"/>
          <w:szCs w:val="16"/>
        </w:rPr>
        <w:t xml:space="preserve">Upward revaluations go to OCI under IAS 16. A is wrong: Revaluation gains are not in profit (unless reversing an earlier loss). B is wrong: This is the U.S. GAAP treatment.</w:t>
      </w:r>
    </w:p>
    <w:p>
      <w:pPr>
        <w:spacing w:after="18"/>
        <w:ind w:left="300" w:hanging="300"/>
      </w:pPr>
      <w:r>
        <w:rPr>
          <w:b/>
          <w:bCs/>
          <w:color w:val="8186EF"/>
          <w:sz w:val="16"/>
          <w:szCs w:val="16"/>
        </w:rPr>
        <w:t xml:space="preserve">15  </w:t>
      </w:r>
      <w:r>
        <w:rPr>
          <w:sz w:val="16"/>
          <w:szCs w:val="16"/>
        </w:rPr>
        <w:t xml:space="preserve">Component depreciation is required by IAS 16. B is wrong: The rule is reversed. C is wrong: Both allow it; IFRS requires it.</w:t>
      </w:r>
    </w:p>
    <w:p>
      <w:pPr>
        <w:spacing w:after="18"/>
        <w:ind w:left="300" w:hanging="300"/>
      </w:pPr>
      <w:r>
        <w:rPr>
          <w:b/>
          <w:bCs/>
          <w:color w:val="8186EF"/>
          <w:sz w:val="16"/>
          <w:szCs w:val="16"/>
        </w:rPr>
        <w:t xml:space="preserve">16  </w:t>
      </w:r>
      <w:r>
        <w:rPr>
          <w:sz w:val="16"/>
          <w:szCs w:val="16"/>
        </w:rPr>
        <w:t xml:space="preserve">IAS 19 expenses it at once; U.S. GAAP amortizes it from OCI. A is wrong: The treatments are reversed. B is wrong: U.S. GAAP does not expense it at once.</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23  </w:t>
      </w:r>
      <w:r>
        <w:rPr>
          <w:sz w:val="16"/>
          <w:szCs w:val="16"/>
        </w:rPr>
        <w:t xml:space="preserve">The graded-vesting choice exists only under U.S. GAAP. A is wrong: IFRS 2 does not allow straight-line for graded awards. C is wrong: The choice is reversed.</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 — answer keys</dc:title>
  <dc:subject>U.S. GAAP and IFRS: The Six Tested Differences</dc:subject>
  <cp:category>Student Book</cp:category>
</cp:coreProperties>
</file>