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package.core-properties+xml" PartName="/docProps/cor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body>
    <w:p>
      <w:pPr>
        <w:spacing w:after="20" w:before="60"/>
      </w:pPr>
      <w:r>
        <w:rPr>
          <w:b/>
          <w:bCs/>
          <w:color w:val="353A7C"/>
          <w:sz w:val="40"/>
          <w:szCs w:val="40"/>
        </w:rPr>
        <w:t xml:space="preserve">Handout 17.1</w:t>
      </w:r>
    </w:p>
    <w:p>
      <w:pPr>
        <w:spacing w:after="8"/>
      </w:pPr>
      <w:r>
        <w:rPr>
          <w:color w:val="23265A"/>
          <w:sz w:val="22"/>
          <w:szCs w:val="22"/>
        </w:rPr>
        <w:t xml:space="preserve">(i) Share-based payments and employee benefits</w:t>
      </w:r>
    </w:p>
    <w:p>
      <w:pPr>
        <w:spacing w:after="130"/>
      </w:pPr>
      <w:r>
        <w:rPr>
          <w:color w:val="6B7280"/>
          <w:sz w:val="20"/>
          <w:szCs w:val="20"/>
        </w:rPr>
        <w:t xml:space="preserve">section 17.1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301"/>
        <w:gridCol w:w="3667"/>
        <w:gridCol w:w="3632"/>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1199"/>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1910"/>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1891"/>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1199"/>
            <w:tcMar>
              <w:top w:type="dxa" w:w="50"/>
              <w:left w:type="dxa" w:w="110"/>
              <w:bottom w:type="dxa" w:w="50"/>
              <w:right w:type="dxa" w:w="110"/>
            </w:tcMar>
          </w:tcPr>
          <w:p>
            <w:pPr>
              <w:spacing w:before="26" w:after="26"/>
            </w:pPr>
            <w:r>
              <w:rPr>
                <w:color w:val="232733"/>
                <w:sz w:val="16"/>
                <w:szCs w:val="16"/>
              </w:rPr>
              <w:t xml:space="preserve">(i) Share-based payments and employee benefits</w:t>
            </w:r>
          </w:p>
        </w:tc>
        <w:tc>
          <w:tcPr>
            <w:tcW w:type="pct" w:w="1910"/>
            <w:tcMar>
              <w:top w:type="dxa" w:w="50"/>
              <w:left w:type="dxa" w:w="110"/>
              <w:bottom w:type="dxa" w:w="50"/>
              <w:right w:type="dxa" w:w="110"/>
            </w:tcMar>
          </w:tcPr>
          <w:p>
            <w:pPr>
              <w:spacing w:before="26" w:after="26"/>
            </w:pPr>
            <w:r>
              <w:rPr>
                <w:color w:val="232733"/>
                <w:sz w:val="16"/>
                <w:szCs w:val="16"/>
              </w:rPr>
              <w:t xml:space="preserve">a figure to read · Topic · the book’s own rule, gapped</w:t>
            </w:r>
          </w:p>
        </w:tc>
        <w:tc>
          <w:tcPr>
            <w:tcW w:type="pct" w:w="1891"/>
            <w:tcMar>
              <w:top w:type="dxa" w:w="50"/>
              <w:left w:type="dxa" w:w="110"/>
              <w:bottom w:type="dxa" w:w="50"/>
              <w:right w:type="dxa" w:w="110"/>
            </w:tcMar>
          </w:tcPr>
          <w:p>
            <w:pPr>
              <w:spacing w:before="26" w:after="26"/>
            </w:pPr>
            <w:r>
              <w:rPr>
                <w:color w:val="232733"/>
                <w:sz w:val="16"/>
                <w:szCs w:val="16"/>
              </w:rPr>
              <w:t xml:space="preserve">Which of these did this cycle settle?</w:t>
            </w:r>
          </w:p>
        </w:tc>
      </w:tr>
      <w:tr>
        <w:tc>
          <w:tcPr>
            <w:tcW w:type="pct" w:w="1199"/>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1910"/>
            <w:shd w:fill="FBFAF6" w:val="clear"/>
            <w:tcMar>
              <w:top w:type="dxa" w:w="50"/>
              <w:left w:type="dxa" w:w="110"/>
              <w:bottom w:type="dxa" w:w="50"/>
              <w:right w:type="dxa" w:w="110"/>
            </w:tcMar>
          </w:tcPr>
          <w:p>
            <w:pPr>
              <w:spacing w:before="26" w:after="26"/>
            </w:pPr>
            <w:r>
              <w:rPr>
                <w:color w:val="232733"/>
                <w:sz w:val="16"/>
                <w:szCs w:val="16"/>
              </w:rPr>
              <w:t xml:space="preserve">a figure to read · Item · The English the exam uses, and what it translates</w:t>
            </w:r>
          </w:p>
        </w:tc>
        <w:tc>
          <w:tcPr>
            <w:tcW w:type="pct" w:w="1891"/>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600"/>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400"/>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600"/>
            <w:tcMar>
              <w:top w:type="dxa" w:w="50"/>
              <w:left w:type="dxa" w:w="110"/>
              <w:bottom w:type="dxa" w:w="50"/>
              <w:right w:type="dxa" w:w="110"/>
            </w:tcMar>
          </w:tcPr>
          <w:p>
            <w:pPr>
              <w:spacing w:before="26" w:after="26"/>
            </w:pPr>
            <w:r>
              <w:rPr>
                <w:color w:val="232733"/>
                <w:sz w:val="16"/>
                <w:szCs w:val="16"/>
              </w:rPr>
              <w:t xml:space="preserve">revaluation model</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prior service cost</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lower of cost and net realizable value (LCNRV)</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conditions   ·   graded vesting   ·   prior service cost   ·   component depreciation   ·   straight-line</w:t>
      </w:r>
    </w:p>
    <w:p>
      <w:pPr>
        <w:spacing w:before="36" w:after="36"/>
        <w:ind w:left="300"/>
      </w:pPr>
      <w:r>
        <w:rPr>
          <w:sz w:val="19"/>
          <w:szCs w:val="19"/>
        </w:rPr>
        <w:t xml:space="preserve">For share awards that vest in parts, or </w:t>
      </w:r>
      <w:r>
        <w:rPr>
          <w:u w:val="single"/>
          <w:sz w:val="19"/>
          <w:szCs w:val="19"/>
        </w:rPr>
        <w:t xml:space="preserve">                </w:t>
      </w:r>
      <w:r>
        <w:rPr>
          <w:sz w:val="19"/>
          <w:szCs w:val="19"/>
        </w:rPr>
        <w:t xml:space="preserve">, U.S. GAAP lets a company recognize the cost </w:t>
      </w:r>
      <w:r>
        <w:rPr>
          <w:u w:val="single"/>
          <w:sz w:val="19"/>
          <w:szCs w:val="19"/>
        </w:rPr>
        <w:t xml:space="preserve">               </w:t>
      </w:r>
      <w:r>
        <w:rPr>
          <w:sz w:val="19"/>
          <w:szCs w:val="19"/>
        </w:rPr>
        <w:t xml:space="preserve"> over the whole period or tranche by tranche, when the awards have only service </w:t>
      </w:r>
      <w:r>
        <w:rPr>
          <w:u w:val="single"/>
          <w:sz w:val="19"/>
          <w:szCs w:val="19"/>
        </w:rPr>
        <w:t xml:space="preserve">            </w:t>
      </w:r>
      <w:r>
        <w:rPr>
          <w:sz w:val="19"/>
          <w:szCs w:val="19"/>
        </w:rPr>
        <w:t xml:space="preserve">. IFRS 2 requires tranche by tranche, which puts more expense in the early years.</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recognized   ·   forfeitures   ·   obligation   ·   prior service cost   ·   component depreciation</w:t>
      </w:r>
    </w:p>
    <w:p>
      <w:pPr>
        <w:spacing w:before="36" w:after="36"/>
        <w:ind w:left="300"/>
      </w:pPr>
      <w:r>
        <w:rPr>
          <w:sz w:val="19"/>
          <w:szCs w:val="19"/>
        </w:rPr>
        <w:t xml:space="preserve">U.S. GAAP also allows a policy choice to record </w:t>
      </w:r>
      <w:r>
        <w:rPr>
          <w:u w:val="single"/>
          <w:sz w:val="19"/>
          <w:szCs w:val="19"/>
        </w:rPr>
        <w:t xml:space="preserve">             </w:t>
      </w:r>
      <w:r>
        <w:rPr>
          <w:sz w:val="19"/>
          <w:szCs w:val="19"/>
        </w:rPr>
        <w:t xml:space="preserve"> as they occur; IFRS 2 requires an estimate. Employer payroll taxes on share awards are </w:t>
      </w:r>
      <w:r>
        <w:rPr>
          <w:u w:val="single"/>
          <w:sz w:val="19"/>
          <w:szCs w:val="19"/>
        </w:rPr>
        <w:t xml:space="preserve">            </w:t>
      </w:r>
      <w:r>
        <w:rPr>
          <w:sz w:val="19"/>
          <w:szCs w:val="19"/>
        </w:rPr>
        <w:t xml:space="preserve"> when the tax </w:t>
      </w:r>
      <w:r>
        <w:rPr>
          <w:u w:val="single"/>
          <w:sz w:val="19"/>
          <w:szCs w:val="19"/>
        </w:rPr>
        <w:t xml:space="preserve">            </w:t>
      </w:r>
      <w:r>
        <w:rPr>
          <w:sz w:val="19"/>
          <w:szCs w:val="19"/>
        </w:rPr>
        <w:t xml:space="preserve"> arises under U.S. GAAP, but accrued over the vesting period under IFRS.</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component depreciation   ·   remeasurements   ·   defined benefit plan   ·   prior service cost   ·   graded vesting</w:t>
      </w:r>
    </w:p>
    <w:p>
      <w:pPr>
        <w:spacing w:before="36" w:after="36"/>
        <w:ind w:left="300"/>
      </w:pPr>
      <w:r>
        <w:rPr>
          <w:sz w:val="19"/>
          <w:szCs w:val="19"/>
        </w:rPr>
        <w:t xml:space="preserve">For a </w:t>
      </w:r>
      <w:r>
        <w:rPr>
          <w:u w:val="single"/>
          <w:sz w:val="19"/>
          <w:szCs w:val="19"/>
        </w:rPr>
        <w:t xml:space="preserve">                      </w:t>
      </w:r>
      <w:r>
        <w:rPr>
          <w:sz w:val="19"/>
          <w:szCs w:val="19"/>
        </w:rPr>
        <w:t xml:space="preserve">, both frameworks put </w:t>
      </w:r>
      <w:r>
        <w:rPr>
          <w:u w:val="single"/>
          <w:sz w:val="19"/>
          <w:szCs w:val="19"/>
        </w:rPr>
        <w:t xml:space="preserve">                </w:t>
      </w:r>
      <w:r>
        <w:rPr>
          <w:sz w:val="19"/>
          <w:szCs w:val="19"/>
        </w:rPr>
        <w:t xml:space="preserve"> in OCI. U.S. GAAP later amortizes them into net income; IAS 19 never reclassifies them. Orontes amends its plan and creates </w:t>
      </w:r>
      <w:r>
        <w:rPr>
          <w:u w:val="single"/>
          <w:sz w:val="19"/>
          <w:szCs w:val="19"/>
        </w:rPr>
        <w:t xml:space="preserve">                    </w:t>
      </w:r>
      <w:r>
        <w:rPr>
          <w:sz w:val="19"/>
          <w:szCs w:val="19"/>
        </w:rPr>
        <w:t xml:space="preserve"> of $50,000: U.S. GAAP amortizes $5,000 a year from OCI, while IAS 19 expenses the whole amount at once.</w:t>
      </w:r>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(i) Share-based payments and employee benefits</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Every number in a financial statement belongs to an element the framework defines.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41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734050" cy="4157175"/>
                    </a:xfrm>
                    <a:prstGeom prst="rect">
                      <a:avLst/>
                    </a:prstGeom>
                  </pic:spPr>
                </pic:pic>
              </a:graphicData>
            </a:graphic>
          </wp:inline>
        </w:drawing>
      </w:r>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3191"/>
        <w:gridCol w:w="4198"/>
        <w:gridCol w:w="2211"/>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Topic — the book’s own table</w:t>
            </w:r>
          </w:p>
        </w:tc>
      </w:tr>
      <w:tr>
        <w:tc>
          <w:tcPr>
            <w:tcW w:type="pct" w:w="1662"/>
            <w:tcMar>
              <w:top w:type="dxa" w:w="50"/>
              <w:left w:type="dxa" w:w="110"/>
              <w:bottom w:type="dxa" w:w="50"/>
              <w:right w:type="dxa" w:w="110"/>
            </w:tcMar>
          </w:tcPr>
          <w:p>
            <w:pPr>
              <w:spacing w:before="26" w:after="26"/>
            </w:pPr>
            <w:r>
              <w:rPr>
                <w:b/>
                <w:bCs/>
                <w:color w:val="353A7C"/>
                <w:sz w:val="15"/>
                <w:szCs w:val="15"/>
              </w:rPr>
              <w:t xml:space="preserve">Topic</w:t>
            </w:r>
          </w:p>
        </w:tc>
        <w:tc>
          <w:tcPr>
            <w:tcW w:type="pct" w:w="2186"/>
            <w:tcMar>
              <w:top w:type="dxa" w:w="50"/>
              <w:left w:type="dxa" w:w="110"/>
              <w:bottom w:type="dxa" w:w="50"/>
              <w:right w:type="dxa" w:w="110"/>
            </w:tcMar>
          </w:tcPr>
          <w:p>
            <w:pPr>
              <w:spacing w:before="26" w:after="26"/>
            </w:pPr>
            <w:r>
              <w:rPr>
                <w:b/>
                <w:bCs/>
                <w:color w:val="353A7C"/>
                <w:sz w:val="15"/>
                <w:szCs w:val="15"/>
              </w:rPr>
              <w:t xml:space="preserve">U.S. GAAP (ASC 718, 715)</w:t>
            </w:r>
          </w:p>
        </w:tc>
        <w:tc>
          <w:tcPr>
            <w:tcW w:type="pct" w:w="1152"/>
            <w:tcMar>
              <w:top w:type="dxa" w:w="50"/>
              <w:left w:type="dxa" w:w="110"/>
              <w:bottom w:type="dxa" w:w="50"/>
              <w:right w:type="dxa" w:w="110"/>
            </w:tcMar>
          </w:tcPr>
          <w:p>
            <w:pPr>
              <w:spacing w:before="26" w:after="26"/>
            </w:pPr>
            <w:r>
              <w:rPr>
                <w:b/>
                <w:bCs/>
                <w:color w:val="353A7C"/>
                <w:sz w:val="15"/>
                <w:szCs w:val="15"/>
              </w:rPr>
              <w:t xml:space="preserve">IFRS (IFRS 2, IAS 19)</w:t>
            </w:r>
          </w:p>
        </w:tc>
      </w:tr>
      <w:tr>
        <w:tc>
          <w:tcPr>
            <w:tcW w:type="pct" w:w="1662"/>
            <w:tcMar>
              <w:top w:type="dxa" w:w="50"/>
              <w:left w:type="dxa" w:w="110"/>
              <w:bottom w:type="dxa" w:w="50"/>
              <w:right w:type="dxa" w:w="110"/>
            </w:tcMar>
          </w:tcPr>
          <w:p>
            <w:pPr>
              <w:spacing w:before="26" w:after="26"/>
            </w:pPr>
            <w:r>
              <w:rPr>
                <w:color w:val="232733"/>
                <w:sz w:val="16"/>
                <w:szCs w:val="16"/>
              </w:rPr>
              <w:t xml:space="preserve">Graded vesting (service condition)</w:t>
            </w:r>
          </w:p>
        </w:tc>
        <w:tc>
          <w:tcPr>
            <w:tcW w:type="pct" w:w="2186"/>
            <w:tcMar>
              <w:top w:type="dxa" w:w="50"/>
              <w:left w:type="dxa" w:w="110"/>
              <w:bottom w:type="dxa" w:w="50"/>
              <w:right w:type="dxa" w:w="110"/>
            </w:tcMar>
          </w:tcPr>
          <w:p>
            <w:pPr>
              <w:spacing w:before="26" w:after="26"/>
            </w:pPr>
            <w:r>
              <w:rPr>
                <w:color w:val="232733"/>
                <w:sz w:val="16"/>
                <w:szCs w:val="16"/>
              </w:rPr>
              <w:t xml:space="preserve">Choice: straight-line over the whole period or tranche by tranche</w:t>
            </w:r>
          </w:p>
        </w:tc>
        <w:tc>
          <w:tcPr>
            <w:tcW w:type="pct" w:w="1152"/>
            <w:tcMar>
              <w:top w:type="dxa" w:w="50"/>
              <w:left w:type="dxa" w:w="110"/>
              <w:bottom w:type="dxa" w:w="50"/>
              <w:right w:type="dxa" w:w="110"/>
            </w:tcMar>
          </w:tcPr>
          <w:p>
            <w:pPr>
              <w:spacing w:before="26" w:after="26"/>
            </w:pPr>
            <w:r>
              <w:rPr>
                <w:color w:val="232733"/>
                <w:sz w:val="16"/>
                <w:szCs w:val="16"/>
              </w:rPr>
              <w:t xml:space="preserve">Tranche by tranche</w:t>
            </w:r>
          </w:p>
        </w:tc>
      </w:tr>
      <w:tr>
        <w:tc>
          <w:tcPr>
            <w:tcW w:type="pct" w:w="1662"/>
            <w:shd w:fill="FBFAF6" w:val="clear"/>
            <w:tcMar>
              <w:top w:type="dxa" w:w="50"/>
              <w:left w:type="dxa" w:w="110"/>
              <w:bottom w:type="dxa" w:w="50"/>
              <w:right w:type="dxa" w:w="110"/>
            </w:tcMar>
          </w:tcPr>
          <w:p>
            <w:pPr>
              <w:spacing w:before="26" w:after="26"/>
            </w:pPr>
            <w:r>
              <w:rPr>
                <w:color w:val="232733"/>
                <w:sz w:val="16"/>
                <w:szCs w:val="16"/>
              </w:rPr>
              <w:t xml:space="preserve">Forfeitures</w:t>
            </w:r>
          </w:p>
        </w:tc>
        <w:tc>
          <w:tcPr>
            <w:tcW w:type="pct" w:w="2186"/>
            <w:shd w:fill="FBFAF6" w:val="clear"/>
            <w:tcMar>
              <w:top w:type="dxa" w:w="50"/>
              <w:left w:type="dxa" w:w="110"/>
              <w:bottom w:type="dxa" w:w="50"/>
              <w:right w:type="dxa" w:w="110"/>
            </w:tcMar>
          </w:tcPr>
          <w:p>
            <w:pPr>
              <w:spacing w:before="26" w:after="26"/>
            </w:pPr>
            <w:r>
              <w:rPr>
                <w:color w:val="232733"/>
                <w:sz w:val="16"/>
                <w:szCs w:val="16"/>
              </w:rPr>
              <w:t xml:space="preserve">Policy choice: estimate or record as they occur</w:t>
            </w:r>
          </w:p>
        </w:tc>
        <w:tc>
          <w:tcPr>
            <w:tcW w:type="pct" w:w="1152"/>
            <w:shd w:fill="FBFAF6" w:val="clear"/>
            <w:tcMar>
              <w:top w:type="dxa" w:w="50"/>
              <w:left w:type="dxa" w:w="110"/>
              <w:bottom w:type="dxa" w:w="50"/>
              <w:right w:type="dxa" w:w="110"/>
            </w:tcMar>
          </w:tcPr>
          <w:p>
            <w:pPr>
              <w:spacing w:before="26" w:after="26"/>
            </w:pPr>
            <w:r>
              <w:rPr>
                <w:color w:val="232733"/>
                <w:sz w:val="16"/>
                <w:szCs w:val="16"/>
              </w:rPr>
              <w:t xml:space="preserve">Estimate</w:t>
            </w:r>
          </w:p>
        </w:tc>
      </w:tr>
      <w:tr>
        <w:tc>
          <w:tcPr>
            <w:tcW w:type="pct" w:w="1662"/>
            <w:tcMar>
              <w:top w:type="dxa" w:w="50"/>
              <w:left w:type="dxa" w:w="110"/>
              <w:bottom w:type="dxa" w:w="50"/>
              <w:right w:type="dxa" w:w="110"/>
            </w:tcMar>
          </w:tcPr>
          <w:p>
            <w:pPr>
              <w:spacing w:before="26" w:after="26"/>
            </w:pPr>
            <w:r>
              <w:rPr>
                <w:color w:val="232733"/>
                <w:sz w:val="16"/>
                <w:szCs w:val="16"/>
              </w:rPr>
              <w:t xml:space="preserve">Employer payroll taxes on awards</w:t>
            </w:r>
          </w:p>
        </w:tc>
        <w:tc>
          <w:tcPr>
            <w:tcW w:type="pct" w:w="2186"/>
            <w:tcMar>
              <w:top w:type="dxa" w:w="50"/>
              <w:left w:type="dxa" w:w="110"/>
              <w:bottom w:type="dxa" w:w="50"/>
              <w:right w:type="dxa" w:w="110"/>
            </w:tcMar>
          </w:tcPr>
          <w:p>
            <w:pPr>
              <w:spacing w:before="26" w:after="26"/>
            </w:pPr>
            <w:r>
              <w:rPr>
                <w:color w:val="232733"/>
                <w:sz w:val="16"/>
                <w:szCs w:val="16"/>
              </w:rPr>
              <w:t xml:space="preserve">When the tax obligation arises (exercise or vesting)</w:t>
            </w:r>
          </w:p>
        </w:tc>
        <w:tc>
          <w:tcPr>
            <w:tcW w:type="pct" w:w="1152"/>
            <w:tcMar>
              <w:top w:type="dxa" w:w="50"/>
              <w:left w:type="dxa" w:w="110"/>
              <w:bottom w:type="dxa" w:w="50"/>
              <w:right w:type="dxa" w:w="110"/>
            </w:tcMar>
          </w:tcPr>
          <w:p>
            <w:pPr>
              <w:spacing w:before="26" w:after="26"/>
            </w:pPr>
            <w:r>
              <w:rPr>
                <w:color w:val="232733"/>
                <w:sz w:val="16"/>
                <w:szCs w:val="16"/>
              </w:rPr>
              <w:t xml:space="preserve">Accrued over the vesting period</w:t>
            </w:r>
          </w:p>
        </w:tc>
      </w:tr>
      <w:tr>
        <w:tc>
          <w:tcPr>
            <w:tcW w:type="pct" w:w="1662"/>
            <w:shd w:fill="FBFAF6" w:val="clear"/>
            <w:tcMar>
              <w:top w:type="dxa" w:w="50"/>
              <w:left w:type="dxa" w:w="110"/>
              <w:bottom w:type="dxa" w:w="50"/>
              <w:right w:type="dxa" w:w="110"/>
            </w:tcMar>
          </w:tcPr>
          <w:p>
            <w:pPr>
              <w:spacing w:before="26" w:after="26"/>
            </w:pPr>
            <w:r>
              <w:rPr>
                <w:color w:val="232733"/>
                <w:sz w:val="16"/>
                <w:szCs w:val="16"/>
              </w:rPr>
              <w:t xml:space="preserve">Pension remeasurements (actuarial gains and losses)</w:t>
            </w:r>
          </w:p>
        </w:tc>
        <w:tc>
          <w:tcPr>
            <w:tcW w:type="pct" w:w="2186"/>
            <w:shd w:fill="FBFAF6" w:val="clear"/>
            <w:tcMar>
              <w:top w:type="dxa" w:w="50"/>
              <w:left w:type="dxa" w:w="110"/>
              <w:bottom w:type="dxa" w:w="50"/>
              <w:right w:type="dxa" w:w="110"/>
            </w:tcMar>
          </w:tcPr>
          <w:p>
            <w:pPr>
              <w:spacing w:before="26" w:after="26"/>
            </w:pPr>
            <w:r>
              <w:rPr>
                <w:color w:val="232733"/>
                <w:sz w:val="16"/>
                <w:szCs w:val="16"/>
              </w:rPr>
              <w:t xml:space="preserve">OCI, then amortized into net income (corridor)</w:t>
            </w:r>
          </w:p>
        </w:tc>
        <w:tc>
          <w:tcPr>
            <w:tcW w:type="pct" w:w="1152"/>
            <w:shd w:fill="FBFAF6" w:val="clear"/>
            <w:tcMar>
              <w:top w:type="dxa" w:w="50"/>
              <w:left w:type="dxa" w:w="110"/>
              <w:bottom w:type="dxa" w:w="50"/>
              <w:right w:type="dxa" w:w="110"/>
            </w:tcMar>
          </w:tcPr>
          <w:p>
            <w:pPr>
              <w:spacing w:before="26" w:after="26"/>
            </w:pPr>
            <w:r>
              <w:rPr>
                <w:color w:val="232733"/>
                <w:sz w:val="16"/>
                <w:szCs w:val="16"/>
              </w:rPr>
              <w:t xml:space="preserve">OCI, never reclassified to profit</w:t>
            </w:r>
          </w:p>
        </w:tc>
      </w:tr>
      <w:tr>
        <w:tc>
          <w:tcPr>
            <w:tcW w:type="pct" w:w="1662"/>
            <w:tcMar>
              <w:top w:type="dxa" w:w="50"/>
              <w:left w:type="dxa" w:w="110"/>
              <w:bottom w:type="dxa" w:w="50"/>
              <w:right w:type="dxa" w:w="110"/>
            </w:tcMar>
          </w:tcPr>
          <w:p>
            <w:pPr>
              <w:spacing w:before="26" w:after="26"/>
            </w:pPr>
            <w:r>
              <w:rPr>
                <w:color w:val="232733"/>
                <w:sz w:val="16"/>
                <w:szCs w:val="16"/>
              </w:rPr>
              <w:t xml:space="preserve">Return on plan assets</w:t>
            </w:r>
          </w:p>
        </w:tc>
        <w:tc>
          <w:tcPr>
            <w:tcW w:type="pct" w:w="2186"/>
            <w:tcMar>
              <w:top w:type="dxa" w:w="50"/>
              <w:left w:type="dxa" w:w="110"/>
              <w:bottom w:type="dxa" w:w="50"/>
              <w:right w:type="dxa" w:w="110"/>
            </w:tcMar>
          </w:tcPr>
          <w:p>
            <w:pPr>
              <w:spacing w:before="26" w:after="26"/>
            </w:pPr>
            <w:r>
              <w:rPr>
                <w:color w:val="232733"/>
                <w:sz w:val="16"/>
                <w:szCs w:val="16"/>
              </w:rPr>
              <w:t xml:space="preserve">Expected return</w:t>
            </w:r>
          </w:p>
        </w:tc>
        <w:tc>
          <w:tcPr>
            <w:tcW w:type="pct" w:w="1152"/>
            <w:tcMar>
              <w:top w:type="dxa" w:w="50"/>
              <w:left w:type="dxa" w:w="110"/>
              <w:bottom w:type="dxa" w:w="50"/>
              <w:right w:type="dxa" w:w="110"/>
            </w:tcMar>
          </w:tcPr>
          <w:p>
            <w:pPr>
              <w:spacing w:before="26" w:after="26"/>
            </w:pPr>
            <w:r>
              <w:rPr>
                <w:color w:val="232733"/>
                <w:sz w:val="16"/>
                <w:szCs w:val="16"/>
              </w:rPr>
              <w:t xml:space="preserve">Net interest at the discount rate</w:t>
            </w:r>
          </w:p>
        </w:tc>
      </w:tr>
      <w:tr>
        <w:tc>
          <w:tcPr>
            <w:tcW w:type="pct" w:w="1662"/>
            <w:shd w:fill="FBFAF6" w:val="clear"/>
            <w:tcMar>
              <w:top w:type="dxa" w:w="50"/>
              <w:left w:type="dxa" w:w="110"/>
              <w:bottom w:type="dxa" w:w="50"/>
              <w:right w:type="dxa" w:w="110"/>
            </w:tcMar>
          </w:tcPr>
          <w:p>
            <w:pPr>
              <w:spacing w:before="26" w:after="26"/>
            </w:pPr>
            <w:r>
              <w:rPr>
                <w:color w:val="232733"/>
                <w:sz w:val="16"/>
                <w:szCs w:val="16"/>
              </w:rPr>
              <w:t xml:space="preserve">Prior service cost: Orontes amendment of 50,000</w:t>
            </w:r>
          </w:p>
        </w:tc>
        <w:tc>
          <w:tcPr>
            <w:tcW w:type="pct" w:w="2186"/>
            <w:shd w:fill="FBFAF6" w:val="clear"/>
            <w:tcMar>
              <w:top w:type="dxa" w:w="50"/>
              <w:left w:type="dxa" w:w="110"/>
              <w:bottom w:type="dxa" w:w="50"/>
              <w:right w:type="dxa" w:w="110"/>
            </w:tcMar>
          </w:tcPr>
          <w:p>
            <w:pPr>
              <w:spacing w:before="26" w:after="26"/>
            </w:pPr>
            <w:r>
              <w:rPr>
                <w:color w:val="232733"/>
                <w:sz w:val="16"/>
                <w:szCs w:val="16"/>
              </w:rPr>
              <w:t xml:space="preserve">OCI, amortized over 10 years: 5,000 a year</w:t>
            </w:r>
          </w:p>
        </w:tc>
        <w:tc>
          <w:tcPr>
            <w:tcW w:type="pct" w:w="1152"/>
            <w:shd w:fill="FBFAF6" w:val="clear"/>
            <w:tcMar>
              <w:top w:type="dxa" w:w="50"/>
              <w:left w:type="dxa" w:w="110"/>
              <w:bottom w:type="dxa" w:w="50"/>
              <w:right w:type="dxa" w:w="110"/>
            </w:tcMar>
          </w:tcPr>
          <w:p>
            <w:pPr>
              <w:spacing w:before="26" w:after="26"/>
            </w:pPr>
            <w:r>
              <w:rPr>
                <w:color w:val="232733"/>
                <w:sz w:val="16"/>
                <w:szCs w:val="16"/>
              </w:rPr>
              <w:t xml:space="preserve">Expensed at once: 50,000</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topic does the book pair with “Choice: straight-line over the whole period or tranche by tranche”?</w:t>
      </w:r>
    </w:p>
    <w:p>
      <w:pPr>
        <w:spacing w:after="18"/>
        <w:ind w:left="560" w:hanging="260"/>
      </w:pPr>
      <w:r>
        <w:rPr>
          <w:b/>
          <w:bCs/>
          <w:color w:val="8186EF"/>
          <w:sz w:val="18"/>
          <w:szCs w:val="18"/>
        </w:rPr>
        <w:t xml:space="preserve">A. </w:t>
      </w:r>
      <w:r>
        <w:rPr>
          <w:sz w:val="18"/>
          <w:szCs w:val="18"/>
        </w:rPr>
        <w:t xml:space="preserve">Employer payroll taxes on awards</w:t>
      </w:r>
    </w:p>
    <w:p>
      <w:pPr>
        <w:spacing w:after="18"/>
        <w:ind w:left="560" w:hanging="260"/>
      </w:pPr>
      <w:r>
        <w:rPr>
          <w:b/>
          <w:bCs/>
          <w:color w:val="8186EF"/>
          <w:sz w:val="18"/>
          <w:szCs w:val="18"/>
        </w:rPr>
        <w:t xml:space="preserve">B. </w:t>
      </w:r>
      <w:r>
        <w:rPr>
          <w:sz w:val="18"/>
          <w:szCs w:val="18"/>
        </w:rPr>
        <w:t xml:space="preserve">Prior service cost: Orontes amendment of 50,000</w:t>
      </w:r>
    </w:p>
    <w:p>
      <w:pPr>
        <w:spacing w:after="18"/>
        <w:ind w:left="560" w:hanging="260"/>
      </w:pPr>
      <w:r>
        <w:rPr>
          <w:b/>
          <w:bCs/>
          <w:color w:val="8186EF"/>
          <w:sz w:val="18"/>
          <w:szCs w:val="18"/>
        </w:rPr>
        <w:t xml:space="preserve">C. </w:t>
      </w:r>
      <w:r>
        <w:rPr>
          <w:sz w:val="18"/>
          <w:szCs w:val="18"/>
        </w:rPr>
        <w:t xml:space="preserve">Return on plan assets</w:t>
      </w:r>
    </w:p>
    <w:p>
      <w:pPr>
        <w:spacing w:after="18"/>
        <w:ind w:left="560" w:hanging="260"/>
      </w:pPr>
      <w:r>
        <w:rPr>
          <w:b/>
          <w:bCs/>
          <w:color w:val="8186EF"/>
          <w:sz w:val="18"/>
          <w:szCs w:val="18"/>
        </w:rPr>
        <w:t xml:space="preserve">D. </w:t>
      </w:r>
      <w:r>
        <w:rPr>
          <w:sz w:val="18"/>
          <w:szCs w:val="18"/>
        </w:rPr>
        <w:t xml:space="preserve">Graded vesting (service condition)</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1F7A6A"/>
                <w:sz w:val="17"/>
                <w:szCs w:val="17"/>
              </w:rPr>
              <w:t xml:space="preserve">INVENT THE RULE</w:t>
            </w:r>
          </w:p>
        </w:tc>
      </w:tr>
    </w:tbl>
    <w:p>
      <w:pPr>
        <w:pBdr>
          <w:top w:val="single" w:sz="6" w:space="1" w:color="1F7A6A"/>
        </w:pBdr>
        <w:spacing w:after="30"/>
      </w:pPr>
      <w:r>
        <w:rPr>
          <w:sz w:val="2"/>
          <w:szCs w:val="2"/>
        </w:rPr>
        <w:t xml:space="preserve"/>
      </w:r>
    </w:p>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90"/>
              <w:left w:type="dxa" w:w="150"/>
              <w:bottom w:type="dxa" w:w="90"/>
              <w:right w:type="dxa" w:w="150"/>
            </w:tcMar>
          </w:tcPr>
          <w:p>
            <w:pPr>
              <w:spacing w:before="46" w:after="26"/>
            </w:pPr>
            <w:r>
              <w:rPr>
                <w:b/>
                <w:bCs/>
                <w:color w:val="1F7A6A"/>
                <w:sz w:val="19"/>
                <w:szCs w:val="19"/>
              </w:rPr>
              <w:t xml:space="preserve">6.  </w:t>
            </w:r>
            <w:r>
              <w:rPr>
                <w:sz w:val="19"/>
                <w:szCs w:val="19"/>
              </w:rPr>
              <w:t xml:space="preserve">Complete the book’s own sentence. The list holds more words than there are gaps.</w:t>
            </w:r>
          </w:p>
          <w:p>
            <w:pPr>
              <w:spacing w:after="30"/>
            </w:pPr>
            <w:r>
              <w:rPr>
                <w:color w:val="6B7280"/>
                <w:sz w:val="16"/>
                <w:szCs w:val="16"/>
              </w:rPr>
              <w:t xml:space="preserve">use every one of these words:  </w:t>
            </w:r>
            <w:r>
              <w:rPr>
                <w:b/>
                <w:bCs/>
                <w:color w:val="1F7A6A"/>
                <w:sz w:val="16"/>
                <w:szCs w:val="16"/>
              </w:rPr>
              <w:t xml:space="preserve">remeasurements  ·  revaluation model  ·  revaluation surplus  ·  defined benefit plan</w:t>
            </w:r>
          </w:p>
          <w:p>
            <w:pPr>
              <w:spacing w:before="26" w:after="26"/>
              <w:ind w:left="200"/>
            </w:pPr>
            <w:r>
              <w:rPr>
                <w:sz w:val="19"/>
                <w:szCs w:val="19"/>
              </w:rPr>
              <w:t xml:space="preserve">For a </w:t>
            </w:r>
            <w:r>
              <w:rPr>
                <w:u w:val="single"/>
                <w:sz w:val="19"/>
                <w:szCs w:val="19"/>
              </w:rPr>
              <w:t xml:space="preserve">                      </w:t>
            </w:r>
            <w:r>
              <w:rPr>
                <w:sz w:val="19"/>
                <w:szCs w:val="19"/>
              </w:rPr>
              <w:t xml:space="preserve">, both frameworks put </w:t>
            </w:r>
            <w:r>
              <w:rPr>
                <w:u w:val="single"/>
                <w:sz w:val="19"/>
                <w:szCs w:val="19"/>
              </w:rPr>
              <w:t xml:space="preserve">                </w:t>
            </w:r>
            <w:r>
              <w:rPr>
                <w:sz w:val="19"/>
                <w:szCs w:val="19"/>
              </w:rPr>
              <w:t xml:space="preserve"> in OCI.</w:t>
            </w:r>
          </w:p>
        </w:tc>
      </w:tr>
    </w:tbl>
    <w:p/>
    <w:p>
      <w:pPr>
        <w:spacing w:before="50" w:after="24"/>
      </w:pPr>
      <w:r>
        <w:rPr>
          <w:b/>
          <w:bCs/>
          <w:color w:val="C9762E"/>
          <w:sz w:val="17"/>
          <w:szCs w:val="17"/>
        </w:rPr>
        <w:t xml:space="preserve">Two of the book’s own cases, side by side</w:t>
      </w:r>
    </w:p>
    <w:tbl>
      <w:tblPr>
        <w:tblW w:type="pct" w:w="100%"/>
        <w:tblLayout w:type="fixed"/>
        <w:tblBorders>
          <w:top w:val="single" w:color="C9762E" w:sz="6"/>
          <w:left w:val="single" w:color="C9762E" w:sz="6"/>
          <w:bottom w:val="single" w:color="C9762E" w:sz="6"/>
          <w:right w:val="single" w:color="C9762E" w:sz="6"/>
          <w:insideH w:val="single" w:color="C9762E" w:sz="6"/>
          <w:insideV w:val="single" w:color="C9762E" w:sz="6"/>
        </w:tblBorders>
      </w:tblPr>
      <w:tblGrid>
        <w:gridCol w:w="4800"/>
        <w:gridCol w:w="4800"/>
      </w:tblGrid>
      <w:tr>
        <w:tc>
          <w:tcPr>
            <w:tcW w:type="pct" w:w="2500"/>
            <w:shd w:fill="FBF4EA" w:val="clear"/>
            <w:tcMar>
              <w:top w:type="dxa" w:w="50"/>
              <w:left w:type="dxa" w:w="110"/>
              <w:bottom w:type="dxa" w:w="50"/>
              <w:right w:type="dxa" w:w="110"/>
            </w:tcMar>
          </w:tcPr>
          <w:p>
            <w:pPr>
              <w:spacing w:before="34" w:after="34"/>
            </w:pPr>
            <w:r>
              <w:rPr>
                <w:b/>
                <w:bCs/>
                <w:color w:val="C9762E"/>
                <w:sz w:val="16"/>
                <w:szCs w:val="16"/>
              </w:rPr>
              <w:t xml:space="preserve">Graded vesting (service condition)</w:t>
            </w:r>
          </w:p>
        </w:tc>
        <w:tc>
          <w:tcPr>
            <w:tcW w:type="pct" w:w="2500"/>
            <w:shd w:fill="FBF4EA" w:val="clear"/>
            <w:tcMar>
              <w:top w:type="dxa" w:w="50"/>
              <w:left w:type="dxa" w:w="110"/>
              <w:bottom w:type="dxa" w:w="50"/>
              <w:right w:type="dxa" w:w="110"/>
            </w:tcMar>
          </w:tcPr>
          <w:p>
            <w:pPr>
              <w:spacing w:before="34" w:after="34"/>
            </w:pPr>
            <w:r>
              <w:rPr>
                <w:b/>
                <w:bCs/>
                <w:color w:val="C9762E"/>
                <w:sz w:val="16"/>
                <w:szCs w:val="16"/>
              </w:rPr>
              <w:t xml:space="preserve">Forfeitures</w:t>
            </w:r>
          </w:p>
        </w:tc>
      </w:tr>
      <w:tr>
        <w:tc>
          <w:tcPr>
            <w:tcW w:type="pct" w:w="2500"/>
            <w:tcMar>
              <w:top w:type="dxa" w:w="50"/>
              <w:left w:type="dxa" w:w="110"/>
              <w:bottom w:type="dxa" w:w="50"/>
              <w:right w:type="dxa" w:w="110"/>
            </w:tcMar>
          </w:tcPr>
          <w:p>
            <w:pPr>
              <w:spacing w:before="26" w:after="26"/>
            </w:pPr>
            <w:r>
              <w:rPr>
                <w:sz w:val="16"/>
                <w:szCs w:val="16"/>
              </w:rPr>
              <w:t xml:space="preserve">U.S. GAAP (ASC 718, 715): Choice: straight-line over the whole period or tranche by tranche</w:t>
            </w:r>
          </w:p>
        </w:tc>
        <w:tc>
          <w:tcPr>
            <w:tcW w:type="pct" w:w="2500"/>
            <w:tcMar>
              <w:top w:type="dxa" w:w="50"/>
              <w:left w:type="dxa" w:w="110"/>
              <w:bottom w:type="dxa" w:w="50"/>
              <w:right w:type="dxa" w:w="110"/>
            </w:tcMar>
          </w:tcPr>
          <w:p>
            <w:pPr>
              <w:spacing w:before="26" w:after="26"/>
            </w:pPr>
            <w:r>
              <w:rPr>
                <w:sz w:val="16"/>
                <w:szCs w:val="16"/>
              </w:rPr>
              <w:t xml:space="preserve">U.S. GAAP (ASC 718, 715): Policy choice: estimate or record as they occur</w:t>
            </w:r>
          </w:p>
        </w:tc>
      </w:tr>
    </w:tbl>
    <w:p>
      <w:pPr>
        <w:spacing w:before="36" w:after="16"/>
      </w:pPr>
      <w:r>
        <w:rPr>
          <w:sz w:val="18"/>
          <w:szCs w:val="18"/>
        </w:rPr>
        <w:t xml:space="preserve">Only the facts above differ. What is the ifrs (ifrs 2, ias 19) of Graded vesting (service condition)?</w:t>
      </w:r>
    </w:p>
    <w:p>
      <w:pPr>
        <w:spacing w:before="40" w:after="16"/>
        <w:ind w:left="300" w:hanging="300"/>
      </w:pPr>
      <w:r>
        <w:rPr>
          <w:b/>
          <w:bCs/>
          <w:color w:val="353A7C"/>
          <w:sz w:val="19"/>
          <w:szCs w:val="19"/>
        </w:rPr>
        <w:t xml:space="preserve">7.  </w:t>
      </w:r>
      <w:r>
        <w:rPr>
          <w:sz w:val="19"/>
          <w:szCs w:val="19"/>
        </w:rPr>
        <w:t xml:space="preserve">Choose one:</w:t>
      </w:r>
    </w:p>
    <w:p>
      <w:pPr>
        <w:spacing w:after="18"/>
        <w:ind w:left="560" w:hanging="260"/>
      </w:pPr>
      <w:r>
        <w:rPr>
          <w:b/>
          <w:bCs/>
          <w:color w:val="8186EF"/>
          <w:sz w:val="18"/>
          <w:szCs w:val="18"/>
        </w:rPr>
        <w:t xml:space="preserve">A. </w:t>
      </w:r>
      <w:r>
        <w:rPr>
          <w:sz w:val="18"/>
          <w:szCs w:val="18"/>
        </w:rPr>
        <w:t xml:space="preserve">Estimate</w:t>
      </w:r>
    </w:p>
    <w:p>
      <w:pPr>
        <w:spacing w:after="18"/>
        <w:ind w:left="560" w:hanging="260"/>
      </w:pPr>
      <w:r>
        <w:rPr>
          <w:b/>
          <w:bCs/>
          <w:color w:val="8186EF"/>
          <w:sz w:val="18"/>
          <w:szCs w:val="18"/>
        </w:rPr>
        <w:t xml:space="preserve">B. </w:t>
      </w:r>
      <w:r>
        <w:rPr>
          <w:sz w:val="18"/>
          <w:szCs w:val="18"/>
        </w:rPr>
        <w:t xml:space="preserve">Accrued over the vesting period</w:t>
      </w:r>
    </w:p>
    <w:p>
      <w:pPr>
        <w:spacing w:after="18"/>
        <w:ind w:left="560" w:hanging="260"/>
      </w:pPr>
      <w:r>
        <w:rPr>
          <w:b/>
          <w:bCs/>
          <w:color w:val="8186EF"/>
          <w:sz w:val="18"/>
          <w:szCs w:val="18"/>
        </w:rPr>
        <w:t xml:space="preserve">C. </w:t>
      </w:r>
      <w:r>
        <w:rPr>
          <w:sz w:val="18"/>
          <w:szCs w:val="18"/>
        </w:rPr>
        <w:t xml:space="preserve">OCI, never reclassified to profit</w:t>
      </w:r>
    </w:p>
    <w:p>
      <w:pPr>
        <w:spacing w:after="18"/>
        <w:ind w:left="560" w:hanging="260"/>
      </w:pPr>
      <w:r>
        <w:rPr>
          <w:b/>
          <w:bCs/>
          <w:color w:val="8186EF"/>
          <w:sz w:val="18"/>
          <w:szCs w:val="18"/>
        </w:rPr>
        <w:t xml:space="preserve">D. </w:t>
      </w:r>
      <w:r>
        <w:rPr>
          <w:sz w:val="18"/>
          <w:szCs w:val="18"/>
        </w:rPr>
        <w:t xml:space="preserve">Tranche by tranche</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8.  </w:t>
      </w:r>
      <w:r>
        <w:rPr>
          <w:sz w:val="19"/>
          <w:szCs w:val="19"/>
        </w:rPr>
        <w:t xml:space="preserve">Orontes, an SEC registrant, wants to amortize its goodwill over 10 years. It:</w:t>
      </w:r>
    </w:p>
    <w:p>
      <w:pPr>
        <w:spacing w:after="18"/>
        <w:ind w:left="560" w:hanging="260"/>
      </w:pPr>
      <w:r>
        <w:rPr>
          <w:b/>
          <w:bCs/>
          <w:color w:val="8186EF"/>
          <w:sz w:val="18"/>
          <w:szCs w:val="18"/>
        </w:rPr>
        <w:t xml:space="preserve">A. </w:t>
      </w:r>
      <w:r>
        <w:rPr>
          <w:sz w:val="18"/>
          <w:szCs w:val="18"/>
        </w:rPr>
        <w:t xml:space="preserve">may, using the private-company alternative</w:t>
      </w:r>
    </w:p>
    <w:p>
      <w:pPr>
        <w:spacing w:after="18"/>
        <w:ind w:left="560" w:hanging="260"/>
      </w:pPr>
      <w:r>
        <w:rPr>
          <w:b/>
          <w:bCs/>
          <w:color w:val="8186EF"/>
          <w:sz w:val="18"/>
          <w:szCs w:val="18"/>
        </w:rPr>
        <w:t xml:space="preserve">B. </w:t>
      </w:r>
      <w:r>
        <w:rPr>
          <w:sz w:val="18"/>
          <w:szCs w:val="18"/>
        </w:rPr>
        <w:t xml:space="preserve">must amortize over 40 years</w:t>
      </w:r>
    </w:p>
    <w:p>
      <w:pPr>
        <w:spacing w:after="18"/>
        <w:ind w:left="560" w:hanging="260"/>
      </w:pPr>
      <w:r>
        <w:rPr>
          <w:b/>
          <w:bCs/>
          <w:color w:val="8186EF"/>
          <w:sz w:val="18"/>
          <w:szCs w:val="18"/>
        </w:rPr>
        <w:t xml:space="preserve">C. </w:t>
      </w:r>
      <w:r>
        <w:rPr>
          <w:sz w:val="18"/>
          <w:szCs w:val="18"/>
        </w:rPr>
        <w:t xml:space="preserve">may, if IFRS allows it</w:t>
      </w:r>
    </w:p>
    <w:p>
      <w:pPr>
        <w:spacing w:after="18"/>
        <w:ind w:left="560" w:hanging="260"/>
      </w:pPr>
      <w:r>
        <w:rPr>
          <w:b/>
          <w:bCs/>
          <w:color w:val="8186EF"/>
          <w:sz w:val="18"/>
          <w:szCs w:val="18"/>
        </w:rPr>
        <w:t xml:space="preserve">D. </w:t>
      </w:r>
      <w:r>
        <w:rPr>
          <w:sz w:val="18"/>
          <w:szCs w:val="18"/>
        </w:rPr>
        <w:t xml:space="preserve">may not; only private companies can elect goodwill amortization</w:t>
      </w:r>
    </w:p>
    <w:p>
      <w:pPr>
        <w:spacing w:before="40" w:after="16"/>
        <w:ind w:left="300" w:hanging="300"/>
      </w:pPr>
      <w:r>
        <w:rPr>
          <w:b/>
          <w:bCs/>
          <w:color w:val="353A7C"/>
          <w:sz w:val="19"/>
          <w:szCs w:val="19"/>
        </w:rPr>
        <w:t xml:space="preserve">9.  </w:t>
      </w:r>
      <w:r>
        <w:rPr>
          <w:sz w:val="19"/>
          <w:szCs w:val="19"/>
        </w:rPr>
        <w:t xml:space="preserve">Under IAS 19, what happens to actuarial losses recognized in OCI?</w:t>
      </w:r>
    </w:p>
    <w:p>
      <w:pPr>
        <w:spacing w:after="18"/>
        <w:ind w:left="560" w:hanging="260"/>
      </w:pPr>
      <w:r>
        <w:rPr>
          <w:b/>
          <w:bCs/>
          <w:color w:val="8186EF"/>
          <w:sz w:val="18"/>
          <w:szCs w:val="18"/>
        </w:rPr>
        <w:t xml:space="preserve">A. </w:t>
      </w:r>
      <w:r>
        <w:rPr>
          <w:sz w:val="18"/>
          <w:szCs w:val="18"/>
        </w:rPr>
        <w:t xml:space="preserve">They are amortized into profit over future service</w:t>
      </w:r>
    </w:p>
    <w:p>
      <w:pPr>
        <w:spacing w:after="18"/>
        <w:ind w:left="560" w:hanging="260"/>
      </w:pPr>
      <w:r>
        <w:rPr>
          <w:b/>
          <w:bCs/>
          <w:color w:val="8186EF"/>
          <w:sz w:val="18"/>
          <w:szCs w:val="18"/>
        </w:rPr>
        <w:t xml:space="preserve">B. </w:t>
      </w:r>
      <w:r>
        <w:rPr>
          <w:sz w:val="18"/>
          <w:szCs w:val="18"/>
        </w:rPr>
        <w:t xml:space="preserve">They are recognized in profit when the plan is settled</w:t>
      </w:r>
    </w:p>
    <w:p>
      <w:pPr>
        <w:spacing w:after="18"/>
        <w:ind w:left="560" w:hanging="260"/>
      </w:pPr>
      <w:r>
        <w:rPr>
          <w:b/>
          <w:bCs/>
          <w:color w:val="8186EF"/>
          <w:sz w:val="18"/>
          <w:szCs w:val="18"/>
        </w:rPr>
        <w:t xml:space="preserve">C. </w:t>
      </w:r>
      <w:r>
        <w:rPr>
          <w:sz w:val="18"/>
          <w:szCs w:val="18"/>
        </w:rPr>
        <w:t xml:space="preserve">They are never reclassified to profit or loss</w:t>
      </w:r>
    </w:p>
    <w:p>
      <w:pPr>
        <w:spacing w:after="18"/>
        <w:ind w:left="560" w:hanging="260"/>
      </w:pPr>
      <w:r>
        <w:rPr>
          <w:b/>
          <w:bCs/>
          <w:color w:val="8186EF"/>
          <w:sz w:val="18"/>
          <w:szCs w:val="18"/>
        </w:rPr>
        <w:t xml:space="preserve">D. </w:t>
      </w:r>
      <w:r>
        <w:rPr>
          <w:sz w:val="18"/>
          <w:szCs w:val="18"/>
        </w:rPr>
        <w:t xml:space="preserve">They are reversed the next year</w:t>
      </w:r>
    </w:p>
    <w:p>
      <w:pPr>
        <w:spacing w:before="40" w:after="16"/>
        <w:ind w:left="300" w:hanging="300"/>
      </w:pPr>
      <w:r>
        <w:rPr>
          <w:b/>
          <w:bCs/>
          <w:color w:val="353A7C"/>
          <w:sz w:val="19"/>
          <w:szCs w:val="19"/>
        </w:rPr>
        <w:t xml:space="preserve">10.  </w:t>
      </w:r>
      <w:r>
        <w:rPr>
          <w:sz w:val="19"/>
          <w:szCs w:val="19"/>
        </w:rPr>
        <w:t xml:space="preserve">Under U.S. GAAP, which return on plan assets reduces pension cost?</w:t>
      </w:r>
    </w:p>
    <w:p>
      <w:pPr>
        <w:spacing w:after="18"/>
        <w:ind w:left="560" w:hanging="260"/>
      </w:pPr>
      <w:r>
        <w:rPr>
          <w:b/>
          <w:bCs/>
          <w:color w:val="8186EF"/>
          <w:sz w:val="18"/>
          <w:szCs w:val="18"/>
        </w:rPr>
        <w:t xml:space="preserve">A. </w:t>
      </w:r>
      <w:r>
        <w:rPr>
          <w:sz w:val="18"/>
          <w:szCs w:val="18"/>
        </w:rPr>
        <w:t xml:space="preserve">Interest at the discount rate on plan assets</w:t>
      </w:r>
    </w:p>
    <w:p>
      <w:pPr>
        <w:spacing w:after="18"/>
        <w:ind w:left="560" w:hanging="260"/>
      </w:pPr>
      <w:r>
        <w:rPr>
          <w:b/>
          <w:bCs/>
          <w:color w:val="8186EF"/>
          <w:sz w:val="18"/>
          <w:szCs w:val="18"/>
        </w:rPr>
        <w:t xml:space="preserve">B. </w:t>
      </w:r>
      <w:r>
        <w:rPr>
          <w:sz w:val="18"/>
          <w:szCs w:val="18"/>
        </w:rPr>
        <w:t xml:space="preserve">The actual return</w:t>
      </w:r>
    </w:p>
    <w:p>
      <w:pPr>
        <w:spacing w:after="18"/>
        <w:ind w:left="560" w:hanging="260"/>
      </w:pPr>
      <w:r>
        <w:rPr>
          <w:b/>
          <w:bCs/>
          <w:color w:val="8186EF"/>
          <w:sz w:val="18"/>
          <w:szCs w:val="18"/>
        </w:rPr>
        <w:t xml:space="preserve">C. </w:t>
      </w:r>
      <w:r>
        <w:rPr>
          <w:sz w:val="18"/>
          <w:szCs w:val="18"/>
        </w:rPr>
        <w:t xml:space="preserve">No return is used</w:t>
      </w:r>
    </w:p>
    <w:p>
      <w:pPr>
        <w:spacing w:after="18"/>
        <w:ind w:left="560" w:hanging="260"/>
      </w:pPr>
      <w:r>
        <w:rPr>
          <w:b/>
          <w:bCs/>
          <w:color w:val="8186EF"/>
          <w:sz w:val="18"/>
          <w:szCs w:val="18"/>
        </w:rPr>
        <w:t xml:space="preserve">D. </w:t>
      </w:r>
      <w:r>
        <w:rPr>
          <w:sz w:val="18"/>
          <w:szCs w:val="18"/>
        </w:rPr>
        <w:t xml:space="preserve">The expected return on plan assets</w:t>
      </w:r>
    </w:p>
    <w:p>
      <w:pPr>
        <w:spacing w:before="40" w:after="16"/>
        <w:ind w:left="300" w:hanging="300"/>
      </w:pPr>
      <w:r>
        <w:rPr>
          <w:b/>
          <w:bCs/>
          <w:color w:val="353A7C"/>
          <w:sz w:val="19"/>
          <w:szCs w:val="19"/>
        </w:rPr>
        <w:t xml:space="preserve">11.  </w:t>
      </w:r>
      <w:r>
        <w:rPr>
          <w:sz w:val="19"/>
          <w:szCs w:val="19"/>
        </w:rPr>
        <w:t xml:space="preserve">Employer payroll taxes on stock options: when does a U.S. company recognize the liability?</w:t>
      </w:r>
    </w:p>
    <w:p>
      <w:pPr>
        <w:spacing w:after="18"/>
        <w:ind w:left="560" w:hanging="260"/>
      </w:pPr>
      <w:r>
        <w:rPr>
          <w:b/>
          <w:bCs/>
          <w:color w:val="8186EF"/>
          <w:sz w:val="18"/>
          <w:szCs w:val="18"/>
        </w:rPr>
        <w:t xml:space="preserve">A. </w:t>
      </w:r>
      <w:r>
        <w:rPr>
          <w:sz w:val="18"/>
          <w:szCs w:val="18"/>
        </w:rPr>
        <w:t xml:space="preserve">Evenly over the vesting period</w:t>
      </w:r>
    </w:p>
    <w:p>
      <w:pPr>
        <w:spacing w:after="18"/>
        <w:ind w:left="560" w:hanging="260"/>
      </w:pPr>
      <w:r>
        <w:rPr>
          <w:b/>
          <w:bCs/>
          <w:color w:val="8186EF"/>
          <w:sz w:val="18"/>
          <w:szCs w:val="18"/>
        </w:rPr>
        <w:t xml:space="preserve">B. </w:t>
      </w:r>
      <w:r>
        <w:rPr>
          <w:sz w:val="18"/>
          <w:szCs w:val="18"/>
        </w:rPr>
        <w:t xml:space="preserve">When the tax obligation arises, usually at exercise or vesting</w:t>
      </w:r>
    </w:p>
    <w:p>
      <w:pPr>
        <w:spacing w:after="18"/>
        <w:ind w:left="560" w:hanging="260"/>
      </w:pPr>
      <w:r>
        <w:rPr>
          <w:b/>
          <w:bCs/>
          <w:color w:val="8186EF"/>
          <w:sz w:val="18"/>
          <w:szCs w:val="18"/>
        </w:rPr>
        <w:t xml:space="preserve">C. </w:t>
      </w:r>
      <w:r>
        <w:rPr>
          <w:sz w:val="18"/>
          <w:szCs w:val="18"/>
        </w:rPr>
        <w:t xml:space="preserve">At grant date</w:t>
      </w:r>
    </w:p>
    <w:p>
      <w:pPr>
        <w:spacing w:after="18"/>
        <w:ind w:left="560" w:hanging="260"/>
      </w:pPr>
      <w:r>
        <w:rPr>
          <w:b/>
          <w:bCs/>
          <w:color w:val="8186EF"/>
          <w:sz w:val="18"/>
          <w:szCs w:val="18"/>
        </w:rPr>
        <w:t xml:space="preserve">D. </w:t>
      </w:r>
      <w:r>
        <w:rPr>
          <w:sz w:val="18"/>
          <w:szCs w:val="18"/>
        </w:rPr>
        <w:t xml:space="preserve">Never; it is an employee cost</w:t>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12.  </w:t>
            </w:r>
            <w:r>
              <w:rPr>
                <w:sz w:val="19"/>
                <w:szCs w:val="19"/>
              </w:rPr>
              <w:t xml:space="preserve">Which of these did this cycle settle?</w:t>
            </w:r>
          </w:p>
          <w:p>
            <w:pPr>
              <w:spacing w:after="16"/>
              <w:ind w:left="500" w:hanging="200"/>
            </w:pPr>
            <w:r>
              <w:rPr>
                <w:b/>
                <w:bCs/>
                <w:color w:val="8186EF"/>
                <w:sz w:val="18"/>
                <w:szCs w:val="18"/>
              </w:rPr>
              <w:t xml:space="preserve">A. </w:t>
            </w:r>
            <w:r>
              <w:rPr>
                <w:sz w:val="18"/>
                <w:szCs w:val="18"/>
              </w:rPr>
              <w:t xml:space="preserve">the rule and where it comes from</w:t>
            </w:r>
          </w:p>
          <w:p>
            <w:pPr>
              <w:spacing w:after="16"/>
              <w:ind w:left="500" w:hanging="200"/>
            </w:pPr>
            <w:r>
              <w:rPr>
                <w:b/>
                <w:bCs/>
                <w:color w:val="8186EF"/>
                <w:sz w:val="18"/>
                <w:szCs w:val="18"/>
              </w:rPr>
              <w:t xml:space="preserve">B. </w:t>
            </w:r>
            <w:r>
              <w:rPr>
                <w:sz w:val="18"/>
                <w:szCs w:val="18"/>
              </w:rPr>
              <w:t xml:space="preserve">nothing in particular</w:t>
            </w:r>
          </w:p>
          <w:p>
            <w:pPr>
              <w:spacing w:after="16"/>
              <w:ind w:left="500" w:hanging="200"/>
            </w:pPr>
            <w:r>
              <w:rPr>
                <w:b/>
                <w:bCs/>
                <w:color w:val="8186EF"/>
                <w:sz w:val="18"/>
                <w:szCs w:val="18"/>
              </w:rPr>
              <w:t xml:space="preserve">C. </w:t>
            </w:r>
            <w:r>
              <w:rPr>
                <w:sz w:val="18"/>
                <w:szCs w:val="18"/>
              </w:rPr>
              <w:t xml:space="preserve">only the vocabulary</w:t>
            </w:r>
          </w:p>
          <w:p>
            <w:pPr>
              <w:spacing w:after="16"/>
              <w:ind w:left="500" w:hanging="200"/>
            </w:pPr>
            <w:r>
              <w:rPr>
                <w:b/>
                <w:bCs/>
                <w:color w:val="8186EF"/>
                <w:sz w:val="18"/>
                <w:szCs w:val="18"/>
              </w:rPr>
              <w:t xml:space="preserve">D. </w:t>
            </w:r>
            <w:r>
              <w:rPr>
                <w:sz w:val="18"/>
                <w:szCs w:val="18"/>
              </w:rPr>
              <w:t xml:space="preserve">only the arithmetic</w:t>
            </w:r>
          </w:p>
          <w:p>
            <w:pPr>
              <w:spacing w:before="20" w:after="50"/>
            </w:pPr>
            <w:r>
              <w:rPr>
                <w:color w:val="C0483F"/>
                <w:sz w:val="17"/>
                <w:szCs w:val="17"/>
              </w:rPr>
              <w:t xml:space="preserve">If you got it wrong: redo the READ THE MODEL questions of cycle A.</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13.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150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734050" cy="1508950"/>
                    </a:xfrm>
                    <a:prstGeom prst="rect">
                      <a:avLst/>
                    </a:prstGeom>
                  </pic:spPr>
                </pic:pic>
              </a:graphicData>
            </a:graphic>
          </wp:inline>
        </w:drawing>
      </w:r>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the book’s own table</w:t>
            </w:r>
          </w:p>
        </w:tc>
      </w:tr>
      <w:tr>
        <w:tc>
          <w:tcPr>
            <w:tcW w:type="pct" w:w="2400"/>
            <w:tcMar>
              <w:top w:type="dxa" w:w="50"/>
              <w:left w:type="dxa" w:w="110"/>
              <w:bottom w:type="dxa" w:w="50"/>
              <w:right w:type="dxa" w:w="110"/>
            </w:tcMar>
          </w:tcPr>
          <w:p>
            <w:pPr>
              <w:spacing w:before="26" w:after="26"/>
            </w:pPr>
            <w:r>
              <w:rPr>
                <w:b/>
                <w:bCs/>
                <w:color w:val="353A7C"/>
                <w:sz w:val="15"/>
                <w:szCs w:val="15"/>
              </w:rPr>
              <w:t xml:space="preserve">Item</w:t>
            </w:r>
          </w:p>
        </w:tc>
        <w:tc>
          <w:tcPr>
            <w:tcW w:type="pct" w:w="2600"/>
            <w:tcMar>
              <w:top w:type="dxa" w:w="50"/>
              <w:left w:type="dxa" w:w="110"/>
              <w:bottom w:type="dxa" w:w="50"/>
              <w:right w:type="dxa" w:w="110"/>
            </w:tcMar>
          </w:tcPr>
          <w:p>
            <w:pPr>
              <w:spacing w:before="26" w:after="26"/>
            </w:pPr>
            <w:r>
              <w:rPr>
                <w:b/>
                <w:bCs/>
                <w:color w:val="353A7C"/>
                <w:sz w:val="15"/>
                <w:szCs w:val="15"/>
              </w:rPr>
              <w:t xml:space="preserve">Category</w:t>
            </w:r>
          </w:p>
        </w:tc>
      </w:tr>
      <w:tr>
        <w:tc>
          <w:tcPr>
            <w:tcW w:type="pct" w:w="2400"/>
            <w:tcMar>
              <w:top w:type="dxa" w:w="50"/>
              <w:left w:type="dxa" w:w="110"/>
              <w:bottom w:type="dxa" w:w="50"/>
              <w:right w:type="dxa" w:w="110"/>
            </w:tcMar>
          </w:tcPr>
          <w:p>
            <w:pPr>
              <w:spacing w:before="26" w:after="26"/>
            </w:pPr>
            <w:r>
              <w:rPr>
                <w:color w:val="232733"/>
                <w:sz w:val="16"/>
                <w:szCs w:val="16"/>
              </w:rPr>
              <w:t xml:space="preserve">L1 Development costs</w:t>
            </w:r>
          </w:p>
        </w:tc>
        <w:tc>
          <w:tcPr>
            <w:tcW w:type="pct" w:w="2600"/>
            <w:tcMar>
              <w:top w:type="dxa" w:w="50"/>
              <w:left w:type="dxa" w:w="110"/>
              <w:bottom w:type="dxa" w:w="50"/>
              <w:right w:type="dxa" w:w="110"/>
            </w:tcMar>
          </w:tcPr>
          <w:p>
            <w:pPr>
              <w:spacing w:before="26" w:after="26"/>
            </w:pPr>
            <w:r>
              <w:rPr>
                <w:color w:val="232733"/>
                <w:sz w:val="16"/>
                <w:szCs w:val="16"/>
              </w:rPr>
              <w:t xml:space="preserve">Lowers U.S. net income</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L2 Write-down reversal</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Lowers U.S. net income</w:t>
            </w:r>
          </w:p>
        </w:tc>
      </w:tr>
      <w:tr>
        <w:tc>
          <w:tcPr>
            <w:tcW w:type="pct" w:w="2400"/>
            <w:tcMar>
              <w:top w:type="dxa" w:w="50"/>
              <w:left w:type="dxa" w:w="110"/>
              <w:bottom w:type="dxa" w:w="50"/>
              <w:right w:type="dxa" w:w="110"/>
            </w:tcMar>
          </w:tcPr>
          <w:p>
            <w:pPr>
              <w:spacing w:before="26" w:after="26"/>
            </w:pPr>
            <w:r>
              <w:rPr>
                <w:color w:val="232733"/>
                <w:sz w:val="16"/>
                <w:szCs w:val="16"/>
              </w:rPr>
              <w:t xml:space="preserve">L3 Land revaluation</w:t>
            </w:r>
          </w:p>
        </w:tc>
        <w:tc>
          <w:tcPr>
            <w:tcW w:type="pct" w:w="2600"/>
            <w:tcMar>
              <w:top w:type="dxa" w:w="50"/>
              <w:left w:type="dxa" w:w="110"/>
              <w:bottom w:type="dxa" w:w="50"/>
              <w:right w:type="dxa" w:w="110"/>
            </w:tcMar>
          </w:tcPr>
          <w:p>
            <w:pPr>
              <w:spacing w:before="26" w:after="26"/>
            </w:pPr>
            <w:r>
              <w:rPr>
                <w:color w:val="232733"/>
                <w:sz w:val="16"/>
                <w:szCs w:val="16"/>
              </w:rPr>
              <w:t xml:space="preserve">No effect on net income</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L4 Fleet impairment</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Raises U.S. net income</w:t>
            </w:r>
          </w:p>
        </w:tc>
      </w:tr>
      <w:tr>
        <w:tc>
          <w:tcPr>
            <w:tcW w:type="pct" w:w="2400"/>
            <w:tcMar>
              <w:top w:type="dxa" w:w="50"/>
              <w:left w:type="dxa" w:w="110"/>
              <w:bottom w:type="dxa" w:w="50"/>
              <w:right w:type="dxa" w:w="110"/>
            </w:tcMar>
          </w:tcPr>
          <w:p>
            <w:pPr>
              <w:spacing w:before="26" w:after="26"/>
            </w:pPr>
            <w:r>
              <w:rPr>
                <w:color w:val="232733"/>
                <w:sz w:val="16"/>
                <w:szCs w:val="16"/>
              </w:rPr>
              <w:t xml:space="preserve">L5 Truck lease</w:t>
            </w:r>
          </w:p>
        </w:tc>
        <w:tc>
          <w:tcPr>
            <w:tcW w:type="pct" w:w="2600"/>
            <w:tcMar>
              <w:top w:type="dxa" w:w="50"/>
              <w:left w:type="dxa" w:w="110"/>
              <w:bottom w:type="dxa" w:w="50"/>
              <w:right w:type="dxa" w:w="110"/>
            </w:tcMar>
          </w:tcPr>
          <w:p>
            <w:pPr>
              <w:spacing w:before="26" w:after="26"/>
            </w:pPr>
            <w:r>
              <w:rPr>
                <w:color w:val="232733"/>
                <w:sz w:val="16"/>
                <w:szCs w:val="16"/>
              </w:rPr>
              <w:t xml:space="preserve">Raises U.S. net income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65"/>
        <w:gridCol w:w="4935"/>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43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570"/>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430"/>
            <w:tcMar>
              <w:top w:type="dxa" w:w="50"/>
              <w:left w:type="dxa" w:w="110"/>
              <w:bottom w:type="dxa" w:w="50"/>
              <w:right w:type="dxa" w:w="110"/>
            </w:tcMar>
          </w:tcPr>
          <w:p>
            <w:pPr>
              <w:spacing w:before="26" w:after="26"/>
            </w:pPr>
            <w:r>
              <w:rPr>
                <w:color w:val="232733"/>
                <w:sz w:val="16"/>
                <w:szCs w:val="16"/>
              </w:rPr>
              <w:t xml:space="preserve">revaluation model</w:t>
            </w:r>
          </w:p>
        </w:tc>
        <w:tc>
          <w:tcPr>
            <w:tcW w:type="pct" w:w="2570"/>
            <w:tcMar>
              <w:top w:type="dxa" w:w="50"/>
              <w:left w:type="dxa" w:w="110"/>
              <w:bottom w:type="dxa" w:w="50"/>
              <w:right w:type="dxa" w:w="110"/>
            </w:tcMar>
          </w:tcPr>
          <w:p>
            <w:pPr>
              <w:spacing w:before="26" w:after="26"/>
            </w:pPr>
            <w:r>
              <w:rPr>
                <w:color w:val="232733"/>
                <w:sz w:val="16"/>
                <w:szCs w:val="16"/>
              </w:rPr>
              <w:t xml:space="preserve">نموذج إعادة التقييم</w:t>
            </w:r>
          </w:p>
        </w:tc>
      </w:tr>
      <w:tr>
        <w:tc>
          <w:tcPr>
            <w:tcW w:type="pct" w:w="2430"/>
            <w:shd w:fill="FBFAF6" w:val="clear"/>
            <w:tcMar>
              <w:top w:type="dxa" w:w="50"/>
              <w:left w:type="dxa" w:w="110"/>
              <w:bottom w:type="dxa" w:w="50"/>
              <w:right w:type="dxa" w:w="110"/>
            </w:tcMar>
          </w:tcPr>
          <w:p>
            <w:pPr>
              <w:spacing w:before="26" w:after="26"/>
            </w:pPr>
            <w:r>
              <w:rPr>
                <w:color w:val="232733"/>
                <w:sz w:val="16"/>
                <w:szCs w:val="16"/>
              </w:rPr>
              <w:t xml:space="preserve">prior service cost</w:t>
            </w:r>
          </w:p>
        </w:tc>
        <w:tc>
          <w:tcPr>
            <w:tcW w:type="pct" w:w="2570"/>
            <w:shd w:fill="FBFAF6" w:val="clear"/>
            <w:tcMar>
              <w:top w:type="dxa" w:w="50"/>
              <w:left w:type="dxa" w:w="110"/>
              <w:bottom w:type="dxa" w:w="50"/>
              <w:right w:type="dxa" w:w="110"/>
            </w:tcMar>
          </w:tcPr>
          <w:p>
            <w:pPr>
              <w:spacing w:before="26" w:after="26"/>
            </w:pPr>
            <w:r>
              <w:rPr>
                <w:color w:val="232733"/>
                <w:sz w:val="16"/>
                <w:szCs w:val="16"/>
              </w:rPr>
              <w:t xml:space="preserve">تكلفة الخدمة السابقة</w:t>
            </w:r>
          </w:p>
        </w:tc>
      </w:tr>
      <w:tr>
        <w:tc>
          <w:tcPr>
            <w:tcW w:type="pct" w:w="2430"/>
            <w:tcMar>
              <w:top w:type="dxa" w:w="50"/>
              <w:left w:type="dxa" w:w="110"/>
              <w:bottom w:type="dxa" w:w="50"/>
              <w:right w:type="dxa" w:w="110"/>
            </w:tcMar>
          </w:tcPr>
          <w:p>
            <w:pPr>
              <w:spacing w:before="26" w:after="26"/>
            </w:pPr>
            <w:r>
              <w:rPr>
                <w:color w:val="232733"/>
                <w:sz w:val="16"/>
                <w:szCs w:val="16"/>
              </w:rPr>
              <w:t xml:space="preserve">lower of cost and net realizable value (LCNRV)</w:t>
            </w:r>
          </w:p>
        </w:tc>
        <w:tc>
          <w:tcPr>
            <w:tcW w:type="pct" w:w="2570"/>
            <w:tcMar>
              <w:top w:type="dxa" w:w="50"/>
              <w:left w:type="dxa" w:w="110"/>
              <w:bottom w:type="dxa" w:w="50"/>
              <w:right w:type="dxa" w:w="110"/>
            </w:tcMar>
          </w:tcPr>
          <w:p>
            <w:pPr>
              <w:spacing w:before="26" w:after="26"/>
            </w:pPr>
            <w:r>
              <w:rPr>
                <w:color w:val="232733"/>
                <w:sz w:val="16"/>
                <w:szCs w:val="16"/>
              </w:rPr>
              <w:t xml:space="preserve">التكلفة أو صافي القيمة القابلة للتحقق، أيهما أقل</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14.  </w:t>
      </w:r>
      <w:r>
        <w:rPr>
          <w:sz w:val="19"/>
          <w:szCs w:val="19"/>
        </w:rPr>
        <w:t xml:space="preserve">Which category does the book give for L1 Development costs?</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Raises U.S. net income</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No effect on net income</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Lowers U.S. net income</w:t>
            </w:r>
          </w:p>
        </w:tc>
        <w:tc>
          <w:tcPr>
            <w:tcW w:type="pct" w:w="2500"/>
            <w:tcMar>
              <w:top w:type="dxa" w:w="30"/>
              <w:left w:type="dxa" w:w="90"/>
              <w:bottom w:type="dxa" w:w="30"/>
              <w:right w:type="dxa" w:w="90"/>
            </w:tcMar>
          </w:tcPr>
          <w:p>
            <w:pPr>
              <w:spacing w:before="24" w:after="24"/>
            </w:pPr>
            <w:r>
              <w:rPr>
                <w:sz w:val="18"/>
                <w:szCs w:val="18"/>
              </w:rPr>
              <w:t xml:space="preserve"/>
            </w:r>
          </w:p>
        </w:tc>
      </w:tr>
    </w:tbl>
    <w:p>
      <w:pPr>
        <w:spacing w:before="40" w:after="16"/>
        <w:ind w:left="300" w:hanging="300"/>
      </w:pPr>
      <w:r>
        <w:rPr>
          <w:b/>
          <w:bCs/>
          <w:color w:val="353A7C"/>
          <w:sz w:val="19"/>
          <w:szCs w:val="19"/>
        </w:rPr>
        <w:t xml:space="preserve">15.  </w:t>
      </w:r>
      <w:r>
        <w:rPr>
          <w:sz w:val="19"/>
          <w:szCs w:val="19"/>
        </w:rPr>
        <w:t xml:space="preserve">Which category does the book give for L2 Write-down reversal?</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Raises U.S. net income</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No effect on net income</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Lowers U.S. net income</w:t>
            </w:r>
          </w:p>
        </w:tc>
        <w:tc>
          <w:tcPr>
            <w:tcW w:type="pct" w:w="2500"/>
            <w:tcMar>
              <w:top w:type="dxa" w:w="30"/>
              <w:left w:type="dxa" w:w="90"/>
              <w:bottom w:type="dxa" w:w="30"/>
              <w:right w:type="dxa" w:w="90"/>
            </w:tcMar>
          </w:tcPr>
          <w:p>
            <w:pPr>
              <w:spacing w:before="24" w:after="24"/>
            </w:pPr>
            <w:r>
              <w:rPr>
                <w:sz w:val="18"/>
                <w:szCs w:val="18"/>
              </w:rPr>
              <w:t xml:space="preserve"/>
            </w:r>
          </w:p>
        </w:tc>
      </w:tr>
    </w:tbl>
    <w:p>
      <w:pPr>
        <w:spacing w:before="40" w:after="16"/>
        <w:ind w:left="300" w:hanging="300"/>
      </w:pPr>
      <w:r>
        <w:rPr>
          <w:b/>
          <w:bCs/>
          <w:color w:val="353A7C"/>
          <w:sz w:val="19"/>
          <w:szCs w:val="19"/>
        </w:rPr>
        <w:t xml:space="preserve">16.  </w:t>
      </w:r>
      <w:r>
        <w:rPr>
          <w:sz w:val="19"/>
          <w:szCs w:val="19"/>
        </w:rPr>
        <w:t xml:space="preserve">Which category does the book give for L3 Land revaluation?</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No effect on net income</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Raises U.S. net income</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Lowers U.S. net income</w:t>
            </w:r>
          </w:p>
        </w:tc>
        <w:tc>
          <w:tcPr>
            <w:tcW w:type="pct" w:w="2500"/>
            <w:tcMar>
              <w:top w:type="dxa" w:w="30"/>
              <w:left w:type="dxa" w:w="90"/>
              <w:bottom w:type="dxa" w:w="30"/>
              <w:right w:type="dxa" w:w="90"/>
            </w:tcMar>
          </w:tcPr>
          <w:p>
            <w:pPr>
              <w:spacing w:before="24" w:after="24"/>
            </w:pPr>
            <w:r>
              <w:rPr>
                <w:sz w:val="18"/>
                <w:szCs w:val="18"/>
              </w:rPr>
              <w:t xml:space="preserve"/>
            </w:r>
          </w:p>
        </w:tc>
      </w:tr>
    </w:tbl>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17.  </w:t>
      </w:r>
      <w:r>
        <w:rPr>
          <w:sz w:val="19"/>
          <w:szCs w:val="19"/>
        </w:rPr>
        <w:t xml:space="preserve">Which intangible is recognized under BOTH frameworks?</w:t>
      </w:r>
    </w:p>
    <w:p>
      <w:pPr>
        <w:spacing w:after="18"/>
        <w:ind w:left="560" w:hanging="260"/>
      </w:pPr>
      <w:r>
        <w:rPr>
          <w:b/>
          <w:bCs/>
          <w:color w:val="8186EF"/>
          <w:sz w:val="18"/>
          <w:szCs w:val="18"/>
        </w:rPr>
        <w:t xml:space="preserve">A. </w:t>
      </w:r>
      <w:r>
        <w:rPr>
          <w:sz w:val="18"/>
          <w:szCs w:val="18"/>
        </w:rPr>
        <w:t xml:space="preserve">A patent bought from another company</w:t>
      </w:r>
    </w:p>
    <w:p>
      <w:pPr>
        <w:spacing w:after="18"/>
        <w:ind w:left="560" w:hanging="260"/>
      </w:pPr>
      <w:r>
        <w:rPr>
          <w:b/>
          <w:bCs/>
          <w:color w:val="8186EF"/>
          <w:sz w:val="18"/>
          <w:szCs w:val="18"/>
        </w:rPr>
        <w:t xml:space="preserve">B. </w:t>
      </w:r>
      <w:r>
        <w:rPr>
          <w:sz w:val="18"/>
          <w:szCs w:val="18"/>
        </w:rPr>
        <w:t xml:space="preserve">An internally generated brand</w:t>
      </w:r>
    </w:p>
    <w:p>
      <w:pPr>
        <w:spacing w:after="18"/>
        <w:ind w:left="560" w:hanging="260"/>
      </w:pPr>
      <w:r>
        <w:rPr>
          <w:b/>
          <w:bCs/>
          <w:color w:val="8186EF"/>
          <w:sz w:val="18"/>
          <w:szCs w:val="18"/>
        </w:rPr>
        <w:t xml:space="preserve">C. </w:t>
      </w:r>
      <w:r>
        <w:rPr>
          <w:sz w:val="18"/>
          <w:szCs w:val="18"/>
        </w:rPr>
        <w:t xml:space="preserve">Development costs of a new recipe under U.S. GAAP</w:t>
      </w:r>
    </w:p>
    <w:p>
      <w:pPr>
        <w:spacing w:after="18"/>
        <w:ind w:left="560" w:hanging="260"/>
      </w:pPr>
      <w:r>
        <w:rPr>
          <w:b/>
          <w:bCs/>
          <w:color w:val="8186EF"/>
          <w:sz w:val="18"/>
          <w:szCs w:val="18"/>
        </w:rPr>
        <w:t xml:space="preserve">D. </w:t>
      </w:r>
      <w:r>
        <w:rPr>
          <w:sz w:val="18"/>
          <w:szCs w:val="18"/>
        </w:rPr>
        <w:t xml:space="preserve">An internally built customer list</w:t>
      </w:r>
    </w:p>
    <w:p>
      <w:pPr>
        <w:spacing w:before="40" w:after="16"/>
        <w:ind w:left="300" w:hanging="300"/>
      </w:pPr>
      <w:r>
        <w:rPr>
          <w:b/>
          <w:bCs/>
          <w:color w:val="353A7C"/>
          <w:sz w:val="19"/>
          <w:szCs w:val="19"/>
        </w:rPr>
        <w:t xml:space="preserve">18.  </w:t>
      </w:r>
      <w:r>
        <w:rPr>
          <w:sz w:val="19"/>
          <w:szCs w:val="19"/>
        </w:rPr>
        <w:t xml:space="preserve">Inventory with a cost of $80,000 was written down to $70,000. NRV then rises to $85,000. What is the carrying amount under IFRS?</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$70,000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$80,000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$75,000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$85,000</w:t>
            </w:r>
          </w:p>
        </w:tc>
      </w:tr>
    </w:tbl>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19.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p>
      <w:pPr>
        <w:pageBreakBefore w:val="true"/>
        <w:spacing w:after="0"/>
      </w:pPr>
      <w:r>
        <w:rPr>
          <w:sz w:val="2"/>
        </w:rPr>
        <w:t xml:space="preserve"> </w:t>
      </w:r>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20.  </w:t>
      </w:r>
      <w:r>
        <w:rPr>
          <w:sz w:val="19"/>
          <w:szCs w:val="19"/>
        </w:rPr>
        <w:t xml:space="preserve">Rebuild the figure from this handout. Label every part and fill in every box.</w:t>
      </w:r>
    </w:p>
    <w:p>
      <w:pPr>
        <w:spacing w:after="40" w:before="90"/>
        <w:jc w:val="center"/>
      </w:pPr>
      <w:r>
        <w:drawing>
          <wp:inline distT="0" distB="0" distL="0" distR="0">
            <wp:extent cx="5734050" cy="41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734050" cy="4157175"/>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21.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revaluation model  ·  prior service cost  ·  lower of cost and net realizable value (LCNRV)</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1"/>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17.2</w:t>
      </w:r>
    </w:p>
    <w:p>
      <w:pPr>
        <w:spacing w:after="8"/>
      </w:pPr>
      <w:r>
        <w:rPr>
          <w:color w:val="23265A"/>
          <w:sz w:val="22"/>
          <w:szCs w:val="22"/>
        </w:rPr>
        <w:t xml:space="preserve">(ii) Intangible assets</w:t>
      </w:r>
    </w:p>
    <w:p>
      <w:pPr>
        <w:spacing w:after="130"/>
      </w:pPr>
      <w:r>
        <w:rPr>
          <w:color w:val="6B7280"/>
          <w:sz w:val="20"/>
          <w:szCs w:val="20"/>
        </w:rPr>
        <w:t xml:space="preserve">section 17.2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952"/>
        <w:gridCol w:w="3698"/>
        <w:gridCol w:w="3949"/>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1017"/>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1926"/>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2057"/>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1017"/>
            <w:tcMar>
              <w:top w:type="dxa" w:w="50"/>
              <w:left w:type="dxa" w:w="110"/>
              <w:bottom w:type="dxa" w:w="50"/>
              <w:right w:type="dxa" w:w="110"/>
            </w:tcMar>
          </w:tcPr>
          <w:p>
            <w:pPr>
              <w:spacing w:before="26" w:after="26"/>
            </w:pPr>
            <w:r>
              <w:rPr>
                <w:color w:val="232733"/>
                <w:sz w:val="16"/>
                <w:szCs w:val="16"/>
              </w:rPr>
              <w:t xml:space="preserve">(ii) Intangible assets</w:t>
            </w:r>
          </w:p>
        </w:tc>
        <w:tc>
          <w:tcPr>
            <w:tcW w:type="pct" w:w="1926"/>
            <w:tcMar>
              <w:top w:type="dxa" w:w="50"/>
              <w:left w:type="dxa" w:w="110"/>
              <w:bottom w:type="dxa" w:w="50"/>
              <w:right w:type="dxa" w:w="110"/>
            </w:tcMar>
          </w:tcPr>
          <w:p>
            <w:pPr>
              <w:spacing w:before="26" w:after="26"/>
            </w:pPr>
            <w:r>
              <w:rPr>
                <w:color w:val="232733"/>
                <w:sz w:val="16"/>
                <w:szCs w:val="16"/>
              </w:rPr>
              <w:t xml:space="preserve">a figure to read · Topic</w:t>
            </w:r>
          </w:p>
        </w:tc>
        <w:tc>
          <w:tcPr>
            <w:tcW w:type="pct" w:w="2057"/>
            <w:tcMar>
              <w:top w:type="dxa" w:w="50"/>
              <w:left w:type="dxa" w:w="110"/>
              <w:bottom w:type="dxa" w:w="50"/>
              <w:right w:type="dxa" w:w="110"/>
            </w:tcMar>
          </w:tcPr>
          <w:p>
            <w:pPr>
              <w:spacing w:before="26" w:after="26"/>
            </w:pPr>
            <w:r>
              <w:rPr>
                <w:color w:val="232733"/>
                <w:sz w:val="16"/>
                <w:szCs w:val="16"/>
              </w:rPr>
              <w:t xml:space="preserve">Which of these did this cycle settle?</w:t>
            </w:r>
          </w:p>
        </w:tc>
      </w:tr>
      <w:tr>
        <w:tc>
          <w:tcPr>
            <w:tcW w:type="pct" w:w="1017"/>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1926"/>
            <w:shd w:fill="FBFAF6" w:val="clear"/>
            <w:tcMar>
              <w:top w:type="dxa" w:w="50"/>
              <w:left w:type="dxa" w:w="110"/>
              <w:bottom w:type="dxa" w:w="50"/>
              <w:right w:type="dxa" w:w="110"/>
            </w:tcMar>
          </w:tcPr>
          <w:p>
            <w:pPr>
              <w:spacing w:before="26" w:after="26"/>
            </w:pPr>
            <w:r>
              <w:rPr>
                <w:color w:val="232733"/>
                <w:sz w:val="16"/>
                <w:szCs w:val="16"/>
              </w:rPr>
              <w:t xml:space="preserve">a figure to read · Item · The English the exam uses, and what it translates</w:t>
            </w:r>
          </w:p>
        </w:tc>
        <w:tc>
          <w:tcPr>
            <w:tcW w:type="pct" w:w="2057"/>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600"/>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400"/>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600"/>
            <w:tcMar>
              <w:top w:type="dxa" w:w="50"/>
              <w:left w:type="dxa" w:w="110"/>
              <w:bottom w:type="dxa" w:w="50"/>
              <w:right w:type="dxa" w:w="110"/>
            </w:tcMar>
          </w:tcPr>
          <w:p>
            <w:pPr>
              <w:spacing w:before="26" w:after="26"/>
            </w:pPr>
            <w:r>
              <w:rPr>
                <w:color w:val="232733"/>
                <w:sz w:val="16"/>
                <w:szCs w:val="16"/>
              </w:rPr>
              <w:t xml:space="preserve">revaluation surplus</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remeasurements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component depreciation</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remeasurements   ·   capitalizes   ·   development   ·   component depreciation   ·   feasibility</w:t>
      </w:r>
    </w:p>
    <w:p>
      <w:pPr>
        <w:spacing w:before="36" w:after="36"/>
        <w:ind w:left="300"/>
      </w:pPr>
      <w:r>
        <w:rPr>
          <w:sz w:val="19"/>
          <w:szCs w:val="19"/>
        </w:rPr>
        <w:t xml:space="preserve">U.S. GAAP expenses research and </w:t>
      </w:r>
      <w:r>
        <w:rPr>
          <w:u w:val="single"/>
          <w:sz w:val="19"/>
          <w:szCs w:val="19"/>
        </w:rPr>
        <w:t xml:space="preserve">             </w:t>
      </w:r>
      <w:r>
        <w:rPr>
          <w:sz w:val="19"/>
          <w:szCs w:val="19"/>
        </w:rPr>
        <w:t xml:space="preserve"> as incurred, with narrow exceptions for software. IAS 38 expenses research but </w:t>
      </w:r>
      <w:r>
        <w:rPr>
          <w:u w:val="single"/>
          <w:sz w:val="19"/>
          <w:szCs w:val="19"/>
        </w:rPr>
        <w:t xml:space="preserve">             </w:t>
      </w:r>
      <w:r>
        <w:rPr>
          <w:sz w:val="19"/>
          <w:szCs w:val="19"/>
        </w:rPr>
        <w:t xml:space="preserve"> development once six criteria are met, such as technical </w:t>
      </w:r>
      <w:r>
        <w:rPr>
          <w:u w:val="single"/>
          <w:sz w:val="19"/>
          <w:szCs w:val="19"/>
        </w:rPr>
        <w:t xml:space="preserve">             </w:t>
      </w:r>
      <w:r>
        <w:rPr>
          <w:sz w:val="19"/>
          <w:szCs w:val="19"/>
        </w:rPr>
        <w:t xml:space="preserve">, intention and ability to complete, and a way to generate future benefits.</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intangibles   ·   remeasurements   ·   component depreciation   ·   revaluation model</w:t>
      </w:r>
    </w:p>
    <w:p>
      <w:pPr>
        <w:spacing w:before="36" w:after="36"/>
        <w:ind w:left="300"/>
      </w:pPr>
      <w:r>
        <w:rPr>
          <w:sz w:val="19"/>
          <w:szCs w:val="19"/>
        </w:rPr>
        <w:t xml:space="preserve">Under U.S. GAAP the whole amount is an expense; under IFRS it is an intangible asset, amortized once the product is ready. IAS 38 also allows the </w:t>
      </w:r>
      <w:r>
        <w:rPr>
          <w:u w:val="single"/>
          <w:sz w:val="19"/>
          <w:szCs w:val="19"/>
        </w:rPr>
        <w:t xml:space="preserve">                   </w:t>
      </w:r>
      <w:r>
        <w:rPr>
          <w:sz w:val="19"/>
          <w:szCs w:val="19"/>
        </w:rPr>
        <w:t xml:space="preserve"> for </w:t>
      </w:r>
      <w:r>
        <w:rPr>
          <w:u w:val="single"/>
          <w:sz w:val="19"/>
          <w:szCs w:val="19"/>
        </w:rPr>
        <w:t xml:space="preserve">             </w:t>
      </w:r>
      <w:r>
        <w:rPr>
          <w:sz w:val="19"/>
          <w:szCs w:val="19"/>
        </w:rPr>
        <w:t xml:space="preserve">, but only where an active market exists, which is rare.</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intangibles   ·   environmental   ·   remeasurements   ·   component depreciation   ·   internal-use</w:t>
      </w:r>
    </w:p>
    <w:p>
      <w:pPr>
        <w:spacing w:before="36" w:after="36"/>
        <w:ind w:left="300"/>
      </w:pPr>
      <w:r>
        <w:rPr>
          <w:sz w:val="19"/>
          <w:szCs w:val="19"/>
        </w:rPr>
        <w:t xml:space="preserve">U.S. GAAP never revalues </w:t>
      </w:r>
      <w:r>
        <w:rPr>
          <w:u w:val="single"/>
          <w:sz w:val="19"/>
          <w:szCs w:val="19"/>
        </w:rPr>
        <w:t xml:space="preserve">             </w:t>
      </w:r>
      <w:r>
        <w:rPr>
          <w:sz w:val="19"/>
          <w:szCs w:val="19"/>
        </w:rPr>
        <w:t xml:space="preserve"> upward. Both frameworks refuse to recognize internally generated brands. ASU 2025-06 simplifies when </w:t>
      </w:r>
      <w:r>
        <w:rPr>
          <w:u w:val="single"/>
          <w:sz w:val="19"/>
          <w:szCs w:val="19"/>
        </w:rPr>
        <w:t xml:space="preserve">              </w:t>
      </w:r>
      <w:r>
        <w:rPr>
          <w:sz w:val="19"/>
          <w:szCs w:val="19"/>
        </w:rPr>
        <w:t xml:space="preserve"> software costs are capitalized, and ASU 2026-02 creates new rules for </w:t>
      </w:r>
      <w:r>
        <w:rPr>
          <w:u w:val="single"/>
          <w:sz w:val="19"/>
          <w:szCs w:val="19"/>
        </w:rPr>
        <w:t xml:space="preserve">               </w:t>
      </w:r>
      <w:r>
        <w:rPr>
          <w:sz w:val="19"/>
          <w:szCs w:val="19"/>
        </w:rPr>
        <w:t xml:space="preserve"> credits.</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How every cycle on this sheet works</w:t>
            </w:r>
          </w:p>
        </w:tc>
      </w:tr>
      <w:tr>
        <w:tc>
          <w:tcPr>
            <w:tcW w:type="pct" w:w="2400"/>
            <w:tcMar>
              <w:top w:type="dxa" w:w="50"/>
              <w:left w:type="dxa" w:w="110"/>
              <w:bottom w:type="dxa" w:w="50"/>
              <w:right w:type="dxa" w:w="110"/>
            </w:tcMar>
          </w:tcPr>
          <w:p>
            <w:pPr>
              <w:spacing w:before="26" w:after="26"/>
            </w:pPr>
            <w:r>
              <w:rPr>
                <w:b/>
                <w:bCs/>
                <w:color w:val="353A7C"/>
                <w:sz w:val="15"/>
                <w:szCs w:val="15"/>
              </w:rPr>
              <w:t xml:space="preserve">How a cycle works</w:t>
            </w:r>
          </w:p>
        </w:tc>
        <w:tc>
          <w:tcPr>
            <w:tcW w:type="pct" w:w="2600"/>
            <w:tcMar>
              <w:top w:type="dxa" w:w="50"/>
              <w:left w:type="dxa" w:w="110"/>
              <w:bottom w:type="dxa" w:w="50"/>
              <w:right w:type="dxa" w:w="110"/>
            </w:tcMar>
          </w:tcPr>
          <w:p>
            <w:pPr>
              <w:spacing w:before="26" w:after="26"/>
            </w:pPr>
            <w:r>
              <w:rPr>
                <w:b/>
                <w:bCs/>
                <w:color w:val="353A7C"/>
                <w:sz w:val="15"/>
                <w:szCs w:val="15"/>
              </w:rPr>
              <w:t xml:space="preserve">what you do</w:t>
            </w:r>
          </w:p>
        </w:tc>
      </w:tr>
      <w:tr>
        <w:tc>
          <w:tcPr>
            <w:tcW w:type="pct" w:w="2400"/>
            <w:tcMar>
              <w:top w:type="dxa" w:w="50"/>
              <w:left w:type="dxa" w:w="110"/>
              <w:bottom w:type="dxa" w:w="50"/>
              <w:right w:type="dxa" w:w="110"/>
            </w:tcMar>
          </w:tcPr>
          <w:p>
            <w:pPr>
              <w:spacing w:before="26" w:after="26"/>
            </w:pPr>
            <w:r>
              <w:rPr>
                <w:color w:val="232733"/>
                <w:sz w:val="16"/>
                <w:szCs w:val="16"/>
              </w:rPr>
              <w:t xml:space="preserve">MODEL</w:t>
            </w:r>
          </w:p>
        </w:tc>
        <w:tc>
          <w:tcPr>
            <w:tcW w:type="pct" w:w="2600"/>
            <w:tcMar>
              <w:top w:type="dxa" w:w="50"/>
              <w:left w:type="dxa" w:w="110"/>
              <w:bottom w:type="dxa" w:w="50"/>
              <w:right w:type="dxa" w:w="110"/>
            </w:tcMar>
          </w:tcPr>
          <w:p>
            <w:pPr>
              <w:spacing w:before="26" w:after="26"/>
            </w:pPr>
            <w:r>
              <w:rPr>
                <w:color w:val="232733"/>
                <w:sz w:val="16"/>
                <w:szCs w:val="16"/>
              </w:rPr>
              <w:t xml:space="preserve">read the figure or the table before you answer anything</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READ THE MODEL</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every answer is printed on the same page</w:t>
            </w:r>
          </w:p>
        </w:tc>
      </w:tr>
      <w:tr>
        <w:tc>
          <w:tcPr>
            <w:tcW w:type="pct" w:w="2400"/>
            <w:tcMar>
              <w:top w:type="dxa" w:w="50"/>
              <w:left w:type="dxa" w:w="110"/>
              <w:bottom w:type="dxa" w:w="50"/>
              <w:right w:type="dxa" w:w="110"/>
            </w:tcMar>
          </w:tcPr>
          <w:p>
            <w:pPr>
              <w:spacing w:before="26" w:after="26"/>
            </w:pPr>
            <w:r>
              <w:rPr>
                <w:color w:val="232733"/>
                <w:sz w:val="16"/>
                <w:szCs w:val="16"/>
              </w:rPr>
              <w:t xml:space="preserve">INVENT THE RULE</w:t>
            </w:r>
          </w:p>
        </w:tc>
        <w:tc>
          <w:tcPr>
            <w:tcW w:type="pct" w:w="2600"/>
            <w:tcMar>
              <w:top w:type="dxa" w:w="50"/>
              <w:left w:type="dxa" w:w="110"/>
              <w:bottom w:type="dxa" w:w="50"/>
              <w:right w:type="dxa" w:w="110"/>
            </w:tcMar>
          </w:tcPr>
          <w:p>
            <w:pPr>
              <w:spacing w:before="26" w:after="26"/>
            </w:pPr>
            <w:r>
              <w:rPr>
                <w:color w:val="232733"/>
                <w:sz w:val="16"/>
                <w:szCs w:val="16"/>
              </w:rPr>
              <w:t xml:space="preserve">write the rule yourself, then compare with the book</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APPLY</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no help on this move</w:t>
            </w:r>
          </w:p>
        </w:tc>
      </w:tr>
      <w:tr>
        <w:tc>
          <w:tcPr>
            <w:tcW w:type="pct" w:w="2400"/>
            <w:tcMar>
              <w:top w:type="dxa" w:w="50"/>
              <w:left w:type="dxa" w:w="110"/>
              <w:bottom w:type="dxa" w:w="50"/>
              <w:right w:type="dxa" w:w="110"/>
            </w:tcMar>
          </w:tcPr>
          <w:p>
            <w:pPr>
              <w:spacing w:before="26" w:after="26"/>
            </w:pPr>
            <w:r>
              <w:rPr>
                <w:color w:val="232733"/>
                <w:sz w:val="16"/>
                <w:szCs w:val="16"/>
              </w:rPr>
              <w:t xml:space="preserve">CHECKPOINT</w:t>
            </w:r>
          </w:p>
        </w:tc>
        <w:tc>
          <w:tcPr>
            <w:tcW w:type="pct" w:w="2600"/>
            <w:tcMar>
              <w:top w:type="dxa" w:w="50"/>
              <w:left w:type="dxa" w:w="110"/>
              <w:bottom w:type="dxa" w:w="50"/>
              <w:right w:type="dxa" w:w="110"/>
            </w:tcMar>
          </w:tcPr>
          <w:p>
            <w:pPr>
              <w:spacing w:before="26" w:after="26"/>
            </w:pPr>
            <w:r>
              <w:rPr>
                <w:color w:val="232733"/>
                <w:sz w:val="16"/>
                <w:szCs w:val="16"/>
              </w:rPr>
              <w:t xml:space="preserve">mark it yourself; if you miss it, the sheet says what to redo</w:t>
            </w:r>
          </w:p>
        </w:tc>
      </w:tr>
    </w:tbl>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(ii) Intangible assets</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Every number in a financial statement belongs to an element the framework defines.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4142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734050" cy="4142100"/>
                    </a:xfrm>
                    <a:prstGeom prst="rect">
                      <a:avLst/>
                    </a:prstGeom>
                  </pic:spPr>
                </pic:pic>
              </a:graphicData>
            </a:graphic>
          </wp:inline>
        </w:drawing>
      </w:r>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3723"/>
        <w:gridCol w:w="3186"/>
        <w:gridCol w:w="2691"/>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Topic — the book’s own table</w:t>
            </w:r>
          </w:p>
        </w:tc>
      </w:tr>
      <w:tr>
        <w:tc>
          <w:tcPr>
            <w:tcW w:type="pct" w:w="1939"/>
            <w:tcMar>
              <w:top w:type="dxa" w:w="50"/>
              <w:left w:type="dxa" w:w="110"/>
              <w:bottom w:type="dxa" w:w="50"/>
              <w:right w:type="dxa" w:w="110"/>
            </w:tcMar>
          </w:tcPr>
          <w:p>
            <w:pPr>
              <w:spacing w:before="26" w:after="26"/>
            </w:pPr>
            <w:r>
              <w:rPr>
                <w:b/>
                <w:bCs/>
                <w:color w:val="353A7C"/>
                <w:sz w:val="15"/>
                <w:szCs w:val="15"/>
              </w:rPr>
              <w:t xml:space="preserve">Topic</w:t>
            </w:r>
          </w:p>
        </w:tc>
        <w:tc>
          <w:tcPr>
            <w:tcW w:type="pct" w:w="1659"/>
            <w:tcMar>
              <w:top w:type="dxa" w:w="50"/>
              <w:left w:type="dxa" w:w="110"/>
              <w:bottom w:type="dxa" w:w="50"/>
              <w:right w:type="dxa" w:w="110"/>
            </w:tcMar>
          </w:tcPr>
          <w:p>
            <w:pPr>
              <w:spacing w:before="26" w:after="26"/>
            </w:pPr>
            <w:r>
              <w:rPr>
                <w:b/>
                <w:bCs/>
                <w:color w:val="353A7C"/>
                <w:sz w:val="15"/>
                <w:szCs w:val="15"/>
              </w:rPr>
              <w:t xml:space="preserve">U.S. GAAP (ASC 350, 730)</w:t>
            </w:r>
          </w:p>
        </w:tc>
        <w:tc>
          <w:tcPr>
            <w:tcW w:type="pct" w:w="1402"/>
            <w:tcMar>
              <w:top w:type="dxa" w:w="50"/>
              <w:left w:type="dxa" w:w="110"/>
              <w:bottom w:type="dxa" w:w="50"/>
              <w:right w:type="dxa" w:w="110"/>
            </w:tcMar>
          </w:tcPr>
          <w:p>
            <w:pPr>
              <w:spacing w:before="26" w:after="26"/>
            </w:pPr>
            <w:r>
              <w:rPr>
                <w:b/>
                <w:bCs/>
                <w:color w:val="353A7C"/>
                <w:sz w:val="15"/>
                <w:szCs w:val="15"/>
              </w:rPr>
              <w:t xml:space="preserve">IFRS (IAS 38)</w:t>
            </w:r>
          </w:p>
        </w:tc>
      </w:tr>
      <w:tr>
        <w:tc>
          <w:tcPr>
            <w:tcW w:type="pct" w:w="1939"/>
            <w:tcMar>
              <w:top w:type="dxa" w:w="50"/>
              <w:left w:type="dxa" w:w="110"/>
              <w:bottom w:type="dxa" w:w="50"/>
              <w:right w:type="dxa" w:w="110"/>
            </w:tcMar>
          </w:tcPr>
          <w:p>
            <w:pPr>
              <w:spacing w:before="26" w:after="26"/>
            </w:pPr>
            <w:r>
              <w:rPr>
                <w:color w:val="232733"/>
                <w:sz w:val="16"/>
                <w:szCs w:val="16"/>
              </w:rPr>
              <w:t xml:space="preserve">Development costs: Orontes's new sparkling-juice line, 300,000</w:t>
            </w:r>
          </w:p>
        </w:tc>
        <w:tc>
          <w:tcPr>
            <w:tcW w:type="pct" w:w="1659"/>
            <w:tcMar>
              <w:top w:type="dxa" w:w="50"/>
              <w:left w:type="dxa" w:w="110"/>
              <w:bottom w:type="dxa" w:w="50"/>
              <w:right w:type="dxa" w:w="110"/>
            </w:tcMar>
          </w:tcPr>
          <w:p>
            <w:pPr>
              <w:spacing w:before="26" w:after="26"/>
            </w:pPr>
            <w:r>
              <w:rPr>
                <w:color w:val="232733"/>
                <w:sz w:val="16"/>
                <w:szCs w:val="16"/>
              </w:rPr>
              <w:t xml:space="preserve">Expensed as R&amp;D</w:t>
            </w:r>
          </w:p>
        </w:tc>
        <w:tc>
          <w:tcPr>
            <w:tcW w:type="pct" w:w="1402"/>
            <w:tcMar>
              <w:top w:type="dxa" w:w="50"/>
              <w:left w:type="dxa" w:w="110"/>
              <w:bottom w:type="dxa" w:w="50"/>
              <w:right w:type="dxa" w:w="110"/>
            </w:tcMar>
          </w:tcPr>
          <w:p>
            <w:pPr>
              <w:spacing w:before="26" w:after="26"/>
            </w:pPr>
            <w:r>
              <w:rPr>
                <w:color w:val="232733"/>
                <w:sz w:val="16"/>
                <w:szCs w:val="16"/>
              </w:rPr>
              <w:t xml:space="preserve">Capitalized: all six IAS 38 criteria are met</w:t>
            </w:r>
          </w:p>
        </w:tc>
      </w:tr>
      <w:tr>
        <w:tc>
          <w:tcPr>
            <w:tcW w:type="pct" w:w="1939"/>
            <w:shd w:fill="FBFAF6" w:val="clear"/>
            <w:tcMar>
              <w:top w:type="dxa" w:w="50"/>
              <w:left w:type="dxa" w:w="110"/>
              <w:bottom w:type="dxa" w:w="50"/>
              <w:right w:type="dxa" w:w="110"/>
            </w:tcMar>
          </w:tcPr>
          <w:p>
            <w:pPr>
              <w:spacing w:before="26" w:after="26"/>
            </w:pPr>
            <w:r>
              <w:rPr>
                <w:color w:val="232733"/>
                <w:sz w:val="16"/>
                <w:szCs w:val="16"/>
              </w:rPr>
              <w:t xml:space="preserve">Software developed for sale or internal use</w:t>
            </w:r>
          </w:p>
        </w:tc>
        <w:tc>
          <w:tcPr>
            <w:tcW w:type="pct" w:w="1659"/>
            <w:shd w:fill="FBFAF6" w:val="clear"/>
            <w:tcMar>
              <w:top w:type="dxa" w:w="50"/>
              <w:left w:type="dxa" w:w="110"/>
              <w:bottom w:type="dxa" w:w="50"/>
              <w:right w:type="dxa" w:w="110"/>
            </w:tcMar>
          </w:tcPr>
          <w:p>
            <w:pPr>
              <w:spacing w:before="26" w:after="26"/>
            </w:pPr>
            <w:r>
              <w:rPr>
                <w:color w:val="232733"/>
                <w:sz w:val="16"/>
                <w:szCs w:val="16"/>
              </w:rPr>
              <w:t xml:space="preserve">Capitalized only in limited stages (ASC 985-20, 350-40)</w:t>
            </w:r>
          </w:p>
        </w:tc>
        <w:tc>
          <w:tcPr>
            <w:tcW w:type="pct" w:w="1402"/>
            <w:shd w:fill="FBFAF6" w:val="clear"/>
            <w:tcMar>
              <w:top w:type="dxa" w:w="50"/>
              <w:left w:type="dxa" w:w="110"/>
              <w:bottom w:type="dxa" w:w="50"/>
              <w:right w:type="dxa" w:w="110"/>
            </w:tcMar>
          </w:tcPr>
          <w:p>
            <w:pPr>
              <w:spacing w:before="26" w:after="26"/>
            </w:pPr>
            <w:r>
              <w:rPr>
                <w:color w:val="232733"/>
                <w:sz w:val="16"/>
                <w:szCs w:val="16"/>
              </w:rPr>
              <w:t xml:space="preserve">Development rules of IAS 38</w:t>
            </w:r>
          </w:p>
        </w:tc>
      </w:tr>
      <w:tr>
        <w:tc>
          <w:tcPr>
            <w:tcW w:type="pct" w:w="1939"/>
            <w:tcMar>
              <w:top w:type="dxa" w:w="50"/>
              <w:left w:type="dxa" w:w="110"/>
              <w:bottom w:type="dxa" w:w="50"/>
              <w:right w:type="dxa" w:w="110"/>
            </w:tcMar>
          </w:tcPr>
          <w:p>
            <w:pPr>
              <w:spacing w:before="26" w:after="26"/>
            </w:pPr>
            <w:r>
              <w:rPr>
                <w:color w:val="232733"/>
                <w:sz w:val="16"/>
                <w:szCs w:val="16"/>
              </w:rPr>
              <w:t xml:space="preserve">Revaluation of intangibles</w:t>
            </w:r>
          </w:p>
        </w:tc>
        <w:tc>
          <w:tcPr>
            <w:tcW w:type="pct" w:w="1659"/>
            <w:tcMar>
              <w:top w:type="dxa" w:w="50"/>
              <w:left w:type="dxa" w:w="110"/>
              <w:bottom w:type="dxa" w:w="50"/>
              <w:right w:type="dxa" w:w="110"/>
            </w:tcMar>
          </w:tcPr>
          <w:p>
            <w:pPr>
              <w:spacing w:before="26" w:after="26"/>
            </w:pPr>
            <w:r>
              <w:rPr>
                <w:color w:val="232733"/>
                <w:sz w:val="16"/>
                <w:szCs w:val="16"/>
              </w:rPr>
              <w:t xml:space="preserve">Not allowed</w:t>
            </w:r>
          </w:p>
        </w:tc>
        <w:tc>
          <w:tcPr>
            <w:tcW w:type="pct" w:w="1402"/>
            <w:tcMar>
              <w:top w:type="dxa" w:w="50"/>
              <w:left w:type="dxa" w:w="110"/>
              <w:bottom w:type="dxa" w:w="50"/>
              <w:right w:type="dxa" w:w="110"/>
            </w:tcMar>
          </w:tcPr>
          <w:p>
            <w:pPr>
              <w:spacing w:before="26" w:after="26"/>
            </w:pPr>
            <w:r>
              <w:rPr>
                <w:color w:val="232733"/>
                <w:sz w:val="16"/>
                <w:szCs w:val="16"/>
              </w:rPr>
              <w:t xml:space="preserve">Allowed only if an active market exists</w:t>
            </w:r>
          </w:p>
        </w:tc>
      </w:tr>
      <w:tr>
        <w:tc>
          <w:tcPr>
            <w:tcW w:type="pct" w:w="1939"/>
            <w:shd w:fill="FBFAF6" w:val="clear"/>
            <w:tcMar>
              <w:top w:type="dxa" w:w="50"/>
              <w:left w:type="dxa" w:w="110"/>
              <w:bottom w:type="dxa" w:w="50"/>
              <w:right w:type="dxa" w:w="110"/>
            </w:tcMar>
          </w:tcPr>
          <w:p>
            <w:pPr>
              <w:spacing w:before="26" w:after="26"/>
            </w:pPr>
            <w:r>
              <w:rPr>
                <w:color w:val="232733"/>
                <w:sz w:val="16"/>
                <w:szCs w:val="16"/>
              </w:rPr>
              <w:t xml:space="preserve">Internally generated brands and customer lists</w:t>
            </w:r>
          </w:p>
        </w:tc>
        <w:tc>
          <w:tcPr>
            <w:tcW w:type="pct" w:w="1659"/>
            <w:shd w:fill="FBFAF6" w:val="clear"/>
            <w:tcMar>
              <w:top w:type="dxa" w:w="50"/>
              <w:left w:type="dxa" w:w="110"/>
              <w:bottom w:type="dxa" w:w="50"/>
              <w:right w:type="dxa" w:w="110"/>
            </w:tcMar>
          </w:tcPr>
          <w:p>
            <w:pPr>
              <w:spacing w:before="26" w:after="26"/>
            </w:pPr>
            <w:r>
              <w:rPr>
                <w:color w:val="232733"/>
                <w:sz w:val="16"/>
                <w:szCs w:val="16"/>
              </w:rPr>
              <w:t xml:space="preserve">Not recognized</w:t>
            </w:r>
          </w:p>
        </w:tc>
        <w:tc>
          <w:tcPr>
            <w:tcW w:type="pct" w:w="1402"/>
            <w:shd w:fill="FBFAF6" w:val="clear"/>
            <w:tcMar>
              <w:top w:type="dxa" w:w="50"/>
              <w:left w:type="dxa" w:w="110"/>
              <w:bottom w:type="dxa" w:w="50"/>
              <w:right w:type="dxa" w:w="110"/>
            </w:tcMar>
          </w:tcPr>
          <w:p>
            <w:pPr>
              <w:spacing w:before="26" w:after="26"/>
            </w:pPr>
            <w:r>
              <w:rPr>
                <w:color w:val="232733"/>
                <w:sz w:val="16"/>
                <w:szCs w:val="16"/>
              </w:rPr>
              <w:t xml:space="preserve">Not recognized</w:t>
            </w:r>
          </w:p>
        </w:tc>
      </w:tr>
      <w:tr>
        <w:tc>
          <w:tcPr>
            <w:tcW w:type="pct" w:w="1939"/>
            <w:tcMar>
              <w:top w:type="dxa" w:w="50"/>
              <w:left w:type="dxa" w:w="110"/>
              <w:bottom w:type="dxa" w:w="50"/>
              <w:right w:type="dxa" w:w="110"/>
            </w:tcMar>
          </w:tcPr>
          <w:p>
            <w:pPr>
              <w:spacing w:before="26" w:after="26"/>
            </w:pPr>
            <w:r>
              <w:rPr>
                <w:color w:val="232733"/>
                <w:sz w:val="16"/>
                <w:szCs w:val="16"/>
              </w:rPr>
              <w:t xml:space="preserve">Indefinite-life intangibles</w:t>
            </w:r>
          </w:p>
        </w:tc>
        <w:tc>
          <w:tcPr>
            <w:tcW w:type="pct" w:w="1659"/>
            <w:tcMar>
              <w:top w:type="dxa" w:w="50"/>
              <w:left w:type="dxa" w:w="110"/>
              <w:bottom w:type="dxa" w:w="50"/>
              <w:right w:type="dxa" w:w="110"/>
            </w:tcMar>
          </w:tcPr>
          <w:p>
            <w:pPr>
              <w:spacing w:before="26" w:after="26"/>
            </w:pPr>
            <w:r>
              <w:rPr>
                <w:color w:val="232733"/>
                <w:sz w:val="16"/>
                <w:szCs w:val="16"/>
              </w:rPr>
              <w:t xml:space="preserve">Not amortized; tested for impairment</w:t>
            </w:r>
          </w:p>
        </w:tc>
        <w:tc>
          <w:tcPr>
            <w:tcW w:type="pct" w:w="1402"/>
            <w:tcMar>
              <w:top w:type="dxa" w:w="50"/>
              <w:left w:type="dxa" w:w="110"/>
              <w:bottom w:type="dxa" w:w="50"/>
              <w:right w:type="dxa" w:w="110"/>
            </w:tcMar>
          </w:tcPr>
          <w:p>
            <w:pPr>
              <w:spacing w:before="26" w:after="26"/>
            </w:pPr>
            <w:r>
              <w:rPr>
                <w:color w:val="232733"/>
                <w:sz w:val="16"/>
                <w:szCs w:val="16"/>
              </w:rPr>
              <w:t xml:space="preserve">Not amortized; tested for impairment</w:t>
            </w:r>
          </w:p>
        </w:tc>
      </w:tr>
      <w:tr>
        <w:tc>
          <w:tcPr>
            <w:tcW w:type="pct" w:w="1939"/>
            <w:shd w:fill="FBFAF6" w:val="clear"/>
            <w:tcMar>
              <w:top w:type="dxa" w:w="50"/>
              <w:left w:type="dxa" w:w="110"/>
              <w:bottom w:type="dxa" w:w="50"/>
              <w:right w:type="dxa" w:w="110"/>
            </w:tcMar>
          </w:tcPr>
          <w:p>
            <w:pPr>
              <w:spacing w:before="26" w:after="26"/>
            </w:pPr>
            <w:r>
              <w:rPr>
                <w:color w:val="232733"/>
                <w:sz w:val="16"/>
                <w:szCs w:val="16"/>
              </w:rPr>
              <w:t xml:space="preserve">Goodwill amortization</w:t>
            </w:r>
          </w:p>
        </w:tc>
        <w:tc>
          <w:tcPr>
            <w:tcW w:type="pct" w:w="1659"/>
            <w:shd w:fill="FBFAF6" w:val="clear"/>
            <w:tcMar>
              <w:top w:type="dxa" w:w="50"/>
              <w:left w:type="dxa" w:w="110"/>
              <w:bottom w:type="dxa" w:w="50"/>
              <w:right w:type="dxa" w:w="110"/>
            </w:tcMar>
          </w:tcPr>
          <w:p>
            <w:pPr>
              <w:spacing w:before="26" w:after="26"/>
            </w:pPr>
            <w:r>
              <w:rPr>
                <w:color w:val="232733"/>
                <w:sz w:val="16"/>
                <w:szCs w:val="16"/>
              </w:rPr>
              <w:t xml:space="preserve">Only private companies may elect it</w:t>
            </w:r>
          </w:p>
        </w:tc>
        <w:tc>
          <w:tcPr>
            <w:tcW w:type="pct" w:w="1402"/>
            <w:shd w:fill="FBFAF6" w:val="clear"/>
            <w:tcMar>
              <w:top w:type="dxa" w:w="50"/>
              <w:left w:type="dxa" w:w="110"/>
              <w:bottom w:type="dxa" w:w="50"/>
              <w:right w:type="dxa" w:w="110"/>
            </w:tcMar>
          </w:tcPr>
          <w:p>
            <w:pPr>
              <w:spacing w:before="26" w:after="26"/>
            </w:pPr>
            <w:r>
              <w:rPr>
                <w:color w:val="232733"/>
                <w:sz w:val="16"/>
                <w:szCs w:val="16"/>
              </w:rPr>
              <w:t xml:space="preserve">Never</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topic does the book pair with “Capitalized only in limited stages (ASC 985-20, 350-40)”?</w:t>
      </w:r>
    </w:p>
    <w:p>
      <w:pPr>
        <w:spacing w:after="18"/>
        <w:ind w:left="560" w:hanging="260"/>
      </w:pPr>
      <w:r>
        <w:rPr>
          <w:b/>
          <w:bCs/>
          <w:color w:val="8186EF"/>
          <w:sz w:val="18"/>
          <w:szCs w:val="18"/>
        </w:rPr>
        <w:t xml:space="preserve">A. </w:t>
      </w:r>
      <w:r>
        <w:rPr>
          <w:sz w:val="18"/>
          <w:szCs w:val="18"/>
        </w:rPr>
        <w:t xml:space="preserve">Internally generated brands and customer lists</w:t>
      </w:r>
    </w:p>
    <w:p>
      <w:pPr>
        <w:spacing w:after="18"/>
        <w:ind w:left="560" w:hanging="260"/>
      </w:pPr>
      <w:r>
        <w:rPr>
          <w:b/>
          <w:bCs/>
          <w:color w:val="8186EF"/>
          <w:sz w:val="18"/>
          <w:szCs w:val="18"/>
        </w:rPr>
        <w:t xml:space="preserve">B. </w:t>
      </w:r>
      <w:r>
        <w:rPr>
          <w:sz w:val="18"/>
          <w:szCs w:val="18"/>
        </w:rPr>
        <w:t xml:space="preserve">Indefinite-life intangibles</w:t>
      </w:r>
    </w:p>
    <w:p>
      <w:pPr>
        <w:spacing w:after="18"/>
        <w:ind w:left="560" w:hanging="260"/>
      </w:pPr>
      <w:r>
        <w:rPr>
          <w:b/>
          <w:bCs/>
          <w:color w:val="8186EF"/>
          <w:sz w:val="18"/>
          <w:szCs w:val="18"/>
        </w:rPr>
        <w:t xml:space="preserve">C. </w:t>
      </w:r>
      <w:r>
        <w:rPr>
          <w:sz w:val="18"/>
          <w:szCs w:val="18"/>
        </w:rPr>
        <w:t xml:space="preserve">Software developed for sale or internal use</w:t>
      </w:r>
    </w:p>
    <w:p>
      <w:pPr>
        <w:spacing w:after="18"/>
        <w:ind w:left="560" w:hanging="260"/>
      </w:pPr>
      <w:r>
        <w:rPr>
          <w:b/>
          <w:bCs/>
          <w:color w:val="8186EF"/>
          <w:sz w:val="18"/>
          <w:szCs w:val="18"/>
        </w:rPr>
        <w:t xml:space="preserve">D. </w:t>
      </w:r>
      <w:r>
        <w:rPr>
          <w:sz w:val="18"/>
          <w:szCs w:val="18"/>
        </w:rPr>
        <w:t xml:space="preserve">Goodwill amortization</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6.  </w:t>
      </w:r>
      <w:r>
        <w:rPr>
          <w:sz w:val="19"/>
          <w:szCs w:val="19"/>
        </w:rPr>
        <w:t xml:space="preserve">A U.S. company uses LIFO. Which valuation rule applies at year-end?</w:t>
      </w:r>
    </w:p>
    <w:p>
      <w:pPr>
        <w:spacing w:after="18"/>
        <w:ind w:left="560" w:hanging="260"/>
      </w:pPr>
      <w:r>
        <w:rPr>
          <w:b/>
          <w:bCs/>
          <w:color w:val="8186EF"/>
          <w:sz w:val="18"/>
          <w:szCs w:val="18"/>
        </w:rPr>
        <w:t xml:space="preserve">A. </w:t>
      </w:r>
      <w:r>
        <w:rPr>
          <w:sz w:val="18"/>
          <w:szCs w:val="18"/>
        </w:rPr>
        <w:t xml:space="preserve">Lower of cost or market</w:t>
      </w:r>
    </w:p>
    <w:p>
      <w:pPr>
        <w:spacing w:after="18"/>
        <w:ind w:left="560" w:hanging="260"/>
      </w:pPr>
      <w:r>
        <w:rPr>
          <w:b/>
          <w:bCs/>
          <w:color w:val="8186EF"/>
          <w:sz w:val="18"/>
          <w:szCs w:val="18"/>
        </w:rPr>
        <w:t xml:space="preserve">B. </w:t>
      </w:r>
      <w:r>
        <w:rPr>
          <w:sz w:val="18"/>
          <w:szCs w:val="18"/>
        </w:rPr>
        <w:t xml:space="preserve">Lower of cost and net realizable value</w:t>
      </w:r>
    </w:p>
    <w:p>
      <w:pPr>
        <w:spacing w:after="18"/>
        <w:ind w:left="560" w:hanging="260"/>
      </w:pPr>
      <w:r>
        <w:rPr>
          <w:b/>
          <w:bCs/>
          <w:color w:val="8186EF"/>
          <w:sz w:val="18"/>
          <w:szCs w:val="18"/>
        </w:rPr>
        <w:t xml:space="preserve">C. </w:t>
      </w:r>
      <w:r>
        <w:rPr>
          <w:sz w:val="18"/>
          <w:szCs w:val="18"/>
        </w:rPr>
        <w:t xml:space="preserve">Fair value</w:t>
      </w:r>
    </w:p>
    <w:p>
      <w:pPr>
        <w:spacing w:after="18"/>
        <w:ind w:left="560" w:hanging="260"/>
      </w:pPr>
      <w:r>
        <w:rPr>
          <w:b/>
          <w:bCs/>
          <w:color w:val="8186EF"/>
          <w:sz w:val="18"/>
          <w:szCs w:val="18"/>
        </w:rPr>
        <w:t xml:space="preserve">D. </w:t>
      </w:r>
      <w:r>
        <w:rPr>
          <w:sz w:val="18"/>
          <w:szCs w:val="18"/>
        </w:rPr>
        <w:t xml:space="preserve">Replacement cost always</w:t>
      </w:r>
    </w:p>
    <w:p>
      <w:pPr>
        <w:spacing w:before="40" w:after="16"/>
        <w:ind w:left="300" w:hanging="300"/>
      </w:pPr>
      <w:r>
        <w:rPr>
          <w:b/>
          <w:bCs/>
          <w:color w:val="353A7C"/>
          <w:sz w:val="19"/>
          <w:szCs w:val="19"/>
        </w:rPr>
        <w:t xml:space="preserve">7.  </w:t>
      </w:r>
      <w:r>
        <w:rPr>
          <w:sz w:val="19"/>
          <w:szCs w:val="19"/>
        </w:rPr>
        <w:t xml:space="preserve">Over the whole life of a lease, compared with IFRS 16, a U.S. operating lease gives:</w:t>
      </w:r>
    </w:p>
    <w:p>
      <w:pPr>
        <w:spacing w:after="18"/>
        <w:ind w:left="560" w:hanging="260"/>
      </w:pPr>
      <w:r>
        <w:rPr>
          <w:b/>
          <w:bCs/>
          <w:color w:val="8186EF"/>
          <w:sz w:val="18"/>
          <w:szCs w:val="18"/>
        </w:rPr>
        <w:t xml:space="preserve">A. </w:t>
      </w:r>
      <w:r>
        <w:rPr>
          <w:sz w:val="18"/>
          <w:szCs w:val="18"/>
        </w:rPr>
        <w:t xml:space="preserve">a lower total expense</w:t>
      </w:r>
    </w:p>
    <w:p>
      <w:pPr>
        <w:spacing w:after="18"/>
        <w:ind w:left="560" w:hanging="260"/>
      </w:pPr>
      <w:r>
        <w:rPr>
          <w:b/>
          <w:bCs/>
          <w:color w:val="8186EF"/>
          <w:sz w:val="18"/>
          <w:szCs w:val="18"/>
        </w:rPr>
        <w:t xml:space="preserve">B. </w:t>
      </w:r>
      <w:r>
        <w:rPr>
          <w:sz w:val="18"/>
          <w:szCs w:val="18"/>
        </w:rPr>
        <w:t xml:space="preserve">the same total expense, spread evenly instead of front-loaded</w:t>
      </w:r>
    </w:p>
    <w:p>
      <w:pPr>
        <w:spacing w:after="18"/>
        <w:ind w:left="560" w:hanging="260"/>
      </w:pPr>
      <w:r>
        <w:rPr>
          <w:b/>
          <w:bCs/>
          <w:color w:val="8186EF"/>
          <w:sz w:val="18"/>
          <w:szCs w:val="18"/>
        </w:rPr>
        <w:t xml:space="preserve">C. </w:t>
      </w:r>
      <w:r>
        <w:rPr>
          <w:sz w:val="18"/>
          <w:szCs w:val="18"/>
        </w:rPr>
        <w:t xml:space="preserve">a higher total expense</w:t>
      </w:r>
    </w:p>
    <w:p>
      <w:pPr>
        <w:spacing w:after="18"/>
        <w:ind w:left="560" w:hanging="260"/>
      </w:pPr>
      <w:r>
        <w:rPr>
          <w:b/>
          <w:bCs/>
          <w:color w:val="8186EF"/>
          <w:sz w:val="18"/>
          <w:szCs w:val="18"/>
        </w:rPr>
        <w:t xml:space="preserve">D. </w:t>
      </w:r>
      <w:r>
        <w:rPr>
          <w:sz w:val="18"/>
          <w:szCs w:val="18"/>
        </w:rPr>
        <w:t xml:space="preserve">no expense until the lease ends</w:t>
      </w:r>
    </w:p>
    <w:p>
      <w:pPr>
        <w:spacing w:before="40" w:after="16"/>
        <w:ind w:left="300" w:hanging="300"/>
      </w:pPr>
      <w:r>
        <w:rPr>
          <w:b/>
          <w:bCs/>
          <w:color w:val="353A7C"/>
          <w:sz w:val="19"/>
          <w:szCs w:val="19"/>
        </w:rPr>
        <w:t xml:space="preserve">8.  </w:t>
      </w:r>
      <w:r>
        <w:rPr>
          <w:sz w:val="19"/>
          <w:szCs w:val="19"/>
        </w:rPr>
        <w:t xml:space="preserve">An IFRS company holds an office building to earn rent. It may measure the building:</w:t>
      </w:r>
    </w:p>
    <w:p>
      <w:pPr>
        <w:spacing w:after="18"/>
        <w:ind w:left="560" w:hanging="260"/>
      </w:pPr>
      <w:r>
        <w:rPr>
          <w:b/>
          <w:bCs/>
          <w:color w:val="8186EF"/>
          <w:sz w:val="18"/>
          <w:szCs w:val="18"/>
        </w:rPr>
        <w:t xml:space="preserve">A. </w:t>
      </w:r>
      <w:r>
        <w:rPr>
          <w:sz w:val="18"/>
          <w:szCs w:val="18"/>
        </w:rPr>
        <w:t xml:space="preserve">only at cost</w:t>
      </w:r>
    </w:p>
    <w:p>
      <w:pPr>
        <w:spacing w:after="18"/>
        <w:ind w:left="560" w:hanging="260"/>
      </w:pPr>
      <w:r>
        <w:rPr>
          <w:b/>
          <w:bCs/>
          <w:color w:val="8186EF"/>
          <w:sz w:val="18"/>
          <w:szCs w:val="18"/>
        </w:rPr>
        <w:t xml:space="preserve">B. </w:t>
      </w:r>
      <w:r>
        <w:rPr>
          <w:sz w:val="18"/>
          <w:szCs w:val="18"/>
        </w:rPr>
        <w:t xml:space="preserve">only at fair value through OCI</w:t>
      </w:r>
    </w:p>
    <w:p>
      <w:pPr>
        <w:spacing w:after="18"/>
        <w:ind w:left="560" w:hanging="260"/>
      </w:pPr>
      <w:r>
        <w:rPr>
          <w:b/>
          <w:bCs/>
          <w:color w:val="8186EF"/>
          <w:sz w:val="18"/>
          <w:szCs w:val="18"/>
        </w:rPr>
        <w:t xml:space="preserve">C. </w:t>
      </w:r>
      <w:r>
        <w:rPr>
          <w:sz w:val="18"/>
          <w:szCs w:val="18"/>
        </w:rPr>
        <w:t xml:space="preserve">at replacement cost</w:t>
      </w:r>
    </w:p>
    <w:p>
      <w:pPr>
        <w:spacing w:after="18"/>
        <w:ind w:left="560" w:hanging="260"/>
      </w:pPr>
      <w:r>
        <w:rPr>
          <w:b/>
          <w:bCs/>
          <w:color w:val="8186EF"/>
          <w:sz w:val="18"/>
          <w:szCs w:val="18"/>
        </w:rPr>
        <w:t xml:space="preserve">D. </w:t>
      </w:r>
      <w:r>
        <w:rPr>
          <w:sz w:val="18"/>
          <w:szCs w:val="18"/>
        </w:rPr>
        <w:t xml:space="preserve">at fair value through profit or loss, or at cost (IAS 40)</w:t>
      </w:r>
    </w:p>
    <w:p>
      <w:pPr>
        <w:spacing w:before="40" w:after="16"/>
        <w:ind w:left="300" w:hanging="300"/>
      </w:pPr>
      <w:r>
        <w:rPr>
          <w:b/>
          <w:bCs/>
          <w:color w:val="353A7C"/>
          <w:sz w:val="19"/>
          <w:szCs w:val="19"/>
        </w:rPr>
        <w:t xml:space="preserve">9.  </w:t>
      </w:r>
      <w:r>
        <w:rPr>
          <w:sz w:val="19"/>
          <w:szCs w:val="19"/>
        </w:rPr>
        <w:t xml:space="preserve">Under U.S. GAAP, which measure is compared with the carrying amount in the first step of an impairment test for a held-and-used asset group?</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Undiscounted future cash flows</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Recoverable amount</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Value in use</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Fair value</w:t>
            </w:r>
          </w:p>
        </w:tc>
      </w:tr>
    </w:tbl>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10.  </w:t>
            </w:r>
            <w:r>
              <w:rPr>
                <w:sz w:val="19"/>
                <w:szCs w:val="19"/>
              </w:rPr>
              <w:t xml:space="preserve">Which of these did this cycle settle?</w:t>
            </w:r>
          </w:p>
          <w:p>
            <w:pPr>
              <w:spacing w:after="16"/>
              <w:ind w:left="500" w:hanging="200"/>
            </w:pPr>
            <w:r>
              <w:rPr>
                <w:b/>
                <w:bCs/>
                <w:color w:val="8186EF"/>
                <w:sz w:val="18"/>
                <w:szCs w:val="18"/>
              </w:rPr>
              <w:t xml:space="preserve">A. </w:t>
            </w:r>
            <w:r>
              <w:rPr>
                <w:sz w:val="18"/>
                <w:szCs w:val="18"/>
              </w:rPr>
              <w:t xml:space="preserve">the rule and where it comes from</w:t>
            </w:r>
          </w:p>
          <w:p>
            <w:pPr>
              <w:spacing w:after="16"/>
              <w:ind w:left="500" w:hanging="200"/>
            </w:pPr>
            <w:r>
              <w:rPr>
                <w:b/>
                <w:bCs/>
                <w:color w:val="8186EF"/>
                <w:sz w:val="18"/>
                <w:szCs w:val="18"/>
              </w:rPr>
              <w:t xml:space="preserve">B. </w:t>
            </w:r>
            <w:r>
              <w:rPr>
                <w:sz w:val="18"/>
                <w:szCs w:val="18"/>
              </w:rPr>
              <w:t xml:space="preserve">nothing in particular</w:t>
            </w:r>
          </w:p>
          <w:p>
            <w:pPr>
              <w:spacing w:after="16"/>
              <w:ind w:left="500" w:hanging="200"/>
            </w:pPr>
            <w:r>
              <w:rPr>
                <w:b/>
                <w:bCs/>
                <w:color w:val="8186EF"/>
                <w:sz w:val="18"/>
                <w:szCs w:val="18"/>
              </w:rPr>
              <w:t xml:space="preserve">C. </w:t>
            </w:r>
            <w:r>
              <w:rPr>
                <w:sz w:val="18"/>
                <w:szCs w:val="18"/>
              </w:rPr>
              <w:t xml:space="preserve">only the vocabulary</w:t>
            </w:r>
          </w:p>
          <w:p>
            <w:pPr>
              <w:spacing w:after="16"/>
              <w:ind w:left="500" w:hanging="200"/>
            </w:pPr>
            <w:r>
              <w:rPr>
                <w:b/>
                <w:bCs/>
                <w:color w:val="8186EF"/>
                <w:sz w:val="18"/>
                <w:szCs w:val="18"/>
              </w:rPr>
              <w:t xml:space="preserve">D. </w:t>
            </w:r>
            <w:r>
              <w:rPr>
                <w:sz w:val="18"/>
                <w:szCs w:val="18"/>
              </w:rPr>
              <w:t xml:space="preserve">only the arithmetic</w:t>
            </w:r>
          </w:p>
          <w:p>
            <w:pPr>
              <w:spacing w:before="20" w:after="50"/>
            </w:pPr>
            <w:r>
              <w:rPr>
                <w:color w:val="C0483F"/>
                <w:sz w:val="17"/>
                <w:szCs w:val="17"/>
              </w:rPr>
              <w:t xml:space="preserve">If you got it wrong: redo the READ THE MODEL questions of cycle A.</w:t>
            </w:r>
          </w:p>
        </w:tc>
      </w:tr>
    </w:tbl>
    <w:p/>
    <w:p>
      <w:pPr>
        <w:pageBreakBefore w:val="true"/>
        <w:spacing w:after="0"/>
      </w:pPr>
      <w:r>
        <w:rPr>
          <w:sz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11.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150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734050" cy="1501425"/>
                    </a:xfrm>
                    <a:prstGeom prst="rect">
                      <a:avLst/>
                    </a:prstGeom>
                  </pic:spPr>
                </pic:pic>
              </a:graphicData>
            </a:graphic>
          </wp:inline>
        </w:drawing>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the book’s own table</w:t>
            </w:r>
          </w:p>
        </w:tc>
      </w:tr>
      <w:tr>
        <w:tc>
          <w:tcPr>
            <w:tcW w:type="pct" w:w="2600"/>
            <w:tcMar>
              <w:top w:type="dxa" w:w="50"/>
              <w:left w:type="dxa" w:w="110"/>
              <w:bottom w:type="dxa" w:w="50"/>
              <w:right w:type="dxa" w:w="110"/>
            </w:tcMar>
          </w:tcPr>
          <w:p>
            <w:pPr>
              <w:spacing w:before="26" w:after="26"/>
            </w:pPr>
            <w:r>
              <w:rPr>
                <w:b/>
                <w:bCs/>
                <w:color w:val="353A7C"/>
                <w:sz w:val="15"/>
                <w:szCs w:val="15"/>
              </w:rPr>
              <w:t xml:space="preserve">Item</w:t>
            </w:r>
          </w:p>
        </w:tc>
        <w:tc>
          <w:tcPr>
            <w:tcW w:type="pct" w:w="2400"/>
            <w:tcMar>
              <w:top w:type="dxa" w:w="50"/>
              <w:left w:type="dxa" w:w="110"/>
              <w:bottom w:type="dxa" w:w="50"/>
              <w:right w:type="dxa" w:w="110"/>
            </w:tcMar>
          </w:tcPr>
          <w:p>
            <w:pPr>
              <w:spacing w:before="26" w:after="26"/>
            </w:pPr>
            <w:r>
              <w:rPr>
                <w:b/>
                <w:bCs/>
                <w:color w:val="353A7C"/>
                <w:sz w:val="15"/>
                <w:szCs w:val="15"/>
              </w:rPr>
              <w:t xml:space="preserve">Answer</w:t>
            </w:r>
          </w:p>
        </w:tc>
      </w:tr>
      <w:tr>
        <w:tc>
          <w:tcPr>
            <w:tcW w:type="pct" w:w="2600"/>
            <w:tcMar>
              <w:top w:type="dxa" w:w="50"/>
              <w:left w:type="dxa" w:w="110"/>
              <w:bottom w:type="dxa" w:w="50"/>
              <w:right w:type="dxa" w:w="110"/>
            </w:tcMar>
          </w:tcPr>
          <w:p>
            <w:pPr>
              <w:spacing w:before="26" w:after="26"/>
            </w:pPr>
            <w:r>
              <w:rPr>
                <w:color w:val="232733"/>
                <w:sz w:val="16"/>
                <w:szCs w:val="16"/>
              </w:rPr>
              <w:t xml:space="preserve">Development costs capitalized when criteria are met</w:t>
            </w:r>
          </w:p>
        </w:tc>
        <w:tc>
          <w:tcPr>
            <w:tcW w:type="pct" w:w="2400"/>
            <w:tcMar>
              <w:top w:type="dxa" w:w="50"/>
              <w:left w:type="dxa" w:w="110"/>
              <w:bottom w:type="dxa" w:w="50"/>
              <w:right w:type="dxa" w:w="110"/>
            </w:tcMar>
          </w:tcPr>
          <w:p>
            <w:pPr>
              <w:spacing w:before="26" w:after="26"/>
            </w:pPr>
            <w:r>
              <w:rPr>
                <w:color w:val="232733"/>
                <w:sz w:val="16"/>
                <w:szCs w:val="16"/>
              </w:rPr>
              <w:t xml:space="preserve">IFRS only</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Impairment tested first with undiscounted cash flows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U.S. GAAP only</w:t>
            </w:r>
          </w:p>
        </w:tc>
      </w:tr>
      <w:tr>
        <w:tc>
          <w:tcPr>
            <w:tcW w:type="pct" w:w="2600"/>
            <w:tcMar>
              <w:top w:type="dxa" w:w="50"/>
              <w:left w:type="dxa" w:w="110"/>
              <w:bottom w:type="dxa" w:w="50"/>
              <w:right w:type="dxa" w:w="110"/>
            </w:tcMar>
          </w:tcPr>
          <w:p>
            <w:pPr>
              <w:spacing w:before="26" w:after="26"/>
            </w:pPr>
            <w:r>
              <w:rPr>
                <w:color w:val="232733"/>
                <w:sz w:val="16"/>
                <w:szCs w:val="16"/>
              </w:rPr>
              <w:t xml:space="preserve">A short-term lease exemption exists</w:t>
            </w:r>
          </w:p>
        </w:tc>
        <w:tc>
          <w:tcPr>
            <w:tcW w:type="pct" w:w="2400"/>
            <w:tcMar>
              <w:top w:type="dxa" w:w="50"/>
              <w:left w:type="dxa" w:w="110"/>
              <w:bottom w:type="dxa" w:w="50"/>
              <w:right w:type="dxa" w:w="110"/>
            </w:tcMar>
          </w:tcPr>
          <w:p>
            <w:pPr>
              <w:spacing w:before="26" w:after="26"/>
            </w:pPr>
            <w:r>
              <w:rPr>
                <w:color w:val="232733"/>
                <w:sz w:val="16"/>
                <w:szCs w:val="16"/>
              </w:rPr>
              <w:t xml:space="preserve">Both</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Prior service cost expensed immediately</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IFRS only</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78"/>
        <w:gridCol w:w="462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592"/>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8"/>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592"/>
            <w:tcMar>
              <w:top w:type="dxa" w:w="50"/>
              <w:left w:type="dxa" w:w="110"/>
              <w:bottom w:type="dxa" w:w="50"/>
              <w:right w:type="dxa" w:w="110"/>
            </w:tcMar>
          </w:tcPr>
          <w:p>
            <w:pPr>
              <w:spacing w:before="26" w:after="26"/>
            </w:pPr>
            <w:r>
              <w:rPr>
                <w:color w:val="232733"/>
                <w:sz w:val="16"/>
                <w:szCs w:val="16"/>
              </w:rPr>
              <w:t xml:space="preserve">revaluation surplus</w:t>
            </w:r>
          </w:p>
        </w:tc>
        <w:tc>
          <w:tcPr>
            <w:tcW w:type="pct" w:w="2408"/>
            <w:tcMar>
              <w:top w:type="dxa" w:w="50"/>
              <w:left w:type="dxa" w:w="110"/>
              <w:bottom w:type="dxa" w:w="50"/>
              <w:right w:type="dxa" w:w="110"/>
            </w:tcMar>
          </w:tcPr>
          <w:p>
            <w:pPr>
              <w:spacing w:before="26" w:after="26"/>
            </w:pPr>
            <w:r>
              <w:rPr>
                <w:color w:val="232733"/>
                <w:sz w:val="16"/>
                <w:szCs w:val="16"/>
              </w:rPr>
              <w:t xml:space="preserve">فائض إعادة التقييم</w:t>
            </w:r>
          </w:p>
        </w:tc>
      </w:tr>
      <w:tr>
        <w:tc>
          <w:tcPr>
            <w:tcW w:type="pct" w:w="2592"/>
            <w:shd w:fill="FBFAF6" w:val="clear"/>
            <w:tcMar>
              <w:top w:type="dxa" w:w="50"/>
              <w:left w:type="dxa" w:w="110"/>
              <w:bottom w:type="dxa" w:w="50"/>
              <w:right w:type="dxa" w:w="110"/>
            </w:tcMar>
          </w:tcPr>
          <w:p>
            <w:pPr>
              <w:spacing w:before="26" w:after="26"/>
            </w:pPr>
            <w:r>
              <w:rPr>
                <w:color w:val="232733"/>
                <w:sz w:val="16"/>
                <w:szCs w:val="16"/>
              </w:rPr>
              <w:t xml:space="preserve">remeasurements</w:t>
            </w:r>
          </w:p>
        </w:tc>
        <w:tc>
          <w:tcPr>
            <w:tcW w:type="pct" w:w="2408"/>
            <w:shd w:fill="FBFAF6" w:val="clear"/>
            <w:tcMar>
              <w:top w:type="dxa" w:w="50"/>
              <w:left w:type="dxa" w:w="110"/>
              <w:bottom w:type="dxa" w:w="50"/>
              <w:right w:type="dxa" w:w="110"/>
            </w:tcMar>
          </w:tcPr>
          <w:p>
            <w:pPr>
              <w:spacing w:before="26" w:after="26"/>
            </w:pPr>
            <w:r>
              <w:rPr>
                <w:color w:val="232733"/>
                <w:sz w:val="16"/>
                <w:szCs w:val="16"/>
              </w:rPr>
              <w:t xml:space="preserve">إعادة القياس</w:t>
            </w:r>
          </w:p>
        </w:tc>
      </w:tr>
      <w:tr>
        <w:tc>
          <w:tcPr>
            <w:tcW w:type="pct" w:w="2592"/>
            <w:tcMar>
              <w:top w:type="dxa" w:w="50"/>
              <w:left w:type="dxa" w:w="110"/>
              <w:bottom w:type="dxa" w:w="50"/>
              <w:right w:type="dxa" w:w="110"/>
            </w:tcMar>
          </w:tcPr>
          <w:p>
            <w:pPr>
              <w:spacing w:before="26" w:after="26"/>
            </w:pPr>
            <w:r>
              <w:rPr>
                <w:color w:val="232733"/>
                <w:sz w:val="16"/>
                <w:szCs w:val="16"/>
              </w:rPr>
              <w:t xml:space="preserve">component depreciation</w:t>
            </w:r>
          </w:p>
        </w:tc>
        <w:tc>
          <w:tcPr>
            <w:tcW w:type="pct" w:w="2408"/>
            <w:tcMar>
              <w:top w:type="dxa" w:w="50"/>
              <w:left w:type="dxa" w:w="110"/>
              <w:bottom w:type="dxa" w:w="50"/>
              <w:right w:type="dxa" w:w="110"/>
            </w:tcMar>
          </w:tcPr>
          <w:p>
            <w:pPr>
              <w:spacing w:before="26" w:after="26"/>
            </w:pPr>
            <w:r>
              <w:rPr>
                <w:color w:val="232733"/>
                <w:sz w:val="16"/>
                <w:szCs w:val="16"/>
              </w:rPr>
              <w:t xml:space="preserve">الإهلاك حسب المكونات</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30" w:after="30"/>
        <w:ind w:left="300" w:hanging="300"/>
      </w:pPr>
      <w:r>
        <w:rPr>
          <w:b/>
          <w:bCs/>
          <w:color w:val="353A7C"/>
          <w:sz w:val="19"/>
          <w:szCs w:val="19"/>
        </w:rPr>
        <w:t xml:space="preserve">12.  </w:t>
      </w:r>
      <w:r>
        <w:rPr>
          <w:sz w:val="19"/>
          <w:szCs w:val="19"/>
        </w:rPr>
        <w:t xml:space="preserve">A glossary term and its translation are a pair the book itself gives.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13.  </w:t>
      </w:r>
      <w:r>
        <w:rPr>
          <w:sz w:val="19"/>
          <w:szCs w:val="19"/>
        </w:rPr>
        <w:t xml:space="preserve">An asset has a carrying amount of $500,000, fair value less costs of disposal of $420,000 and value in use of $460,000. What is the IFRS impairment loss?</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$60,000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$40,000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$80,000</w:t>
            </w:r>
          </w:p>
        </w:tc>
      </w:tr>
    </w:tbl>
    <w:p>
      <w:pPr>
        <w:spacing w:before="40" w:after="16"/>
        <w:ind w:left="300" w:hanging="300"/>
      </w:pPr>
      <w:r>
        <w:rPr>
          <w:b/>
          <w:bCs/>
          <w:color w:val="353A7C"/>
          <w:sz w:val="19"/>
          <w:szCs w:val="19"/>
        </w:rPr>
        <w:t xml:space="preserve">14.  </w:t>
      </w:r>
      <w:r>
        <w:rPr>
          <w:sz w:val="19"/>
          <w:szCs w:val="19"/>
        </w:rPr>
        <w:t xml:space="preserve">Goodwill was impaired last year. This year the cash-generating unit recovers. Under IFRS, the goodwill impairment is:</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reversed in full</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reversed through OCI</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reversed up to original cost</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never reversed</w:t>
            </w:r>
          </w:p>
        </w:tc>
      </w:tr>
    </w:tbl>
    <w:p>
      <w:pPr>
        <w:spacing w:before="40" w:after="16"/>
        <w:ind w:left="300" w:hanging="300"/>
      </w:pPr>
      <w:r>
        <w:rPr>
          <w:b/>
          <w:bCs/>
          <w:color w:val="353A7C"/>
          <w:sz w:val="19"/>
          <w:szCs w:val="19"/>
        </w:rPr>
        <w:t xml:space="preserve">15.  </w:t>
      </w:r>
      <w:r>
        <w:rPr>
          <w:sz w:val="19"/>
          <w:szCs w:val="19"/>
        </w:rPr>
        <w:t xml:space="preserve">Which pair shows a correct difference?</w:t>
      </w:r>
    </w:p>
    <w:p>
      <w:pPr>
        <w:spacing w:after="18"/>
        <w:ind w:left="560" w:hanging="260"/>
      </w:pPr>
      <w:r>
        <w:rPr>
          <w:b/>
          <w:bCs/>
          <w:color w:val="8186EF"/>
          <w:sz w:val="18"/>
          <w:szCs w:val="18"/>
        </w:rPr>
        <w:t xml:space="preserve">A. </w:t>
      </w:r>
      <w:r>
        <w:rPr>
          <w:sz w:val="18"/>
          <w:szCs w:val="18"/>
        </w:rPr>
        <w:t xml:space="preserve">U.S.: research and development expensed; IFRS: development capitalized when criteria are met</w:t>
      </w:r>
    </w:p>
    <w:p>
      <w:pPr>
        <w:spacing w:after="18"/>
        <w:ind w:left="560" w:hanging="260"/>
      </w:pPr>
      <w:r>
        <w:rPr>
          <w:b/>
          <w:bCs/>
          <w:color w:val="8186EF"/>
          <w:sz w:val="18"/>
          <w:szCs w:val="18"/>
        </w:rPr>
        <w:t xml:space="preserve">B. </w:t>
      </w:r>
      <w:r>
        <w:rPr>
          <w:sz w:val="18"/>
          <w:szCs w:val="18"/>
        </w:rPr>
        <w:t xml:space="preserve">U.S.: development capitalized; IFRS: expensed</w:t>
      </w:r>
    </w:p>
    <w:p>
      <w:pPr>
        <w:spacing w:after="18"/>
        <w:ind w:left="560" w:hanging="260"/>
      </w:pPr>
      <w:r>
        <w:rPr>
          <w:b/>
          <w:bCs/>
          <w:color w:val="8186EF"/>
          <w:sz w:val="18"/>
          <w:szCs w:val="18"/>
        </w:rPr>
        <w:t xml:space="preserve">C. </w:t>
      </w:r>
      <w:r>
        <w:rPr>
          <w:sz w:val="18"/>
          <w:szCs w:val="18"/>
        </w:rPr>
        <w:t xml:space="preserve">Both capitalize research</w:t>
      </w:r>
    </w:p>
    <w:p>
      <w:pPr>
        <w:spacing w:after="18"/>
        <w:ind w:left="560" w:hanging="260"/>
      </w:pPr>
      <w:r>
        <w:rPr>
          <w:b/>
          <w:bCs/>
          <w:color w:val="8186EF"/>
          <w:sz w:val="18"/>
          <w:szCs w:val="18"/>
        </w:rPr>
        <w:t xml:space="preserve">D. </w:t>
      </w:r>
      <w:r>
        <w:rPr>
          <w:sz w:val="18"/>
          <w:szCs w:val="18"/>
        </w:rPr>
        <w:t xml:space="preserve">Both expense all software costs</w:t>
      </w:r>
    </w:p>
    <w:p>
      <w:pPr>
        <w:pageBreakBefore w:val="true"/>
        <w:spacing w:after="0"/>
      </w:pPr>
      <w:r>
        <w:rPr>
          <w:sz w:val="2"/>
        </w:rPr>
        <w:t xml:space="preserve"> </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16.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17.  </w:t>
      </w:r>
      <w:r>
        <w:rPr>
          <w:sz w:val="19"/>
          <w:szCs w:val="19"/>
        </w:rPr>
        <w:t xml:space="preserve">Rebuild the figure from this handout. Label every part and fill in every box.</w:t>
      </w:r>
    </w:p>
    <w:p>
      <w:pPr>
        <w:spacing w:after="40" w:before="90"/>
        <w:jc w:val="center"/>
      </w:pPr>
      <w:r>
        <w:drawing>
          <wp:inline distT="0" distB="0" distL="0" distR="0">
            <wp:extent cx="5734050" cy="4142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734050" cy="4142100"/>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18.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revaluation surplus  ·  remeasurements  ·  component depreciation</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2"/>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17.3</w:t>
      </w:r>
    </w:p>
    <w:p>
      <w:pPr>
        <w:spacing w:after="8"/>
      </w:pPr>
      <w:r>
        <w:rPr>
          <w:color w:val="23265A"/>
          <w:sz w:val="22"/>
          <w:szCs w:val="22"/>
        </w:rPr>
        <w:t xml:space="preserve">(iii) Inventories</w:t>
      </w:r>
    </w:p>
    <w:p>
      <w:pPr>
        <w:spacing w:after="130"/>
      </w:pPr>
      <w:r>
        <w:rPr>
          <w:color w:val="6B7280"/>
          <w:sz w:val="20"/>
          <w:szCs w:val="20"/>
        </w:rPr>
        <w:t xml:space="preserve">section 17.3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184"/>
        <w:gridCol w:w="2887"/>
        <w:gridCol w:w="4530"/>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1137"/>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1504"/>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2359"/>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1137"/>
            <w:tcMar>
              <w:top w:type="dxa" w:w="50"/>
              <w:left w:type="dxa" w:w="110"/>
              <w:bottom w:type="dxa" w:w="50"/>
              <w:right w:type="dxa" w:w="110"/>
            </w:tcMar>
          </w:tcPr>
          <w:p>
            <w:pPr>
              <w:spacing w:before="26" w:after="26"/>
            </w:pPr>
            <w:r>
              <w:rPr>
                <w:color w:val="232733"/>
                <w:sz w:val="16"/>
                <w:szCs w:val="16"/>
              </w:rPr>
              <w:t xml:space="preserve">(iii) Inventories</w:t>
            </w:r>
          </w:p>
        </w:tc>
        <w:tc>
          <w:tcPr>
            <w:tcW w:type="pct" w:w="1504"/>
            <w:tcMar>
              <w:top w:type="dxa" w:w="50"/>
              <w:left w:type="dxa" w:w="110"/>
              <w:bottom w:type="dxa" w:w="50"/>
              <w:right w:type="dxa" w:w="110"/>
            </w:tcMar>
          </w:tcPr>
          <w:p>
            <w:pPr>
              <w:spacing w:before="26" w:after="26"/>
            </w:pPr>
            <w:r>
              <w:rPr>
                <w:color w:val="232733"/>
                <w:sz w:val="16"/>
                <w:szCs w:val="16"/>
              </w:rPr>
              <w:t xml:space="preserve">a figure to read · Item</w:t>
            </w:r>
          </w:p>
        </w:tc>
        <w:tc>
          <w:tcPr>
            <w:tcW w:type="pct" w:w="2359"/>
            <w:tcMar>
              <w:top w:type="dxa" w:w="50"/>
              <w:left w:type="dxa" w:w="110"/>
              <w:bottom w:type="dxa" w:w="50"/>
              <w:right w:type="dxa" w:w="110"/>
            </w:tcMar>
          </w:tcPr>
          <w:p>
            <w:pPr>
              <w:spacing w:before="26" w:after="26"/>
            </w:pPr>
            <w:r>
              <w:rPr>
                <w:color w:val="232733"/>
                <w:sz w:val="16"/>
                <w:szCs w:val="16"/>
              </w:rPr>
              <w:t xml:space="preserve">Which of these did this cycle settle?</w:t>
            </w:r>
          </w:p>
        </w:tc>
      </w:tr>
      <w:tr>
        <w:tc>
          <w:tcPr>
            <w:tcW w:type="pct" w:w="1137"/>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1504"/>
            <w:shd w:fill="FBFAF6" w:val="clear"/>
            <w:tcMar>
              <w:top w:type="dxa" w:w="50"/>
              <w:left w:type="dxa" w:w="110"/>
              <w:bottom w:type="dxa" w:w="50"/>
              <w:right w:type="dxa" w:w="110"/>
            </w:tcMar>
          </w:tcPr>
          <w:p>
            <w:pPr>
              <w:spacing w:before="26" w:after="26"/>
            </w:pPr>
            <w:r>
              <w:rPr>
                <w:color w:val="232733"/>
                <w:sz w:val="16"/>
                <w:szCs w:val="16"/>
              </w:rPr>
              <w:t xml:space="preserve">The English the exam uses, and what it translates</w:t>
            </w:r>
          </w:p>
        </w:tc>
        <w:tc>
          <w:tcPr>
            <w:tcW w:type="pct" w:w="2359"/>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600"/>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400"/>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600"/>
            <w:tcMar>
              <w:top w:type="dxa" w:w="50"/>
              <w:left w:type="dxa" w:w="110"/>
              <w:bottom w:type="dxa" w:w="50"/>
              <w:right w:type="dxa" w:w="110"/>
            </w:tcMar>
          </w:tcPr>
          <w:p>
            <w:pPr>
              <w:spacing w:before="26" w:after="26"/>
            </w:pPr>
            <w:r>
              <w:rPr>
                <w:color w:val="232733"/>
                <w:sz w:val="16"/>
                <w:szCs w:val="16"/>
              </w:rPr>
              <w:t xml:space="preserve">development costs</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graded vesting</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fair value less costs of disposal</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frameworks   ·   statements   ·   recoverability test   ·   financial   ·   value in use</w:t>
      </w:r>
    </w:p>
    <w:p>
      <w:pPr>
        <w:spacing w:before="36" w:after="36"/>
        <w:ind w:left="300"/>
      </w:pPr>
      <w:r>
        <w:rPr>
          <w:sz w:val="19"/>
          <w:szCs w:val="19"/>
        </w:rPr>
        <w:t xml:space="preserve">U.S. GAAP allows it, and companies that use LIFO for tax must also use it in their </w:t>
      </w:r>
      <w:r>
        <w:rPr>
          <w:u w:val="single"/>
          <w:sz w:val="19"/>
          <w:szCs w:val="19"/>
        </w:rPr>
        <w:t xml:space="preserve">           </w:t>
      </w:r>
      <w:r>
        <w:rPr>
          <w:sz w:val="19"/>
          <w:szCs w:val="19"/>
        </w:rPr>
        <w:t xml:space="preserve"> </w:t>
      </w:r>
      <w:r>
        <w:rPr>
          <w:u w:val="single"/>
          <w:sz w:val="19"/>
          <w:szCs w:val="19"/>
        </w:rPr>
        <w:t xml:space="preserve">            </w:t>
      </w:r>
      <w:r>
        <w:rPr>
          <w:sz w:val="19"/>
          <w:szCs w:val="19"/>
        </w:rPr>
        <w:t xml:space="preserve">. Chapter 7 showed how LIFO changes cost of goods sold when prices rise. Both </w:t>
      </w:r>
      <w:r>
        <w:rPr>
          <w:u w:val="single"/>
          <w:sz w:val="19"/>
          <w:szCs w:val="19"/>
        </w:rPr>
        <w:t xml:space="preserve">            </w:t>
      </w:r>
      <w:r>
        <w:rPr>
          <w:sz w:val="19"/>
          <w:szCs w:val="19"/>
        </w:rPr>
        <w:t xml:space="preserve"> write inventory down when its value falls below cost.</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inventory   ·   recoverability test   ·   recovers   ·   value in use   ·   difference</w:t>
      </w:r>
    </w:p>
    <w:p>
      <w:pPr>
        <w:spacing w:before="36" w:after="36"/>
        <w:ind w:left="300"/>
      </w:pPr>
      <w:r>
        <w:rPr>
          <w:sz w:val="19"/>
          <w:szCs w:val="19"/>
        </w:rPr>
        <w:t xml:space="preserve">IAS 2 uses the lower of cost and NRV for all </w:t>
      </w:r>
      <w:r>
        <w:rPr>
          <w:u w:val="single"/>
          <w:sz w:val="19"/>
          <w:szCs w:val="19"/>
        </w:rPr>
        <w:t xml:space="preserve">           </w:t>
      </w:r>
      <w:r>
        <w:rPr>
          <w:sz w:val="19"/>
          <w:szCs w:val="19"/>
        </w:rPr>
        <w:t xml:space="preserve">. U.S. GAAP uses lower of cost and NRV for FIFO and average cost, but lower of cost or market for LIFO and the retail method. The key </w:t>
      </w:r>
      <w:r>
        <w:rPr>
          <w:u w:val="single"/>
          <w:sz w:val="19"/>
          <w:szCs w:val="19"/>
        </w:rPr>
        <w:t xml:space="preserve">            </w:t>
      </w:r>
      <w:r>
        <w:rPr>
          <w:sz w:val="19"/>
          <w:szCs w:val="19"/>
        </w:rPr>
        <w:t xml:space="preserve"> comes when value </w:t>
      </w:r>
      <w:r>
        <w:rPr>
          <w:u w:val="single"/>
          <w:sz w:val="19"/>
          <w:szCs w:val="19"/>
        </w:rPr>
        <w:t xml:space="preserve">           </w:t>
      </w:r>
      <w:r>
        <w:rPr>
          <w:sz w:val="19"/>
          <w:szCs w:val="19"/>
        </w:rPr>
        <w:t xml:space="preserve">.</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recoverability test   ·   value in use   ·   write-down   ·   depreciation   ·   inventory</w:t>
      </w:r>
    </w:p>
    <w:p>
      <w:pPr>
        <w:spacing w:before="36" w:after="36"/>
        <w:ind w:left="300"/>
      </w:pPr>
      <w:r>
        <w:rPr>
          <w:sz w:val="19"/>
          <w:szCs w:val="19"/>
        </w:rPr>
        <w:t xml:space="preserve">IFRS reverses the </w:t>
      </w:r>
      <w:r>
        <w:rPr>
          <w:u w:val="single"/>
          <w:sz w:val="19"/>
          <w:szCs w:val="19"/>
        </w:rPr>
        <w:t xml:space="preserve">            </w:t>
      </w:r>
      <w:r>
        <w:rPr>
          <w:sz w:val="19"/>
          <w:szCs w:val="19"/>
        </w:rPr>
        <w:t xml:space="preserve">, but never above the original cost. French stocks means </w:t>
      </w:r>
      <w:r>
        <w:rPr>
          <w:u w:val="single"/>
          <w:sz w:val="19"/>
          <w:szCs w:val="19"/>
        </w:rPr>
        <w:t xml:space="preserve">           </w:t>
      </w:r>
      <w:r>
        <w:rPr>
          <w:sz w:val="19"/>
          <w:szCs w:val="19"/>
        </w:rPr>
        <w:t xml:space="preserve">, not shares. French dépréciation des stocks is a write-down, not </w:t>
      </w:r>
      <w:r>
        <w:rPr>
          <w:u w:val="single"/>
          <w:sz w:val="19"/>
          <w:szCs w:val="19"/>
        </w:rPr>
        <w:t xml:space="preserve">              </w:t>
      </w:r>
      <w:r>
        <w:rPr>
          <w:sz w:val="19"/>
          <w:szCs w:val="19"/>
        </w:rPr>
        <w:t xml:space="preserve">. In U.S. terms, a write-down reduces the inventory itself; do not call it a provision or a reserve.</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How every cycle on this sheet works</w:t>
            </w:r>
          </w:p>
        </w:tc>
      </w:tr>
      <w:tr>
        <w:tc>
          <w:tcPr>
            <w:tcW w:type="pct" w:w="2400"/>
            <w:tcMar>
              <w:top w:type="dxa" w:w="50"/>
              <w:left w:type="dxa" w:w="110"/>
              <w:bottom w:type="dxa" w:w="50"/>
              <w:right w:type="dxa" w:w="110"/>
            </w:tcMar>
          </w:tcPr>
          <w:p>
            <w:pPr>
              <w:spacing w:before="26" w:after="26"/>
            </w:pPr>
            <w:r>
              <w:rPr>
                <w:b/>
                <w:bCs/>
                <w:color w:val="353A7C"/>
                <w:sz w:val="15"/>
                <w:szCs w:val="15"/>
              </w:rPr>
              <w:t xml:space="preserve">How a cycle works</w:t>
            </w:r>
          </w:p>
        </w:tc>
        <w:tc>
          <w:tcPr>
            <w:tcW w:type="pct" w:w="2600"/>
            <w:tcMar>
              <w:top w:type="dxa" w:w="50"/>
              <w:left w:type="dxa" w:w="110"/>
              <w:bottom w:type="dxa" w:w="50"/>
              <w:right w:type="dxa" w:w="110"/>
            </w:tcMar>
          </w:tcPr>
          <w:p>
            <w:pPr>
              <w:spacing w:before="26" w:after="26"/>
            </w:pPr>
            <w:r>
              <w:rPr>
                <w:b/>
                <w:bCs/>
                <w:color w:val="353A7C"/>
                <w:sz w:val="15"/>
                <w:szCs w:val="15"/>
              </w:rPr>
              <w:t xml:space="preserve">what you do</w:t>
            </w:r>
          </w:p>
        </w:tc>
      </w:tr>
      <w:tr>
        <w:tc>
          <w:tcPr>
            <w:tcW w:type="pct" w:w="2400"/>
            <w:tcMar>
              <w:top w:type="dxa" w:w="50"/>
              <w:left w:type="dxa" w:w="110"/>
              <w:bottom w:type="dxa" w:w="50"/>
              <w:right w:type="dxa" w:w="110"/>
            </w:tcMar>
          </w:tcPr>
          <w:p>
            <w:pPr>
              <w:spacing w:before="26" w:after="26"/>
            </w:pPr>
            <w:r>
              <w:rPr>
                <w:color w:val="232733"/>
                <w:sz w:val="16"/>
                <w:szCs w:val="16"/>
              </w:rPr>
              <w:t xml:space="preserve">MODEL</w:t>
            </w:r>
          </w:p>
        </w:tc>
        <w:tc>
          <w:tcPr>
            <w:tcW w:type="pct" w:w="2600"/>
            <w:tcMar>
              <w:top w:type="dxa" w:w="50"/>
              <w:left w:type="dxa" w:w="110"/>
              <w:bottom w:type="dxa" w:w="50"/>
              <w:right w:type="dxa" w:w="110"/>
            </w:tcMar>
          </w:tcPr>
          <w:p>
            <w:pPr>
              <w:spacing w:before="26" w:after="26"/>
            </w:pPr>
            <w:r>
              <w:rPr>
                <w:color w:val="232733"/>
                <w:sz w:val="16"/>
                <w:szCs w:val="16"/>
              </w:rPr>
              <w:t xml:space="preserve">read the figure or the table before you answer anything</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READ THE MODEL</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every answer is printed on the same page</w:t>
            </w:r>
          </w:p>
        </w:tc>
      </w:tr>
      <w:tr>
        <w:tc>
          <w:tcPr>
            <w:tcW w:type="pct" w:w="2400"/>
            <w:tcMar>
              <w:top w:type="dxa" w:w="50"/>
              <w:left w:type="dxa" w:w="110"/>
              <w:bottom w:type="dxa" w:w="50"/>
              <w:right w:type="dxa" w:w="110"/>
            </w:tcMar>
          </w:tcPr>
          <w:p>
            <w:pPr>
              <w:spacing w:before="26" w:after="26"/>
            </w:pPr>
            <w:r>
              <w:rPr>
                <w:color w:val="232733"/>
                <w:sz w:val="16"/>
                <w:szCs w:val="16"/>
              </w:rPr>
              <w:t xml:space="preserve">INVENT THE RULE</w:t>
            </w:r>
          </w:p>
        </w:tc>
        <w:tc>
          <w:tcPr>
            <w:tcW w:type="pct" w:w="2600"/>
            <w:tcMar>
              <w:top w:type="dxa" w:w="50"/>
              <w:left w:type="dxa" w:w="110"/>
              <w:bottom w:type="dxa" w:w="50"/>
              <w:right w:type="dxa" w:w="110"/>
            </w:tcMar>
          </w:tcPr>
          <w:p>
            <w:pPr>
              <w:spacing w:before="26" w:after="26"/>
            </w:pPr>
            <w:r>
              <w:rPr>
                <w:color w:val="232733"/>
                <w:sz w:val="16"/>
                <w:szCs w:val="16"/>
              </w:rPr>
              <w:t xml:space="preserve">write the rule yourself, then compare with the book</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APPLY</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no help on this move</w:t>
            </w:r>
          </w:p>
        </w:tc>
      </w:tr>
      <w:tr>
        <w:tc>
          <w:tcPr>
            <w:tcW w:type="pct" w:w="2400"/>
            <w:tcMar>
              <w:top w:type="dxa" w:w="50"/>
              <w:left w:type="dxa" w:w="110"/>
              <w:bottom w:type="dxa" w:w="50"/>
              <w:right w:type="dxa" w:w="110"/>
            </w:tcMar>
          </w:tcPr>
          <w:p>
            <w:pPr>
              <w:spacing w:before="26" w:after="26"/>
            </w:pPr>
            <w:r>
              <w:rPr>
                <w:color w:val="232733"/>
                <w:sz w:val="16"/>
                <w:szCs w:val="16"/>
              </w:rPr>
              <w:t xml:space="preserve">CHECKPOINT</w:t>
            </w:r>
          </w:p>
        </w:tc>
        <w:tc>
          <w:tcPr>
            <w:tcW w:type="pct" w:w="2600"/>
            <w:tcMar>
              <w:top w:type="dxa" w:w="50"/>
              <w:left w:type="dxa" w:w="110"/>
              <w:bottom w:type="dxa" w:w="50"/>
              <w:right w:type="dxa" w:w="110"/>
            </w:tcMar>
          </w:tcPr>
          <w:p>
            <w:pPr>
              <w:spacing w:before="26" w:after="26"/>
            </w:pPr>
            <w:r>
              <w:rPr>
                <w:color w:val="232733"/>
                <w:sz w:val="16"/>
                <w:szCs w:val="16"/>
              </w:rPr>
              <w:t xml:space="preserve">mark it yourself; if you miss it, the sheet says what to redo</w:t>
            </w:r>
          </w:p>
        </w:tc>
      </w:tr>
    </w:tbl>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(iii) Inventories</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Every number in a financial statement belongs to an element the framework defines.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117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734050" cy="1177000"/>
                    </a:xfrm>
                    <a:prstGeom prst="rect">
                      <a:avLst/>
                    </a:prstGeom>
                  </pic:spPr>
                </pic:pic>
              </a:graphicData>
            </a:graphic>
          </wp:inline>
        </w:drawing>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the book’s own table</w:t>
            </w:r>
          </w:p>
        </w:tc>
      </w:tr>
      <w:tr>
        <w:tc>
          <w:tcPr>
            <w:tcW w:type="pct" w:w="2600"/>
            <w:tcMar>
              <w:top w:type="dxa" w:w="50"/>
              <w:left w:type="dxa" w:w="110"/>
              <w:bottom w:type="dxa" w:w="50"/>
              <w:right w:type="dxa" w:w="110"/>
            </w:tcMar>
          </w:tcPr>
          <w:p>
            <w:pPr>
              <w:spacing w:before="26" w:after="26"/>
            </w:pPr>
            <w:r>
              <w:rPr>
                <w:b/>
                <w:bCs/>
                <w:color w:val="353A7C"/>
                <w:sz w:val="15"/>
                <w:szCs w:val="15"/>
              </w:rPr>
              <w:t xml:space="preserve">Item</w:t>
            </w:r>
          </w:p>
        </w:tc>
        <w:tc>
          <w:tcPr>
            <w:tcW w:type="pct" w:w="2400"/>
            <w:tcMar>
              <w:top w:type="dxa" w:w="50"/>
              <w:left w:type="dxa" w:w="110"/>
              <w:bottom w:type="dxa" w:w="50"/>
              <w:right w:type="dxa" w:w="110"/>
            </w:tcMar>
          </w:tcPr>
          <w:p>
            <w:pPr>
              <w:spacing w:before="26" w:after="26"/>
            </w:pPr>
            <w:r>
              <w:rPr>
                <w:b/>
                <w:bCs/>
                <w:color w:val="353A7C"/>
                <w:sz w:val="15"/>
                <w:szCs w:val="15"/>
              </w:rPr>
              <w:t xml:space="preserve">Category</w:t>
            </w:r>
          </w:p>
        </w:tc>
      </w:tr>
      <w:tr>
        <w:tc>
          <w:tcPr>
            <w:tcW w:type="pct" w:w="2600"/>
            <w:tcMar>
              <w:top w:type="dxa" w:w="50"/>
              <w:left w:type="dxa" w:w="110"/>
              <w:bottom w:type="dxa" w:w="50"/>
              <w:right w:type="dxa" w:w="110"/>
            </w:tcMar>
          </w:tcPr>
          <w:p>
            <w:pPr>
              <w:spacing w:before="26" w:after="26"/>
            </w:pPr>
            <w:r>
              <w:rPr>
                <w:color w:val="232733"/>
                <w:sz w:val="16"/>
                <w:szCs w:val="16"/>
              </w:rPr>
              <w:t xml:space="preserve">L1 Development costs</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L2 Write-down reversal</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L3 Land revaluation</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L4 Fleet impairment</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L5 Truck lease</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part of this chapter is section 17.2?</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(ii) Intangible assets</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(iii) Inventories</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(v) Long-lived assets</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(iv) Leases: the lessee</w:t>
            </w:r>
          </w:p>
        </w:tc>
      </w:tr>
    </w:tbl>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6.  </w:t>
      </w:r>
      <w:r>
        <w:rPr>
          <w:sz w:val="19"/>
          <w:szCs w:val="19"/>
        </w:rPr>
        <w:t xml:space="preserve">A lessee's payments rise each year with the CPI. After a CPI increase, under IFRS 16 the lessee:</w:t>
      </w:r>
    </w:p>
    <w:p>
      <w:pPr>
        <w:spacing w:after="18"/>
        <w:ind w:left="560" w:hanging="260"/>
      </w:pPr>
      <w:r>
        <w:rPr>
          <w:b/>
          <w:bCs/>
          <w:color w:val="8186EF"/>
          <w:sz w:val="18"/>
          <w:szCs w:val="18"/>
        </w:rPr>
        <w:t xml:space="preserve">A. </w:t>
      </w:r>
      <w:r>
        <w:rPr>
          <w:sz w:val="18"/>
          <w:szCs w:val="18"/>
        </w:rPr>
        <w:t xml:space="preserve">expenses the increase with no remeasurement</w:t>
      </w:r>
    </w:p>
    <w:p>
      <w:pPr>
        <w:spacing w:after="18"/>
        <w:ind w:left="560" w:hanging="260"/>
      </w:pPr>
      <w:r>
        <w:rPr>
          <w:b/>
          <w:bCs/>
          <w:color w:val="8186EF"/>
          <w:sz w:val="18"/>
          <w:szCs w:val="18"/>
        </w:rPr>
        <w:t xml:space="preserve">B. </w:t>
      </w:r>
      <w:r>
        <w:rPr>
          <w:sz w:val="18"/>
          <w:szCs w:val="18"/>
        </w:rPr>
        <w:t xml:space="preserve">remeasures the lease liability</w:t>
      </w:r>
    </w:p>
    <w:p>
      <w:pPr>
        <w:spacing w:after="18"/>
        <w:ind w:left="560" w:hanging="260"/>
      </w:pPr>
      <w:r>
        <w:rPr>
          <w:b/>
          <w:bCs/>
          <w:color w:val="8186EF"/>
          <w:sz w:val="18"/>
          <w:szCs w:val="18"/>
        </w:rPr>
        <w:t xml:space="preserve">C. </w:t>
      </w:r>
      <w:r>
        <w:rPr>
          <w:sz w:val="18"/>
          <w:szCs w:val="18"/>
        </w:rPr>
        <w:t xml:space="preserve">reclassifies the lease</w:t>
      </w:r>
    </w:p>
    <w:p>
      <w:pPr>
        <w:spacing w:after="18"/>
        <w:ind w:left="560" w:hanging="260"/>
      </w:pPr>
      <w:r>
        <w:rPr>
          <w:b/>
          <w:bCs/>
          <w:color w:val="8186EF"/>
          <w:sz w:val="18"/>
          <w:szCs w:val="18"/>
        </w:rPr>
        <w:t xml:space="preserve">D. </w:t>
      </w:r>
      <w:r>
        <w:rPr>
          <w:sz w:val="18"/>
          <w:szCs w:val="18"/>
        </w:rPr>
        <w:t xml:space="preserve">records a gain</w:t>
      </w:r>
    </w:p>
    <w:p>
      <w:pPr>
        <w:spacing w:before="40" w:after="16"/>
        <w:ind w:left="300" w:hanging="300"/>
      </w:pPr>
      <w:r>
        <w:rPr>
          <w:b/>
          <w:bCs/>
          <w:color w:val="353A7C"/>
          <w:sz w:val="19"/>
          <w:szCs w:val="19"/>
        </w:rPr>
        <w:t xml:space="preserve">7.  </w:t>
      </w:r>
      <w:r>
        <w:rPr>
          <w:sz w:val="19"/>
          <w:szCs w:val="19"/>
        </w:rPr>
        <w:t xml:space="preserve">Which pair shows a correct difference?</w:t>
      </w:r>
    </w:p>
    <w:p>
      <w:pPr>
        <w:spacing w:after="18"/>
        <w:ind w:left="560" w:hanging="260"/>
      </w:pPr>
      <w:r>
        <w:rPr>
          <w:b/>
          <w:bCs/>
          <w:color w:val="8186EF"/>
          <w:sz w:val="18"/>
          <w:szCs w:val="18"/>
        </w:rPr>
        <w:t xml:space="preserve">A. </w:t>
      </w:r>
      <w:r>
        <w:rPr>
          <w:sz w:val="18"/>
          <w:szCs w:val="18"/>
        </w:rPr>
        <w:t xml:space="preserve">U.S.: research and development expensed; IFRS: development capitalized when criteria are met</w:t>
      </w:r>
    </w:p>
    <w:p>
      <w:pPr>
        <w:spacing w:after="18"/>
        <w:ind w:left="560" w:hanging="260"/>
      </w:pPr>
      <w:r>
        <w:rPr>
          <w:b/>
          <w:bCs/>
          <w:color w:val="8186EF"/>
          <w:sz w:val="18"/>
          <w:szCs w:val="18"/>
        </w:rPr>
        <w:t xml:space="preserve">B. </w:t>
      </w:r>
      <w:r>
        <w:rPr>
          <w:sz w:val="18"/>
          <w:szCs w:val="18"/>
        </w:rPr>
        <w:t xml:space="preserve">U.S.: development capitalized; IFRS: expensed</w:t>
      </w:r>
    </w:p>
    <w:p>
      <w:pPr>
        <w:spacing w:after="18"/>
        <w:ind w:left="560" w:hanging="260"/>
      </w:pPr>
      <w:r>
        <w:rPr>
          <w:b/>
          <w:bCs/>
          <w:color w:val="8186EF"/>
          <w:sz w:val="18"/>
          <w:szCs w:val="18"/>
        </w:rPr>
        <w:t xml:space="preserve">C. </w:t>
      </w:r>
      <w:r>
        <w:rPr>
          <w:sz w:val="18"/>
          <w:szCs w:val="18"/>
        </w:rPr>
        <w:t xml:space="preserve">Both capitalize research</w:t>
      </w:r>
    </w:p>
    <w:p>
      <w:pPr>
        <w:spacing w:after="18"/>
        <w:ind w:left="560" w:hanging="260"/>
      </w:pPr>
      <w:r>
        <w:rPr>
          <w:b/>
          <w:bCs/>
          <w:color w:val="8186EF"/>
          <w:sz w:val="18"/>
          <w:szCs w:val="18"/>
        </w:rPr>
        <w:t xml:space="preserve">D. </w:t>
      </w:r>
      <w:r>
        <w:rPr>
          <w:sz w:val="18"/>
          <w:szCs w:val="18"/>
        </w:rPr>
        <w:t xml:space="preserve">Both expense all software costs</w:t>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8.  </w:t>
            </w:r>
            <w:r>
              <w:rPr>
                <w:sz w:val="19"/>
                <w:szCs w:val="19"/>
              </w:rPr>
              <w:t xml:space="preserve">Which of these did this cycle settle?</w:t>
            </w:r>
          </w:p>
          <w:p>
            <w:pPr>
              <w:spacing w:after="16"/>
              <w:ind w:left="500" w:hanging="200"/>
            </w:pPr>
            <w:r>
              <w:rPr>
                <w:b/>
                <w:bCs/>
                <w:color w:val="8186EF"/>
                <w:sz w:val="18"/>
                <w:szCs w:val="18"/>
              </w:rPr>
              <w:t xml:space="preserve">A. </w:t>
            </w:r>
            <w:r>
              <w:rPr>
                <w:sz w:val="18"/>
                <w:szCs w:val="18"/>
              </w:rPr>
              <w:t xml:space="preserve">the rule and where it comes from</w:t>
            </w:r>
          </w:p>
          <w:p>
            <w:pPr>
              <w:spacing w:after="16"/>
              <w:ind w:left="500" w:hanging="200"/>
            </w:pPr>
            <w:r>
              <w:rPr>
                <w:b/>
                <w:bCs/>
                <w:color w:val="8186EF"/>
                <w:sz w:val="18"/>
                <w:szCs w:val="18"/>
              </w:rPr>
              <w:t xml:space="preserve">B. </w:t>
            </w:r>
            <w:r>
              <w:rPr>
                <w:sz w:val="18"/>
                <w:szCs w:val="18"/>
              </w:rPr>
              <w:t xml:space="preserve">nothing in particular</w:t>
            </w:r>
          </w:p>
          <w:p>
            <w:pPr>
              <w:spacing w:after="16"/>
              <w:ind w:left="500" w:hanging="200"/>
            </w:pPr>
            <w:r>
              <w:rPr>
                <w:b/>
                <w:bCs/>
                <w:color w:val="8186EF"/>
                <w:sz w:val="18"/>
                <w:szCs w:val="18"/>
              </w:rPr>
              <w:t xml:space="preserve">C. </w:t>
            </w:r>
            <w:r>
              <w:rPr>
                <w:sz w:val="18"/>
                <w:szCs w:val="18"/>
              </w:rPr>
              <w:t xml:space="preserve">only the vocabulary</w:t>
            </w:r>
          </w:p>
          <w:p>
            <w:pPr>
              <w:spacing w:after="16"/>
              <w:ind w:left="500" w:hanging="200"/>
            </w:pPr>
            <w:r>
              <w:rPr>
                <w:b/>
                <w:bCs/>
                <w:color w:val="8186EF"/>
                <w:sz w:val="18"/>
                <w:szCs w:val="18"/>
              </w:rPr>
              <w:t xml:space="preserve">D. </w:t>
            </w:r>
            <w:r>
              <w:rPr>
                <w:sz w:val="18"/>
                <w:szCs w:val="18"/>
              </w:rPr>
              <w:t xml:space="preserve">only the arithmetic</w:t>
            </w:r>
          </w:p>
          <w:p>
            <w:pPr>
              <w:spacing w:before="20" w:after="50"/>
            </w:pPr>
            <w:r>
              <w:rPr>
                <w:color w:val="C0483F"/>
                <w:sz w:val="17"/>
                <w:szCs w:val="17"/>
              </w:rPr>
              <w:t xml:space="preserve">If you got it wrong: redo the READ THE MODEL questions of cycle A.</w:t>
            </w:r>
          </w:p>
        </w:tc>
      </w:tr>
    </w:tbl>
    <w:p/>
    <w:p>
      <w:pPr>
        <w:pageBreakBefore w:val="true"/>
        <w:spacing w:after="0"/>
      </w:pPr>
      <w:r>
        <w:rPr>
          <w:sz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9.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400"/>
            <w:tcMar>
              <w:top w:type="dxa" w:w="50"/>
              <w:left w:type="dxa" w:w="110"/>
              <w:bottom w:type="dxa" w:w="50"/>
              <w:right w:type="dxa" w:w="110"/>
            </w:tcMar>
          </w:tcPr>
          <w:p>
            <w:pPr>
              <w:spacing w:before="26" w:after="26"/>
            </w:pPr>
            <w:r>
              <w:rPr>
                <w:color w:val="232733"/>
                <w:sz w:val="16"/>
                <w:szCs w:val="16"/>
              </w:rPr>
              <w:t xml:space="preserve">development costs</w:t>
            </w:r>
          </w:p>
        </w:tc>
        <w:tc>
          <w:tcPr>
            <w:tcW w:type="pct" w:w="2600"/>
            <w:tcMar>
              <w:top w:type="dxa" w:w="50"/>
              <w:left w:type="dxa" w:w="110"/>
              <w:bottom w:type="dxa" w:w="50"/>
              <w:right w:type="dxa" w:w="110"/>
            </w:tcMar>
          </w:tcPr>
          <w:p>
            <w:pPr>
              <w:spacing w:before="26" w:after="26"/>
            </w:pPr>
            <w:r>
              <w:rPr>
                <w:color w:val="232733"/>
                <w:sz w:val="16"/>
                <w:szCs w:val="16"/>
              </w:rPr>
              <w:t xml:space="preserve">تكاليف التطوير</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graded vesting</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الاستحقاق المتدرج</w:t>
            </w:r>
          </w:p>
        </w:tc>
      </w:tr>
      <w:tr>
        <w:tc>
          <w:tcPr>
            <w:tcW w:type="pct" w:w="2400"/>
            <w:tcMar>
              <w:top w:type="dxa" w:w="50"/>
              <w:left w:type="dxa" w:w="110"/>
              <w:bottom w:type="dxa" w:w="50"/>
              <w:right w:type="dxa" w:w="110"/>
            </w:tcMar>
          </w:tcPr>
          <w:p>
            <w:pPr>
              <w:spacing w:before="26" w:after="26"/>
            </w:pPr>
            <w:r>
              <w:rPr>
                <w:color w:val="232733"/>
                <w:sz w:val="16"/>
                <w:szCs w:val="16"/>
              </w:rPr>
              <w:t xml:space="preserve">fair value less costs of disposal</w:t>
            </w:r>
          </w:p>
        </w:tc>
        <w:tc>
          <w:tcPr>
            <w:tcW w:type="pct" w:w="2600"/>
            <w:tcMar>
              <w:top w:type="dxa" w:w="50"/>
              <w:left w:type="dxa" w:w="110"/>
              <w:bottom w:type="dxa" w:w="50"/>
              <w:right w:type="dxa" w:w="110"/>
            </w:tcMar>
          </w:tcPr>
          <w:p>
            <w:pPr>
              <w:spacing w:before="26" w:after="26"/>
            </w:pPr>
            <w:r>
              <w:rPr>
                <w:color w:val="232733"/>
                <w:sz w:val="16"/>
                <w:szCs w:val="16"/>
              </w:rPr>
              <w:t xml:space="preserve">القيمة العادلة ناقصاً تكاليف الاستبعاد</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30" w:after="30"/>
        <w:ind w:left="300" w:hanging="300"/>
      </w:pPr>
      <w:r>
        <w:rPr>
          <w:b/>
          <w:bCs/>
          <w:color w:val="353A7C"/>
          <w:sz w:val="19"/>
          <w:szCs w:val="19"/>
        </w:rPr>
        <w:t xml:space="preserve">10.  </w:t>
      </w:r>
      <w:r>
        <w:rPr>
          <w:sz w:val="19"/>
          <w:szCs w:val="19"/>
        </w:rPr>
        <w:t xml:space="preserve">A glossary term and its translation are a pair the book itself gives.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11.  </w:t>
      </w:r>
      <w:r>
        <w:rPr>
          <w:sz w:val="19"/>
          <w:szCs w:val="19"/>
        </w:rPr>
        <w:t xml:space="preserve">A term on this page means what the book defines it to mean. What settles a disagreement about one?</w:t>
      </w:r>
    </w:p>
    <w:p>
      <w:pPr>
        <w:spacing w:after="18"/>
        <w:ind w:left="560" w:hanging="260"/>
      </w:pPr>
      <w:r>
        <w:rPr>
          <w:b/>
          <w:bCs/>
          <w:color w:val="8186EF"/>
          <w:sz w:val="18"/>
          <w:szCs w:val="18"/>
        </w:rPr>
        <w:t xml:space="preserve">A. </w:t>
      </w:r>
      <w:r>
        <w:rPr>
          <w:sz w:val="18"/>
          <w:szCs w:val="18"/>
        </w:rPr>
        <w:t xml:space="preserve">the glossary printed on this page</w:t>
      </w:r>
    </w:p>
    <w:p>
      <w:pPr>
        <w:spacing w:after="18"/>
        <w:ind w:left="560" w:hanging="260"/>
      </w:pPr>
      <w:r>
        <w:rPr>
          <w:b/>
          <w:bCs/>
          <w:color w:val="8186EF"/>
          <w:sz w:val="18"/>
          <w:szCs w:val="18"/>
        </w:rPr>
        <w:t xml:space="preserve">B. </w:t>
      </w:r>
      <w:r>
        <w:rPr>
          <w:sz w:val="18"/>
          <w:szCs w:val="18"/>
        </w:rPr>
        <w:t xml:space="preserve">what the word means in ordinary English</w:t>
      </w:r>
    </w:p>
    <w:p>
      <w:pPr>
        <w:spacing w:after="18"/>
        <w:ind w:left="560" w:hanging="260"/>
      </w:pPr>
      <w:r>
        <w:rPr>
          <w:b/>
          <w:bCs/>
          <w:color w:val="8186EF"/>
          <w:sz w:val="18"/>
          <w:szCs w:val="18"/>
        </w:rPr>
        <w:t xml:space="preserve">C. </w:t>
      </w:r>
      <w:r>
        <w:rPr>
          <w:sz w:val="18"/>
          <w:szCs w:val="18"/>
        </w:rPr>
        <w:t xml:space="preserve">the translation that sounds closest</w:t>
      </w:r>
    </w:p>
    <w:p>
      <w:pPr>
        <w:spacing w:after="18"/>
        <w:ind w:left="560" w:hanging="260"/>
      </w:pPr>
      <w:r>
        <w:rPr>
          <w:b/>
          <w:bCs/>
          <w:color w:val="8186EF"/>
          <w:sz w:val="18"/>
          <w:szCs w:val="18"/>
        </w:rPr>
        <w:t xml:space="preserve">D. </w:t>
      </w:r>
      <w:r>
        <w:rPr>
          <w:sz w:val="18"/>
          <w:szCs w:val="18"/>
        </w:rPr>
        <w:t xml:space="preserve">whichever reading makes the item easier</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12.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p>
      <w:pPr>
        <w:pageBreakBefore w:val="true"/>
        <w:spacing w:after="0"/>
      </w:pPr>
      <w:r>
        <w:rPr>
          <w:sz w:val="2"/>
        </w:rPr>
        <w:t xml:space="preserve"> </w:t>
      </w:r>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13.  </w:t>
      </w:r>
      <w:r>
        <w:rPr>
          <w:sz w:val="19"/>
          <w:szCs w:val="19"/>
        </w:rPr>
        <w:t xml:space="preserve">Rebuild the figure from this handout. Label every part and fill in every box.</w:t>
      </w:r>
    </w:p>
    <w:p>
      <w:pPr>
        <w:spacing w:after="40" w:before="90"/>
        <w:jc w:val="center"/>
      </w:pPr>
      <w:r>
        <w:drawing>
          <wp:inline distT="0" distB="0" distL="0" distR="0">
            <wp:extent cx="5734050" cy="117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5734050" cy="1177000"/>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14.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development costs  ·  graded vesting  ·  fair value less costs of disposal</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3"/>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17.4</w:t>
      </w:r>
    </w:p>
    <w:p>
      <w:pPr>
        <w:spacing w:after="8"/>
      </w:pPr>
      <w:r>
        <w:rPr>
          <w:color w:val="23265A"/>
          <w:sz w:val="22"/>
          <w:szCs w:val="22"/>
        </w:rPr>
        <w:t xml:space="preserve">(iv) Leases: the lessee</w:t>
      </w:r>
    </w:p>
    <w:p>
      <w:pPr>
        <w:spacing w:after="130"/>
      </w:pPr>
      <w:r>
        <w:rPr>
          <w:color w:val="6B7280"/>
          <w:sz w:val="20"/>
          <w:szCs w:val="20"/>
        </w:rPr>
        <w:t xml:space="preserve">section 17.4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232"/>
        <w:gridCol w:w="2875"/>
        <w:gridCol w:w="4493"/>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1163"/>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1497"/>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2340"/>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1163"/>
            <w:tcMar>
              <w:top w:type="dxa" w:w="50"/>
              <w:left w:type="dxa" w:w="110"/>
              <w:bottom w:type="dxa" w:w="50"/>
              <w:right w:type="dxa" w:w="110"/>
            </w:tcMar>
          </w:tcPr>
          <w:p>
            <w:pPr>
              <w:spacing w:before="26" w:after="26"/>
            </w:pPr>
            <w:r>
              <w:rPr>
                <w:color w:val="232733"/>
                <w:sz w:val="16"/>
                <w:szCs w:val="16"/>
              </w:rPr>
              <w:t xml:space="preserve">(iv) Leases: the lessee</w:t>
            </w:r>
          </w:p>
        </w:tc>
        <w:tc>
          <w:tcPr>
            <w:tcW w:type="pct" w:w="1497"/>
            <w:tcMar>
              <w:top w:type="dxa" w:w="50"/>
              <w:left w:type="dxa" w:w="110"/>
              <w:bottom w:type="dxa" w:w="50"/>
              <w:right w:type="dxa" w:w="110"/>
            </w:tcMar>
          </w:tcPr>
          <w:p>
            <w:pPr>
              <w:spacing w:before="26" w:after="26"/>
            </w:pPr>
            <w:r>
              <w:rPr>
                <w:color w:val="232733"/>
                <w:sz w:val="16"/>
                <w:szCs w:val="16"/>
              </w:rPr>
              <w:t xml:space="preserve">a figure to read · Topic</w:t>
            </w:r>
          </w:p>
        </w:tc>
        <w:tc>
          <w:tcPr>
            <w:tcW w:type="pct" w:w="2340"/>
            <w:tcMar>
              <w:top w:type="dxa" w:w="50"/>
              <w:left w:type="dxa" w:w="110"/>
              <w:bottom w:type="dxa" w:w="50"/>
              <w:right w:type="dxa" w:w="110"/>
            </w:tcMar>
          </w:tcPr>
          <w:p>
            <w:pPr>
              <w:spacing w:before="26" w:after="26"/>
            </w:pPr>
            <w:r>
              <w:rPr>
                <w:color w:val="232733"/>
                <w:sz w:val="16"/>
                <w:szCs w:val="16"/>
              </w:rPr>
              <w:t xml:space="preserve">Which of these did this cycle settle?</w:t>
            </w:r>
          </w:p>
        </w:tc>
      </w:tr>
      <w:tr>
        <w:tc>
          <w:tcPr>
            <w:tcW w:type="pct" w:w="1163"/>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1497"/>
            <w:shd w:fill="FBFAF6" w:val="clear"/>
            <w:tcMar>
              <w:top w:type="dxa" w:w="50"/>
              <w:left w:type="dxa" w:w="110"/>
              <w:bottom w:type="dxa" w:w="50"/>
              <w:right w:type="dxa" w:w="110"/>
            </w:tcMar>
          </w:tcPr>
          <w:p>
            <w:pPr>
              <w:spacing w:before="26" w:after="26"/>
            </w:pPr>
            <w:r>
              <w:rPr>
                <w:color w:val="232733"/>
                <w:sz w:val="16"/>
                <w:szCs w:val="16"/>
              </w:rPr>
              <w:t xml:space="preserve">The English the exam uses, and what it translates</w:t>
            </w:r>
          </w:p>
        </w:tc>
        <w:tc>
          <w:tcPr>
            <w:tcW w:type="pct" w:w="2340"/>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600"/>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400"/>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600"/>
            <w:tcMar>
              <w:top w:type="dxa" w:w="50"/>
              <w:left w:type="dxa" w:w="110"/>
              <w:bottom w:type="dxa" w:w="50"/>
              <w:right w:type="dxa" w:w="110"/>
            </w:tcMar>
          </w:tcPr>
          <w:p>
            <w:pPr>
              <w:spacing w:before="26" w:after="26"/>
            </w:pPr>
            <w:r>
              <w:rPr>
                <w:color w:val="232733"/>
                <w:sz w:val="16"/>
                <w:szCs w:val="16"/>
              </w:rPr>
              <w:t xml:space="preserve">value in use</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defined benefit plan</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recoverability test</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depreciation   ·   right-of-use   ·   straight-line   ·   recoverable amount   ·   recoverability test</w:t>
      </w:r>
    </w:p>
    <w:p>
      <w:pPr>
        <w:spacing w:before="36" w:after="36"/>
        <w:ind w:left="300"/>
      </w:pPr>
      <w:r>
        <w:rPr>
          <w:sz w:val="19"/>
          <w:szCs w:val="19"/>
        </w:rPr>
        <w:t xml:space="preserve">IFRS 16 has one lessee model: every lease is treated like a finance lease, with </w:t>
      </w:r>
      <w:r>
        <w:rPr>
          <w:u w:val="single"/>
          <w:sz w:val="19"/>
          <w:szCs w:val="19"/>
        </w:rPr>
        <w:t xml:space="preserve">              </w:t>
      </w:r>
      <w:r>
        <w:rPr>
          <w:sz w:val="19"/>
          <w:szCs w:val="19"/>
        </w:rPr>
        <w:t xml:space="preserve"> of the </w:t>
      </w:r>
      <w:r>
        <w:rPr>
          <w:u w:val="single"/>
          <w:sz w:val="19"/>
          <w:szCs w:val="19"/>
        </w:rPr>
        <w:t xml:space="preserve">              </w:t>
      </w:r>
      <w:r>
        <w:rPr>
          <w:sz w:val="19"/>
          <w:szCs w:val="19"/>
        </w:rPr>
        <w:t xml:space="preserve"> asset plus interest. U.S. GAAP keeps two models, and an operating lease has one </w:t>
      </w:r>
      <w:r>
        <w:rPr>
          <w:u w:val="single"/>
          <w:sz w:val="19"/>
          <w:szCs w:val="19"/>
        </w:rPr>
        <w:t xml:space="preserve">               </w:t>
      </w:r>
      <w:r>
        <w:rPr>
          <w:sz w:val="19"/>
          <w:szCs w:val="19"/>
        </w:rPr>
        <w:t xml:space="preserve"> cost.</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remeasures   ·   recoverable amount   ·   recoverability test   ·   classifies   ·   exemption</w:t>
      </w:r>
    </w:p>
    <w:p>
      <w:pPr>
        <w:spacing w:before="36" w:after="36"/>
        <w:ind w:left="300"/>
      </w:pPr>
      <w:r>
        <w:rPr>
          <w:sz w:val="19"/>
          <w:szCs w:val="19"/>
        </w:rPr>
        <w:t xml:space="preserve">Over the whole lease, total expense is the same. IFRS 16 also allows an </w:t>
      </w:r>
      <w:r>
        <w:rPr>
          <w:u w:val="single"/>
          <w:sz w:val="19"/>
          <w:szCs w:val="19"/>
        </w:rPr>
        <w:t xml:space="preserve">           </w:t>
      </w:r>
      <w:r>
        <w:rPr>
          <w:sz w:val="19"/>
          <w:szCs w:val="19"/>
        </w:rPr>
        <w:t xml:space="preserve"> for low-value assets, </w:t>
      </w:r>
      <w:r>
        <w:rPr>
          <w:u w:val="single"/>
          <w:sz w:val="19"/>
          <w:szCs w:val="19"/>
        </w:rPr>
        <w:t xml:space="preserve">            </w:t>
      </w:r>
      <w:r>
        <w:rPr>
          <w:sz w:val="19"/>
          <w:szCs w:val="19"/>
        </w:rPr>
        <w:t xml:space="preserve"> the liability when an index such as CPI changes, and </w:t>
      </w:r>
      <w:r>
        <w:rPr>
          <w:u w:val="single"/>
          <w:sz w:val="19"/>
          <w:szCs w:val="19"/>
        </w:rPr>
        <w:t xml:space="preserve">            </w:t>
      </w:r>
      <w:r>
        <w:rPr>
          <w:sz w:val="19"/>
          <w:szCs w:val="19"/>
        </w:rPr>
        <w:t xml:space="preserve"> lease principal as financing.</w:t>
      </w:r>
    </w:p>
    <w:p>
      <w:pPr>
        <w:spacing w:before="40" w:after="10"/>
        <w:ind w:left="300" w:hanging="300"/>
      </w:pPr>
      <w:r>
        <w:rPr>
          <w:b/>
          <w:bCs/>
          <w:color w:val="353A7C"/>
          <w:sz w:val="19"/>
          <w:szCs w:val="19"/>
        </w:rPr>
        <w:t xml:space="preserve">3.  </w:t>
      </w:r>
      <w:r>
        <w:rPr>
          <w:sz w:val="19"/>
          <w:szCs w:val="19"/>
        </w:rPr>
        <w:t xml:space="preserve">Where it ends — Fill every gap from the list. The list holds more words than there are gaps.</w:t>
      </w:r>
    </w:p>
    <w:p>
      <w:pPr>
        <w:spacing w:before="20" w:after="26"/>
        <w:ind w:left="300"/>
      </w:pPr>
      <w:r>
        <w:rPr>
          <w:color w:val="6B7280"/>
          <w:sz w:val="16"/>
          <w:szCs w:val="16"/>
        </w:rPr>
        <w:t xml:space="preserve">choose from:  </w:t>
      </w:r>
      <w:r>
        <w:rPr>
          <w:b/>
          <w:bCs/>
          <w:color w:val="353A7C"/>
          <w:sz w:val="16"/>
          <w:szCs w:val="16"/>
        </w:rPr>
        <w:t xml:space="preserve">No exemption   ·   Operating   ·   One straight-line lease cost: 100,000   ·   Full gain if a sale   ·   Not remeasured   ·   Two: finance and operating</w:t>
      </w:r>
    </w:p>
    <w:p>
      <w:pPr>
        <w:spacing w:before="36" w:after="36"/>
        <w:ind w:left="300"/>
      </w:pPr>
      <w:r>
        <w:rPr>
          <w:sz w:val="19"/>
          <w:szCs w:val="19"/>
        </w:rPr>
        <w:t xml:space="preserve">The book’s own table “Topic” settles these: for Lessee models it is </w:t>
      </w:r>
      <w:r>
        <w:rPr>
          <w:u w:val="single"/>
          <w:sz w:val="19"/>
          <w:szCs w:val="19"/>
        </w:rPr>
        <w:t xml:space="preserve">                            </w:t>
      </w:r>
      <w:r>
        <w:rPr>
          <w:sz w:val="19"/>
          <w:szCs w:val="19"/>
        </w:rPr>
        <w:t xml:space="preserve">, for Warehouse lease, 2026 expense (Chapter 14) it is </w:t>
      </w:r>
      <w:r>
        <w:rPr>
          <w:u w:val="single"/>
          <w:sz w:val="19"/>
          <w:szCs w:val="19"/>
        </w:rPr>
        <w:t xml:space="preserve">                                       </w:t>
      </w:r>
      <w:r>
        <w:rPr>
          <w:sz w:val="19"/>
          <w:szCs w:val="19"/>
        </w:rPr>
        <w:t xml:space="preserve">, for Low-value assets it is </w:t>
      </w:r>
      <w:r>
        <w:rPr>
          <w:u w:val="single"/>
          <w:sz w:val="19"/>
          <w:szCs w:val="19"/>
        </w:rPr>
        <w:t xml:space="preserve">              </w:t>
      </w:r>
      <w:r>
        <w:rPr>
          <w:sz w:val="19"/>
          <w:szCs w:val="19"/>
        </w:rPr>
        <w:t xml:space="preserve"> and for Index-linked payments (CPI) it is </w:t>
      </w:r>
      <w:r>
        <w:rPr>
          <w:u w:val="single"/>
          <w:sz w:val="19"/>
          <w:szCs w:val="19"/>
        </w:rPr>
        <w:t xml:space="preserve">                </w:t>
      </w:r>
      <w:r>
        <w:rPr>
          <w:sz w:val="19"/>
          <w:szCs w:val="19"/>
        </w:rPr>
        <w:t xml:space="preserve">.</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How every cycle on this sheet works</w:t>
            </w:r>
          </w:p>
        </w:tc>
      </w:tr>
      <w:tr>
        <w:tc>
          <w:tcPr>
            <w:tcW w:type="pct" w:w="2400"/>
            <w:tcMar>
              <w:top w:type="dxa" w:w="50"/>
              <w:left w:type="dxa" w:w="110"/>
              <w:bottom w:type="dxa" w:w="50"/>
              <w:right w:type="dxa" w:w="110"/>
            </w:tcMar>
          </w:tcPr>
          <w:p>
            <w:pPr>
              <w:spacing w:before="26" w:after="26"/>
            </w:pPr>
            <w:r>
              <w:rPr>
                <w:b/>
                <w:bCs/>
                <w:color w:val="353A7C"/>
                <w:sz w:val="15"/>
                <w:szCs w:val="15"/>
              </w:rPr>
              <w:t xml:space="preserve">How a cycle works</w:t>
            </w:r>
          </w:p>
        </w:tc>
        <w:tc>
          <w:tcPr>
            <w:tcW w:type="pct" w:w="2600"/>
            <w:tcMar>
              <w:top w:type="dxa" w:w="50"/>
              <w:left w:type="dxa" w:w="110"/>
              <w:bottom w:type="dxa" w:w="50"/>
              <w:right w:type="dxa" w:w="110"/>
            </w:tcMar>
          </w:tcPr>
          <w:p>
            <w:pPr>
              <w:spacing w:before="26" w:after="26"/>
            </w:pPr>
            <w:r>
              <w:rPr>
                <w:b/>
                <w:bCs/>
                <w:color w:val="353A7C"/>
                <w:sz w:val="15"/>
                <w:szCs w:val="15"/>
              </w:rPr>
              <w:t xml:space="preserve">what you do</w:t>
            </w:r>
          </w:p>
        </w:tc>
      </w:tr>
      <w:tr>
        <w:tc>
          <w:tcPr>
            <w:tcW w:type="pct" w:w="2400"/>
            <w:tcMar>
              <w:top w:type="dxa" w:w="50"/>
              <w:left w:type="dxa" w:w="110"/>
              <w:bottom w:type="dxa" w:w="50"/>
              <w:right w:type="dxa" w:w="110"/>
            </w:tcMar>
          </w:tcPr>
          <w:p>
            <w:pPr>
              <w:spacing w:before="26" w:after="26"/>
            </w:pPr>
            <w:r>
              <w:rPr>
                <w:color w:val="232733"/>
                <w:sz w:val="16"/>
                <w:szCs w:val="16"/>
              </w:rPr>
              <w:t xml:space="preserve">MODEL</w:t>
            </w:r>
          </w:p>
        </w:tc>
        <w:tc>
          <w:tcPr>
            <w:tcW w:type="pct" w:w="2600"/>
            <w:tcMar>
              <w:top w:type="dxa" w:w="50"/>
              <w:left w:type="dxa" w:w="110"/>
              <w:bottom w:type="dxa" w:w="50"/>
              <w:right w:type="dxa" w:w="110"/>
            </w:tcMar>
          </w:tcPr>
          <w:p>
            <w:pPr>
              <w:spacing w:before="26" w:after="26"/>
            </w:pPr>
            <w:r>
              <w:rPr>
                <w:color w:val="232733"/>
                <w:sz w:val="16"/>
                <w:szCs w:val="16"/>
              </w:rPr>
              <w:t xml:space="preserve">read the figure or the table before you answer anything</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READ THE MODEL</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every answer is printed on the same page</w:t>
            </w:r>
          </w:p>
        </w:tc>
      </w:tr>
      <w:tr>
        <w:tc>
          <w:tcPr>
            <w:tcW w:type="pct" w:w="2400"/>
            <w:tcMar>
              <w:top w:type="dxa" w:w="50"/>
              <w:left w:type="dxa" w:w="110"/>
              <w:bottom w:type="dxa" w:w="50"/>
              <w:right w:type="dxa" w:w="110"/>
            </w:tcMar>
          </w:tcPr>
          <w:p>
            <w:pPr>
              <w:spacing w:before="26" w:after="26"/>
            </w:pPr>
            <w:r>
              <w:rPr>
                <w:color w:val="232733"/>
                <w:sz w:val="16"/>
                <w:szCs w:val="16"/>
              </w:rPr>
              <w:t xml:space="preserve">INVENT THE RULE</w:t>
            </w:r>
          </w:p>
        </w:tc>
        <w:tc>
          <w:tcPr>
            <w:tcW w:type="pct" w:w="2600"/>
            <w:tcMar>
              <w:top w:type="dxa" w:w="50"/>
              <w:left w:type="dxa" w:w="110"/>
              <w:bottom w:type="dxa" w:w="50"/>
              <w:right w:type="dxa" w:w="110"/>
            </w:tcMar>
          </w:tcPr>
          <w:p>
            <w:pPr>
              <w:spacing w:before="26" w:after="26"/>
            </w:pPr>
            <w:r>
              <w:rPr>
                <w:color w:val="232733"/>
                <w:sz w:val="16"/>
                <w:szCs w:val="16"/>
              </w:rPr>
              <w:t xml:space="preserve">write the rule yourself, then compare with the book</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APPLY</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no help on this move</w:t>
            </w:r>
          </w:p>
        </w:tc>
      </w:tr>
      <w:tr>
        <w:tc>
          <w:tcPr>
            <w:tcW w:type="pct" w:w="2400"/>
            <w:tcMar>
              <w:top w:type="dxa" w:w="50"/>
              <w:left w:type="dxa" w:w="110"/>
              <w:bottom w:type="dxa" w:w="50"/>
              <w:right w:type="dxa" w:w="110"/>
            </w:tcMar>
          </w:tcPr>
          <w:p>
            <w:pPr>
              <w:spacing w:before="26" w:after="26"/>
            </w:pPr>
            <w:r>
              <w:rPr>
                <w:color w:val="232733"/>
                <w:sz w:val="16"/>
                <w:szCs w:val="16"/>
              </w:rPr>
              <w:t xml:space="preserve">CHECKPOINT</w:t>
            </w:r>
          </w:p>
        </w:tc>
        <w:tc>
          <w:tcPr>
            <w:tcW w:type="pct" w:w="2600"/>
            <w:tcMar>
              <w:top w:type="dxa" w:w="50"/>
              <w:left w:type="dxa" w:w="110"/>
              <w:bottom w:type="dxa" w:w="50"/>
              <w:right w:type="dxa" w:w="110"/>
            </w:tcMar>
          </w:tcPr>
          <w:p>
            <w:pPr>
              <w:spacing w:before="26" w:after="26"/>
            </w:pPr>
            <w:r>
              <w:rPr>
                <w:color w:val="232733"/>
                <w:sz w:val="16"/>
                <w:szCs w:val="16"/>
              </w:rPr>
              <w:t xml:space="preserve">mark it yourself; if you miss it, the sheet says what to redo</w:t>
            </w:r>
          </w:p>
        </w:tc>
      </w:tr>
    </w:tbl>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(iv) Leases: the lessee</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Every number in a financial statement belongs to an element the framework defines.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390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5734050" cy="3908200"/>
                    </a:xfrm>
                    <a:prstGeom prst="rect">
                      <a:avLst/>
                    </a:prstGeom>
                  </pic:spPr>
                </pic:pic>
              </a:graphicData>
            </a:graphic>
          </wp:inline>
        </w:drawing>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3179"/>
        <w:gridCol w:w="2726"/>
        <w:gridCol w:w="3695"/>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Topic — the book’s own table</w:t>
            </w:r>
          </w:p>
        </w:tc>
      </w:tr>
      <w:tr>
        <w:tc>
          <w:tcPr>
            <w:tcW w:type="pct" w:w="1656"/>
            <w:tcMar>
              <w:top w:type="dxa" w:w="50"/>
              <w:left w:type="dxa" w:w="110"/>
              <w:bottom w:type="dxa" w:w="50"/>
              <w:right w:type="dxa" w:w="110"/>
            </w:tcMar>
          </w:tcPr>
          <w:p>
            <w:pPr>
              <w:spacing w:before="26" w:after="26"/>
            </w:pPr>
            <w:r>
              <w:rPr>
                <w:b/>
                <w:bCs/>
                <w:color w:val="353A7C"/>
                <w:sz w:val="15"/>
                <w:szCs w:val="15"/>
              </w:rPr>
              <w:t xml:space="preserve">Topic</w:t>
            </w:r>
          </w:p>
        </w:tc>
        <w:tc>
          <w:tcPr>
            <w:tcW w:type="pct" w:w="1420"/>
            <w:tcMar>
              <w:top w:type="dxa" w:w="50"/>
              <w:left w:type="dxa" w:w="110"/>
              <w:bottom w:type="dxa" w:w="50"/>
              <w:right w:type="dxa" w:w="110"/>
            </w:tcMar>
          </w:tcPr>
          <w:p>
            <w:pPr>
              <w:spacing w:before="26" w:after="26"/>
            </w:pPr>
            <w:r>
              <w:rPr>
                <w:b/>
                <w:bCs/>
                <w:color w:val="353A7C"/>
                <w:sz w:val="15"/>
                <w:szCs w:val="15"/>
              </w:rPr>
              <w:t xml:space="preserve">U.S. GAAP (ASC 842)</w:t>
            </w:r>
          </w:p>
        </w:tc>
        <w:tc>
          <w:tcPr>
            <w:tcW w:type="pct" w:w="1924"/>
            <w:tcMar>
              <w:top w:type="dxa" w:w="50"/>
              <w:left w:type="dxa" w:w="110"/>
              <w:bottom w:type="dxa" w:w="50"/>
              <w:right w:type="dxa" w:w="110"/>
            </w:tcMar>
          </w:tcPr>
          <w:p>
            <w:pPr>
              <w:spacing w:before="26" w:after="26"/>
            </w:pPr>
            <w:r>
              <w:rPr>
                <w:b/>
                <w:bCs/>
                <w:color w:val="353A7C"/>
                <w:sz w:val="15"/>
                <w:szCs w:val="15"/>
              </w:rPr>
              <w:t xml:space="preserve">IFRS 16</w:t>
            </w:r>
          </w:p>
        </w:tc>
      </w:tr>
      <w:tr>
        <w:tc>
          <w:tcPr>
            <w:tcW w:type="pct" w:w="1656"/>
            <w:tcMar>
              <w:top w:type="dxa" w:w="50"/>
              <w:left w:type="dxa" w:w="110"/>
              <w:bottom w:type="dxa" w:w="50"/>
              <w:right w:type="dxa" w:w="110"/>
            </w:tcMar>
          </w:tcPr>
          <w:p>
            <w:pPr>
              <w:spacing w:before="26" w:after="26"/>
            </w:pPr>
            <w:r>
              <w:rPr>
                <w:color w:val="232733"/>
                <w:sz w:val="16"/>
                <w:szCs w:val="16"/>
              </w:rPr>
              <w:t xml:space="preserve">Lessee models</w:t>
            </w:r>
          </w:p>
        </w:tc>
        <w:tc>
          <w:tcPr>
            <w:tcW w:type="pct" w:w="1420"/>
            <w:tcMar>
              <w:top w:type="dxa" w:w="50"/>
              <w:left w:type="dxa" w:w="110"/>
              <w:bottom w:type="dxa" w:w="50"/>
              <w:right w:type="dxa" w:w="110"/>
            </w:tcMar>
          </w:tcPr>
          <w:p>
            <w:pPr>
              <w:spacing w:before="26" w:after="26"/>
            </w:pPr>
            <w:r>
              <w:rPr>
                <w:color w:val="232733"/>
                <w:sz w:val="16"/>
                <w:szCs w:val="16"/>
              </w:rPr>
              <w:t xml:space="preserve">Two: finance and operating</w:t>
            </w:r>
          </w:p>
        </w:tc>
        <w:tc>
          <w:tcPr>
            <w:tcW w:type="pct" w:w="1924"/>
            <w:tcMar>
              <w:top w:type="dxa" w:w="50"/>
              <w:left w:type="dxa" w:w="110"/>
              <w:bottom w:type="dxa" w:w="50"/>
              <w:right w:type="dxa" w:w="110"/>
            </w:tcMar>
          </w:tcPr>
          <w:p>
            <w:pPr>
              <w:spacing w:before="26" w:after="26"/>
            </w:pPr>
            <w:r>
              <w:rPr>
                <w:color w:val="232733"/>
                <w:sz w:val="16"/>
                <w:szCs w:val="16"/>
              </w:rPr>
              <w:t xml:space="preserve">One: all leases like finance leases</w:t>
            </w:r>
          </w:p>
        </w:tc>
      </w:tr>
      <w:tr>
        <w:tc>
          <w:tcPr>
            <w:tcW w:type="pct" w:w="1656"/>
            <w:shd w:fill="FBFAF6" w:val="clear"/>
            <w:tcMar>
              <w:top w:type="dxa" w:w="50"/>
              <w:left w:type="dxa" w:w="110"/>
              <w:bottom w:type="dxa" w:w="50"/>
              <w:right w:type="dxa" w:w="110"/>
            </w:tcMar>
          </w:tcPr>
          <w:p>
            <w:pPr>
              <w:spacing w:before="26" w:after="26"/>
            </w:pPr>
            <w:r>
              <w:rPr>
                <w:color w:val="232733"/>
                <w:sz w:val="16"/>
                <w:szCs w:val="16"/>
              </w:rPr>
              <w:t xml:space="preserve">Warehouse lease, 2026 expense (Chapter 14)</w:t>
            </w:r>
          </w:p>
        </w:tc>
        <w:tc>
          <w:tcPr>
            <w:tcW w:type="pct" w:w="1420"/>
            <w:shd w:fill="FBFAF6" w:val="clear"/>
            <w:tcMar>
              <w:top w:type="dxa" w:w="50"/>
              <w:left w:type="dxa" w:w="110"/>
              <w:bottom w:type="dxa" w:w="50"/>
              <w:right w:type="dxa" w:w="110"/>
            </w:tcMar>
          </w:tcPr>
          <w:p>
            <w:pPr>
              <w:spacing w:before="26" w:after="26"/>
            </w:pPr>
            <w:r>
              <w:rPr>
                <w:color w:val="232733"/>
                <w:sz w:val="16"/>
                <w:szCs w:val="16"/>
              </w:rPr>
              <w:t xml:space="preserve">One straight-line lease cost: 100,000</w:t>
            </w:r>
          </w:p>
        </w:tc>
        <w:tc>
          <w:tcPr>
            <w:tcW w:type="pct" w:w="1924"/>
            <w:shd w:fill="FBFAF6" w:val="clear"/>
            <w:tcMar>
              <w:top w:type="dxa" w:w="50"/>
              <w:left w:type="dxa" w:w="110"/>
              <w:bottom w:type="dxa" w:w="50"/>
              <w:right w:type="dxa" w:w="110"/>
            </w:tcMar>
          </w:tcPr>
          <w:p>
            <w:pPr>
              <w:spacing w:before="26" w:after="26"/>
            </w:pPr>
            <w:r>
              <w:rPr>
                <w:color w:val="232733"/>
                <w:sz w:val="16"/>
                <w:szCs w:val="16"/>
              </w:rPr>
              <w:t xml:space="preserve">Depreciation 84,247 + interest 25,274 = 109,521</w:t>
            </w:r>
          </w:p>
        </w:tc>
      </w:tr>
      <w:tr>
        <w:tc>
          <w:tcPr>
            <w:tcW w:type="pct" w:w="1656"/>
            <w:tcMar>
              <w:top w:type="dxa" w:w="50"/>
              <w:left w:type="dxa" w:w="110"/>
              <w:bottom w:type="dxa" w:w="50"/>
              <w:right w:type="dxa" w:w="110"/>
            </w:tcMar>
          </w:tcPr>
          <w:p>
            <w:pPr>
              <w:spacing w:before="26" w:after="26"/>
            </w:pPr>
            <w:r>
              <w:rPr>
                <w:color w:val="232733"/>
                <w:sz w:val="16"/>
                <w:szCs w:val="16"/>
              </w:rPr>
              <w:t xml:space="preserve">Low-value assets</w:t>
            </w:r>
          </w:p>
        </w:tc>
        <w:tc>
          <w:tcPr>
            <w:tcW w:type="pct" w:w="1420"/>
            <w:tcMar>
              <w:top w:type="dxa" w:w="50"/>
              <w:left w:type="dxa" w:w="110"/>
              <w:bottom w:type="dxa" w:w="50"/>
              <w:right w:type="dxa" w:w="110"/>
            </w:tcMar>
          </w:tcPr>
          <w:p>
            <w:pPr>
              <w:spacing w:before="26" w:after="26"/>
            </w:pPr>
            <w:r>
              <w:rPr>
                <w:color w:val="232733"/>
                <w:sz w:val="16"/>
                <w:szCs w:val="16"/>
              </w:rPr>
              <w:t xml:space="preserve">No exemption</w:t>
            </w:r>
          </w:p>
        </w:tc>
        <w:tc>
          <w:tcPr>
            <w:tcW w:type="pct" w:w="1924"/>
            <w:tcMar>
              <w:top w:type="dxa" w:w="50"/>
              <w:left w:type="dxa" w:w="110"/>
              <w:bottom w:type="dxa" w:w="50"/>
              <w:right w:type="dxa" w:w="110"/>
            </w:tcMar>
          </w:tcPr>
          <w:p>
            <w:pPr>
              <w:spacing w:before="26" w:after="26"/>
            </w:pPr>
            <w:r>
              <w:rPr>
                <w:color w:val="232733"/>
                <w:sz w:val="16"/>
                <w:szCs w:val="16"/>
              </w:rPr>
              <w:t xml:space="preserve">Exemption allowed</w:t>
            </w:r>
          </w:p>
        </w:tc>
      </w:tr>
      <w:tr>
        <w:tc>
          <w:tcPr>
            <w:tcW w:type="pct" w:w="1656"/>
            <w:shd w:fill="FBFAF6" w:val="clear"/>
            <w:tcMar>
              <w:top w:type="dxa" w:w="50"/>
              <w:left w:type="dxa" w:w="110"/>
              <w:bottom w:type="dxa" w:w="50"/>
              <w:right w:type="dxa" w:w="110"/>
            </w:tcMar>
          </w:tcPr>
          <w:p>
            <w:pPr>
              <w:spacing w:before="26" w:after="26"/>
            </w:pPr>
            <w:r>
              <w:rPr>
                <w:color w:val="232733"/>
                <w:sz w:val="16"/>
                <w:szCs w:val="16"/>
              </w:rPr>
              <w:t xml:space="preserve">Index-linked payments (CPI)</w:t>
            </w:r>
          </w:p>
        </w:tc>
        <w:tc>
          <w:tcPr>
            <w:tcW w:type="pct" w:w="1420"/>
            <w:shd w:fill="FBFAF6" w:val="clear"/>
            <w:tcMar>
              <w:top w:type="dxa" w:w="50"/>
              <w:left w:type="dxa" w:w="110"/>
              <w:bottom w:type="dxa" w:w="50"/>
              <w:right w:type="dxa" w:w="110"/>
            </w:tcMar>
          </w:tcPr>
          <w:p>
            <w:pPr>
              <w:spacing w:before="26" w:after="26"/>
            </w:pPr>
            <w:r>
              <w:rPr>
                <w:color w:val="232733"/>
                <w:sz w:val="16"/>
                <w:szCs w:val="16"/>
              </w:rPr>
              <w:t xml:space="preserve">Not remeasured</w:t>
            </w:r>
          </w:p>
        </w:tc>
        <w:tc>
          <w:tcPr>
            <w:tcW w:type="pct" w:w="1924"/>
            <w:shd w:fill="FBFAF6" w:val="clear"/>
            <w:tcMar>
              <w:top w:type="dxa" w:w="50"/>
              <w:left w:type="dxa" w:w="110"/>
              <w:bottom w:type="dxa" w:w="50"/>
              <w:right w:type="dxa" w:w="110"/>
            </w:tcMar>
          </w:tcPr>
          <w:p>
            <w:pPr>
              <w:spacing w:before="26" w:after="26"/>
            </w:pPr>
            <w:r>
              <w:rPr>
                <w:color w:val="232733"/>
                <w:sz w:val="16"/>
                <w:szCs w:val="16"/>
              </w:rPr>
              <w:t xml:space="preserve">Liability remeasured</w:t>
            </w:r>
          </w:p>
        </w:tc>
      </w:tr>
      <w:tr>
        <w:tc>
          <w:tcPr>
            <w:tcW w:type="pct" w:w="1656"/>
            <w:tcMar>
              <w:top w:type="dxa" w:w="50"/>
              <w:left w:type="dxa" w:w="110"/>
              <w:bottom w:type="dxa" w:w="50"/>
              <w:right w:type="dxa" w:w="110"/>
            </w:tcMar>
          </w:tcPr>
          <w:p>
            <w:pPr>
              <w:spacing w:before="26" w:after="26"/>
            </w:pPr>
            <w:r>
              <w:rPr>
                <w:color w:val="232733"/>
                <w:sz w:val="16"/>
                <w:szCs w:val="16"/>
              </w:rPr>
              <w:t xml:space="preserve">Cash flow: operating-lease payment</w:t>
            </w:r>
          </w:p>
        </w:tc>
        <w:tc>
          <w:tcPr>
            <w:tcW w:type="pct" w:w="1420"/>
            <w:tcMar>
              <w:top w:type="dxa" w:w="50"/>
              <w:left w:type="dxa" w:w="110"/>
              <w:bottom w:type="dxa" w:w="50"/>
              <w:right w:type="dxa" w:w="110"/>
            </w:tcMar>
          </w:tcPr>
          <w:p>
            <w:pPr>
              <w:spacing w:before="26" w:after="26"/>
            </w:pPr>
            <w:r>
              <w:rPr>
                <w:color w:val="232733"/>
                <w:sz w:val="16"/>
                <w:szCs w:val="16"/>
              </w:rPr>
              <w:t xml:space="preserve">Operating</w:t>
            </w:r>
          </w:p>
        </w:tc>
        <w:tc>
          <w:tcPr>
            <w:tcW w:type="pct" w:w="1924"/>
            <w:tcMar>
              <w:top w:type="dxa" w:w="50"/>
              <w:left w:type="dxa" w:w="110"/>
              <w:bottom w:type="dxa" w:w="50"/>
              <w:right w:type="dxa" w:w="110"/>
            </w:tcMar>
          </w:tcPr>
          <w:p>
            <w:pPr>
              <w:spacing w:before="26" w:after="26"/>
            </w:pPr>
            <w:r>
              <w:rPr>
                <w:color w:val="232733"/>
                <w:sz w:val="16"/>
                <w:szCs w:val="16"/>
              </w:rPr>
              <w:t xml:space="preserve">Principal: financing; interest: by policy</w:t>
            </w:r>
          </w:p>
        </w:tc>
      </w:tr>
      <w:tr>
        <w:tc>
          <w:tcPr>
            <w:tcW w:type="pct" w:w="1656"/>
            <w:shd w:fill="FBFAF6" w:val="clear"/>
            <w:tcMar>
              <w:top w:type="dxa" w:w="50"/>
              <w:left w:type="dxa" w:w="110"/>
              <w:bottom w:type="dxa" w:w="50"/>
              <w:right w:type="dxa" w:w="110"/>
            </w:tcMar>
          </w:tcPr>
          <w:p>
            <w:pPr>
              <w:spacing w:before="26" w:after="26"/>
            </w:pPr>
            <w:r>
              <w:rPr>
                <w:color w:val="232733"/>
                <w:sz w:val="16"/>
                <w:szCs w:val="16"/>
              </w:rPr>
              <w:t xml:space="preserve">Sale and leaseback gain</w:t>
            </w:r>
          </w:p>
        </w:tc>
        <w:tc>
          <w:tcPr>
            <w:tcW w:type="pct" w:w="1420"/>
            <w:shd w:fill="FBFAF6" w:val="clear"/>
            <w:tcMar>
              <w:top w:type="dxa" w:w="50"/>
              <w:left w:type="dxa" w:w="110"/>
              <w:bottom w:type="dxa" w:w="50"/>
              <w:right w:type="dxa" w:w="110"/>
            </w:tcMar>
          </w:tcPr>
          <w:p>
            <w:pPr>
              <w:spacing w:before="26" w:after="26"/>
            </w:pPr>
            <w:r>
              <w:rPr>
                <w:color w:val="232733"/>
                <w:sz w:val="16"/>
                <w:szCs w:val="16"/>
              </w:rPr>
              <w:t xml:space="preserve">Full gain if a sale</w:t>
            </w:r>
          </w:p>
        </w:tc>
        <w:tc>
          <w:tcPr>
            <w:tcW w:type="pct" w:w="1924"/>
            <w:shd w:fill="FBFAF6" w:val="clear"/>
            <w:tcMar>
              <w:top w:type="dxa" w:w="50"/>
              <w:left w:type="dxa" w:w="110"/>
              <w:bottom w:type="dxa" w:w="50"/>
              <w:right w:type="dxa" w:w="110"/>
            </w:tcMar>
          </w:tcPr>
          <w:p>
            <w:pPr>
              <w:spacing w:before="26" w:after="26"/>
            </w:pPr>
            <w:r>
              <w:rPr>
                <w:color w:val="232733"/>
                <w:sz w:val="16"/>
                <w:szCs w:val="16"/>
              </w:rPr>
              <w:t xml:space="preserve">Gain only on the rights transferred</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topic does the book pair with “Two: finance and operating”?</w:t>
      </w:r>
    </w:p>
    <w:p>
      <w:pPr>
        <w:spacing w:after="18"/>
        <w:ind w:left="560" w:hanging="260"/>
      </w:pPr>
      <w:r>
        <w:rPr>
          <w:b/>
          <w:bCs/>
          <w:color w:val="8186EF"/>
          <w:sz w:val="18"/>
          <w:szCs w:val="18"/>
        </w:rPr>
        <w:t xml:space="preserve">A. </w:t>
      </w:r>
      <w:r>
        <w:rPr>
          <w:sz w:val="18"/>
          <w:szCs w:val="18"/>
        </w:rPr>
        <w:t xml:space="preserve">Warehouse lease, 2026 expense (Chapter 14)</w:t>
      </w:r>
    </w:p>
    <w:p>
      <w:pPr>
        <w:spacing w:after="18"/>
        <w:ind w:left="560" w:hanging="260"/>
      </w:pPr>
      <w:r>
        <w:rPr>
          <w:b/>
          <w:bCs/>
          <w:color w:val="8186EF"/>
          <w:sz w:val="18"/>
          <w:szCs w:val="18"/>
        </w:rPr>
        <w:t xml:space="preserve">B. </w:t>
      </w:r>
      <w:r>
        <w:rPr>
          <w:sz w:val="18"/>
          <w:szCs w:val="18"/>
        </w:rPr>
        <w:t xml:space="preserve">Lessee models</w:t>
      </w:r>
    </w:p>
    <w:p>
      <w:pPr>
        <w:spacing w:after="18"/>
        <w:ind w:left="560" w:hanging="260"/>
      </w:pPr>
      <w:r>
        <w:rPr>
          <w:b/>
          <w:bCs/>
          <w:color w:val="8186EF"/>
          <w:sz w:val="18"/>
          <w:szCs w:val="18"/>
        </w:rPr>
        <w:t xml:space="preserve">C. </w:t>
      </w:r>
      <w:r>
        <w:rPr>
          <w:sz w:val="18"/>
          <w:szCs w:val="18"/>
        </w:rPr>
        <w:t xml:space="preserve">Sale and leaseback gain</w:t>
      </w:r>
    </w:p>
    <w:p>
      <w:pPr>
        <w:spacing w:after="18"/>
        <w:ind w:left="560" w:hanging="260"/>
      </w:pPr>
      <w:r>
        <w:rPr>
          <w:b/>
          <w:bCs/>
          <w:color w:val="8186EF"/>
          <w:sz w:val="18"/>
          <w:szCs w:val="18"/>
        </w:rPr>
        <w:t xml:space="preserve">D. </w:t>
      </w:r>
      <w:r>
        <w:rPr>
          <w:sz w:val="18"/>
          <w:szCs w:val="18"/>
        </w:rPr>
        <w:t xml:space="preserve">Low-value assets</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6.  </w:t>
      </w:r>
      <w:r>
        <w:rPr>
          <w:sz w:val="19"/>
          <w:szCs w:val="19"/>
        </w:rPr>
        <w:t xml:space="preserve">Under IFRS, a company borrows specifically to build a plant and earns interest on unspent funds. The capitalized borrowing cost is:</w:t>
      </w:r>
    </w:p>
    <w:p>
      <w:pPr>
        <w:spacing w:after="18"/>
        <w:ind w:left="560" w:hanging="260"/>
      </w:pPr>
      <w:r>
        <w:rPr>
          <w:b/>
          <w:bCs/>
          <w:color w:val="8186EF"/>
          <w:sz w:val="18"/>
          <w:szCs w:val="18"/>
        </w:rPr>
        <w:t xml:space="preserve">A. </w:t>
      </w:r>
      <w:r>
        <w:rPr>
          <w:sz w:val="18"/>
          <w:szCs w:val="18"/>
        </w:rPr>
        <w:t xml:space="preserve">interest incurred, with no deduction</w:t>
      </w:r>
    </w:p>
    <w:p>
      <w:pPr>
        <w:spacing w:after="18"/>
        <w:ind w:left="560" w:hanging="260"/>
      </w:pPr>
      <w:r>
        <w:rPr>
          <w:b/>
          <w:bCs/>
          <w:color w:val="8186EF"/>
          <w:sz w:val="18"/>
          <w:szCs w:val="18"/>
        </w:rPr>
        <w:t xml:space="preserve">B. </w:t>
      </w:r>
      <w:r>
        <w:rPr>
          <w:sz w:val="18"/>
          <w:szCs w:val="18"/>
        </w:rPr>
        <w:t xml:space="preserve">zero</w:t>
      </w:r>
    </w:p>
    <w:p>
      <w:pPr>
        <w:spacing w:after="18"/>
        <w:ind w:left="560" w:hanging="260"/>
      </w:pPr>
      <w:r>
        <w:rPr>
          <w:b/>
          <w:bCs/>
          <w:color w:val="8186EF"/>
          <w:sz w:val="18"/>
          <w:szCs w:val="18"/>
        </w:rPr>
        <w:t xml:space="preserve">C. </w:t>
      </w:r>
      <w:r>
        <w:rPr>
          <w:sz w:val="18"/>
          <w:szCs w:val="18"/>
        </w:rPr>
        <w:t xml:space="preserve">interest incurred minus the investment income earned on the borrowed funds</w:t>
      </w:r>
    </w:p>
    <w:p>
      <w:pPr>
        <w:spacing w:after="18"/>
        <w:ind w:left="560" w:hanging="260"/>
      </w:pPr>
      <w:r>
        <w:rPr>
          <w:b/>
          <w:bCs/>
          <w:color w:val="8186EF"/>
          <w:sz w:val="18"/>
          <w:szCs w:val="18"/>
        </w:rPr>
        <w:t xml:space="preserve">D. </w:t>
      </w:r>
      <w:r>
        <w:rPr>
          <w:sz w:val="18"/>
          <w:szCs w:val="18"/>
        </w:rPr>
        <w:t xml:space="preserve">investment income only</w:t>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7.  </w:t>
            </w:r>
            <w:r>
              <w:rPr>
                <w:sz w:val="19"/>
                <w:szCs w:val="19"/>
              </w:rPr>
              <w:t xml:space="preserve">Which of these did this cycle settle?</w:t>
            </w:r>
          </w:p>
          <w:p>
            <w:pPr>
              <w:spacing w:after="16"/>
              <w:ind w:left="500" w:hanging="200"/>
            </w:pPr>
            <w:r>
              <w:rPr>
                <w:b/>
                <w:bCs/>
                <w:color w:val="8186EF"/>
                <w:sz w:val="18"/>
                <w:szCs w:val="18"/>
              </w:rPr>
              <w:t xml:space="preserve">A. </w:t>
            </w:r>
            <w:r>
              <w:rPr>
                <w:sz w:val="18"/>
                <w:szCs w:val="18"/>
              </w:rPr>
              <w:t xml:space="preserve">the rule and where it comes from</w:t>
            </w:r>
          </w:p>
          <w:p>
            <w:pPr>
              <w:spacing w:after="16"/>
              <w:ind w:left="500" w:hanging="200"/>
            </w:pPr>
            <w:r>
              <w:rPr>
                <w:b/>
                <w:bCs/>
                <w:color w:val="8186EF"/>
                <w:sz w:val="18"/>
                <w:szCs w:val="18"/>
              </w:rPr>
              <w:t xml:space="preserve">B. </w:t>
            </w:r>
            <w:r>
              <w:rPr>
                <w:sz w:val="18"/>
                <w:szCs w:val="18"/>
              </w:rPr>
              <w:t xml:space="preserve">nothing in particular</w:t>
            </w:r>
          </w:p>
          <w:p>
            <w:pPr>
              <w:spacing w:after="16"/>
              <w:ind w:left="500" w:hanging="200"/>
            </w:pPr>
            <w:r>
              <w:rPr>
                <w:b/>
                <w:bCs/>
                <w:color w:val="8186EF"/>
                <w:sz w:val="18"/>
                <w:szCs w:val="18"/>
              </w:rPr>
              <w:t xml:space="preserve">C. </w:t>
            </w:r>
            <w:r>
              <w:rPr>
                <w:sz w:val="18"/>
                <w:szCs w:val="18"/>
              </w:rPr>
              <w:t xml:space="preserve">only the vocabulary</w:t>
            </w:r>
          </w:p>
          <w:p>
            <w:pPr>
              <w:spacing w:after="16"/>
              <w:ind w:left="500" w:hanging="200"/>
            </w:pPr>
            <w:r>
              <w:rPr>
                <w:b/>
                <w:bCs/>
                <w:color w:val="8186EF"/>
                <w:sz w:val="18"/>
                <w:szCs w:val="18"/>
              </w:rPr>
              <w:t xml:space="preserve">D. </w:t>
            </w:r>
            <w:r>
              <w:rPr>
                <w:sz w:val="18"/>
                <w:szCs w:val="18"/>
              </w:rPr>
              <w:t xml:space="preserve">only the arithmetic</w:t>
            </w:r>
          </w:p>
          <w:p>
            <w:pPr>
              <w:spacing w:before="20" w:after="50"/>
            </w:pPr>
            <w:r>
              <w:rPr>
                <w:color w:val="C0483F"/>
                <w:sz w:val="17"/>
                <w:szCs w:val="17"/>
              </w:rPr>
              <w:t xml:space="preserve">If you got it wrong: redo the READ THE MODEL questions of cycle A.</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8.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400"/>
            <w:tcMar>
              <w:top w:type="dxa" w:w="50"/>
              <w:left w:type="dxa" w:w="110"/>
              <w:bottom w:type="dxa" w:w="50"/>
              <w:right w:type="dxa" w:w="110"/>
            </w:tcMar>
          </w:tcPr>
          <w:p>
            <w:pPr>
              <w:spacing w:before="26" w:after="26"/>
            </w:pPr>
            <w:r>
              <w:rPr>
                <w:color w:val="232733"/>
                <w:sz w:val="16"/>
                <w:szCs w:val="16"/>
              </w:rPr>
              <w:t xml:space="preserve">value in use</w:t>
            </w:r>
          </w:p>
        </w:tc>
        <w:tc>
          <w:tcPr>
            <w:tcW w:type="pct" w:w="2600"/>
            <w:tcMar>
              <w:top w:type="dxa" w:w="50"/>
              <w:left w:type="dxa" w:w="110"/>
              <w:bottom w:type="dxa" w:w="50"/>
              <w:right w:type="dxa" w:w="110"/>
            </w:tcMar>
          </w:tcPr>
          <w:p>
            <w:pPr>
              <w:spacing w:before="26" w:after="26"/>
            </w:pPr>
            <w:r>
              <w:rPr>
                <w:color w:val="232733"/>
                <w:sz w:val="16"/>
                <w:szCs w:val="16"/>
              </w:rPr>
              <w:t xml:space="preserve">القيمة من الاستخدام</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defined benefit plan</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خطة المنافع المحددة</w:t>
            </w:r>
          </w:p>
        </w:tc>
      </w:tr>
      <w:tr>
        <w:tc>
          <w:tcPr>
            <w:tcW w:type="pct" w:w="2400"/>
            <w:tcMar>
              <w:top w:type="dxa" w:w="50"/>
              <w:left w:type="dxa" w:w="110"/>
              <w:bottom w:type="dxa" w:w="50"/>
              <w:right w:type="dxa" w:w="110"/>
            </w:tcMar>
          </w:tcPr>
          <w:p>
            <w:pPr>
              <w:spacing w:before="26" w:after="26"/>
            </w:pPr>
            <w:r>
              <w:rPr>
                <w:color w:val="232733"/>
                <w:sz w:val="16"/>
                <w:szCs w:val="16"/>
              </w:rPr>
              <w:t xml:space="preserve">recoverability test</w:t>
            </w:r>
          </w:p>
        </w:tc>
        <w:tc>
          <w:tcPr>
            <w:tcW w:type="pct" w:w="2600"/>
            <w:tcMar>
              <w:top w:type="dxa" w:w="50"/>
              <w:left w:type="dxa" w:w="110"/>
              <w:bottom w:type="dxa" w:w="50"/>
              <w:right w:type="dxa" w:w="110"/>
            </w:tcMar>
          </w:tcPr>
          <w:p>
            <w:pPr>
              <w:spacing w:before="26" w:after="26"/>
            </w:pPr>
            <w:r>
              <w:rPr>
                <w:color w:val="232733"/>
                <w:sz w:val="16"/>
                <w:szCs w:val="16"/>
              </w:rPr>
              <w:t xml:space="preserve">اختبار قابلية الاسترداد</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30" w:after="30"/>
        <w:ind w:left="300" w:hanging="300"/>
      </w:pPr>
      <w:r>
        <w:rPr>
          <w:b/>
          <w:bCs/>
          <w:color w:val="353A7C"/>
          <w:sz w:val="19"/>
          <w:szCs w:val="19"/>
        </w:rPr>
        <w:t xml:space="preserve">9.  </w:t>
      </w:r>
      <w:r>
        <w:rPr>
          <w:sz w:val="19"/>
          <w:szCs w:val="19"/>
        </w:rPr>
        <w:t xml:space="preserve">A glossary term and its translation are a pair the book itself gives.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24"/>
      </w:pPr>
      <w:r>
        <w:rPr>
          <w:sz w:val="19"/>
          <w:szCs w:val="19"/>
        </w:rPr>
        <w:t xml:space="preserve">Write the letter of the matching entry beside each topic. Every one is used once.</w:t>
      </w:r>
    </w:p>
    <w:tbl>
      <w:tblPr>
        <w:tblW w:type="pct" w:w="100%"/>
        <w:tblLayout w:type="fixed"/>
        <w:tblBorders>
          <w:top w:val="single" w:color="8186EF" w:sz="4"/>
          <w:left w:val="single" w:color="8186EF" w:sz="4"/>
          <w:bottom w:val="single" w:color="8186EF" w:sz="4"/>
          <w:right w:val="single" w:color="8186EF" w:sz="4"/>
          <w:insideH w:val="single" w:color="8186EF" w:sz="4"/>
          <w:insideV w:val="single" w:color="8186EF" w:sz="4"/>
        </w:tblBorders>
      </w:tblPr>
      <w:tblGrid>
        <w:gridCol w:w="9600"/>
      </w:tblGrid>
      <w:tr>
        <w:tc>
          <w:tcPr>
            <w:tcW w:type="pct" w:w="5000"/>
            <w:shd w:fill="FBFAF6" w:val="clear"/>
            <w:tcMar>
              <w:top w:type="dxa" w:w="40"/>
              <w:left w:type="dxa" w:w="100"/>
              <w:bottom w:type="dxa" w:w="40"/>
              <w:right w:type="dxa" w:w="100"/>
            </w:tcMar>
          </w:tcPr>
          <w:p>
            <w:pPr>
              <w:spacing w:before="18" w:after="18"/>
            </w:pPr>
            <w:r>
              <w:rPr>
                <w:b/>
                <w:bCs/>
                <w:color w:val="8186EF"/>
                <w:sz w:val="16"/>
                <w:szCs w:val="16"/>
              </w:rPr>
              <w:t xml:space="preserve">A  </w:t>
            </w:r>
            <w:r>
              <w:rPr>
                <w:sz w:val="16"/>
                <w:szCs w:val="16"/>
              </w:rPr>
              <w:t xml:space="preserve">Two: finance and operating</w:t>
            </w:r>
          </w:p>
        </w:tc>
      </w:tr>
      <w:tr>
        <w:tc>
          <w:tcPr>
            <w:tcW w:type="pct" w:w="5000"/>
            <w:shd w:fill="FBFAF6" w:val="clear"/>
            <w:tcMar>
              <w:top w:type="dxa" w:w="40"/>
              <w:left w:type="dxa" w:w="100"/>
              <w:bottom w:type="dxa" w:w="40"/>
              <w:right w:type="dxa" w:w="100"/>
            </w:tcMar>
          </w:tcPr>
          <w:p>
            <w:pPr>
              <w:spacing w:before="18" w:after="18"/>
            </w:pPr>
            <w:r>
              <w:rPr>
                <w:b/>
                <w:bCs/>
                <w:color w:val="8186EF"/>
                <w:sz w:val="16"/>
                <w:szCs w:val="16"/>
              </w:rPr>
              <w:t xml:space="preserve">B  </w:t>
            </w:r>
            <w:r>
              <w:rPr>
                <w:sz w:val="16"/>
                <w:szCs w:val="16"/>
              </w:rPr>
              <w:t xml:space="preserve">Not remeasured</w:t>
            </w:r>
          </w:p>
        </w:tc>
      </w:tr>
      <w:tr>
        <w:tc>
          <w:tcPr>
            <w:tcW w:type="pct" w:w="5000"/>
            <w:shd w:fill="FBFAF6" w:val="clear"/>
            <w:tcMar>
              <w:top w:type="dxa" w:w="40"/>
              <w:left w:type="dxa" w:w="100"/>
              <w:bottom w:type="dxa" w:w="40"/>
              <w:right w:type="dxa" w:w="100"/>
            </w:tcMar>
          </w:tcPr>
          <w:p>
            <w:pPr>
              <w:spacing w:before="18" w:after="18"/>
            </w:pPr>
            <w:r>
              <w:rPr>
                <w:b/>
                <w:bCs/>
                <w:color w:val="8186EF"/>
                <w:sz w:val="16"/>
                <w:szCs w:val="16"/>
              </w:rPr>
              <w:t xml:space="preserve">C  </w:t>
            </w:r>
            <w:r>
              <w:rPr>
                <w:sz w:val="16"/>
                <w:szCs w:val="16"/>
              </w:rPr>
              <w:t xml:space="preserve">Operating</w:t>
            </w:r>
          </w:p>
        </w:tc>
      </w:tr>
      <w:tr>
        <w:tc>
          <w:tcPr>
            <w:tcW w:type="pct" w:w="5000"/>
            <w:shd w:fill="FBFAF6" w:val="clear"/>
            <w:tcMar>
              <w:top w:type="dxa" w:w="40"/>
              <w:left w:type="dxa" w:w="100"/>
              <w:bottom w:type="dxa" w:w="40"/>
              <w:right w:type="dxa" w:w="100"/>
            </w:tcMar>
          </w:tcPr>
          <w:p>
            <w:pPr>
              <w:spacing w:before="18" w:after="18"/>
            </w:pPr>
            <w:r>
              <w:rPr>
                <w:b/>
                <w:bCs/>
                <w:color w:val="8186EF"/>
                <w:sz w:val="16"/>
                <w:szCs w:val="16"/>
              </w:rPr>
              <w:t xml:space="preserve">D  </w:t>
            </w:r>
            <w:r>
              <w:rPr>
                <w:sz w:val="16"/>
                <w:szCs w:val="16"/>
              </w:rPr>
              <w:t xml:space="preserve">No exemption</w:t>
            </w:r>
          </w:p>
        </w:tc>
      </w:tr>
      <w:tr>
        <w:tc>
          <w:tcPr>
            <w:tcW w:type="pct" w:w="5000"/>
            <w:shd w:fill="FBFAF6" w:val="clear"/>
            <w:tcMar>
              <w:top w:type="dxa" w:w="40"/>
              <w:left w:type="dxa" w:w="100"/>
              <w:bottom w:type="dxa" w:w="40"/>
              <w:right w:type="dxa" w:w="100"/>
            </w:tcMar>
          </w:tcPr>
          <w:p>
            <w:pPr>
              <w:spacing w:before="18" w:after="18"/>
            </w:pPr>
            <w:r>
              <w:rPr>
                <w:b/>
                <w:bCs/>
                <w:color w:val="8186EF"/>
                <w:sz w:val="16"/>
                <w:szCs w:val="16"/>
              </w:rPr>
              <w:t xml:space="preserve">E  </w:t>
            </w:r>
            <w:r>
              <w:rPr>
                <w:sz w:val="16"/>
                <w:szCs w:val="16"/>
              </w:rPr>
              <w:t xml:space="preserve">Full gain if a sale</w:t>
            </w:r>
          </w:p>
        </w:tc>
      </w:tr>
      <w:tr>
        <w:tc>
          <w:tcPr>
            <w:tcW w:type="pct" w:w="5000"/>
            <w:shd w:fill="FBFAF6" w:val="clear"/>
            <w:tcMar>
              <w:top w:type="dxa" w:w="40"/>
              <w:left w:type="dxa" w:w="100"/>
              <w:bottom w:type="dxa" w:w="40"/>
              <w:right w:type="dxa" w:w="100"/>
            </w:tcMar>
          </w:tcPr>
          <w:p>
            <w:pPr>
              <w:spacing w:before="18" w:after="18"/>
            </w:pPr>
            <w:r>
              <w:rPr>
                <w:b/>
                <w:bCs/>
                <w:color w:val="8186EF"/>
                <w:sz w:val="16"/>
                <w:szCs w:val="16"/>
              </w:rPr>
              <w:t xml:space="preserve">F  </w:t>
            </w:r>
            <w:r>
              <w:rPr>
                <w:sz w:val="16"/>
                <w:szCs w:val="16"/>
              </w:rPr>
              <w:t xml:space="preserve">One straight-line lease cost: 100,000</w:t>
            </w:r>
          </w:p>
        </w:tc>
      </w:tr>
    </w:tbl>
    <w:p/>
    <w:p>
      <w:pPr>
        <w:spacing w:before="24" w:after="24"/>
        <w:ind w:left="300" w:hanging="300"/>
      </w:pPr>
      <w:r>
        <w:rPr>
          <w:b/>
          <w:bCs/>
          <w:color w:val="353A7C"/>
          <w:sz w:val="18"/>
          <w:szCs w:val="18"/>
        </w:rPr>
        <w:t xml:space="preserve">10.  </w:t>
      </w:r>
      <w:r>
        <w:rPr>
          <w:sz w:val="18"/>
          <w:szCs w:val="18"/>
        </w:rPr>
        <w:t xml:space="preserve">Lessee models</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11.  </w:t>
      </w:r>
      <w:r>
        <w:rPr>
          <w:sz w:val="18"/>
          <w:szCs w:val="18"/>
        </w:rPr>
        <w:t xml:space="preserve">Warehouse lease, 2026 expense (Chapter 14)</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12.  </w:t>
      </w:r>
      <w:r>
        <w:rPr>
          <w:sz w:val="18"/>
          <w:szCs w:val="18"/>
        </w:rPr>
        <w:t xml:space="preserve">Low-value assets</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13.  </w:t>
      </w:r>
      <w:r>
        <w:rPr>
          <w:sz w:val="18"/>
          <w:szCs w:val="18"/>
        </w:rPr>
        <w:t xml:space="preserve">Index-linked payments (CPI)</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14.  </w:t>
      </w:r>
      <w:r>
        <w:rPr>
          <w:sz w:val="18"/>
          <w:szCs w:val="18"/>
        </w:rPr>
        <w:t xml:space="preserve">Cash flow: operating-lease payment</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15.  </w:t>
      </w:r>
      <w:r>
        <w:rPr>
          <w:sz w:val="18"/>
          <w:szCs w:val="18"/>
        </w:rPr>
        <w:t xml:space="preserve">Sale and leaseback gain</w:t>
      </w:r>
      <w:r>
        <w:rPr>
          <w:sz w:val="18"/>
          <w:szCs w:val="18"/>
        </w:rPr>
        <w:t xml:space="preserve">      </w:t>
      </w:r>
      <w:r>
        <w:rPr>
          <w:u w:val="single"/>
          <w:sz w:val="18"/>
          <w:szCs w:val="18"/>
        </w:rPr>
        <w:t xml:space="preserve">        </w:t>
      </w:r>
    </w:p>
    <w:p/>
    <w:p>
      <w:pPr>
        <w:pageBreakBefore w:val="true"/>
        <w:spacing w:after="0"/>
      </w:pPr>
      <w:r>
        <w:rPr>
          <w:sz w:val="2"/>
        </w:rPr>
        <w:t xml:space="preserve"> </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16.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17.  </w:t>
      </w:r>
      <w:r>
        <w:rPr>
          <w:sz w:val="19"/>
          <w:szCs w:val="19"/>
        </w:rPr>
        <w:t xml:space="preserve">Rebuild the figure from this handout. Label every part and fill in every box.</w:t>
      </w:r>
    </w:p>
    <w:p>
      <w:pPr>
        <w:spacing w:after="40" w:before="90"/>
        <w:jc w:val="center"/>
      </w:pPr>
      <w:r>
        <w:drawing>
          <wp:inline distT="0" distB="0" distL="0" distR="0">
            <wp:extent cx="5734050" cy="390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5734050" cy="3908200"/>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18.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value in use  ·  defined benefit plan  ·  recoverability test</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4"/>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17.5</w:t>
      </w:r>
    </w:p>
    <w:p>
      <w:pPr>
        <w:spacing w:after="8"/>
      </w:pPr>
      <w:r>
        <w:rPr>
          <w:color w:val="23265A"/>
          <w:sz w:val="22"/>
          <w:szCs w:val="22"/>
        </w:rPr>
        <w:t xml:space="preserve">(v) Long-lived assets</w:t>
      </w:r>
    </w:p>
    <w:p>
      <w:pPr>
        <w:spacing w:after="130"/>
      </w:pPr>
      <w:r>
        <w:rPr>
          <w:color w:val="6B7280"/>
          <w:sz w:val="20"/>
          <w:szCs w:val="20"/>
        </w:rPr>
        <w:t xml:space="preserve">section 17.5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099"/>
        <w:gridCol w:w="3234"/>
        <w:gridCol w:w="4267"/>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1093"/>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1684"/>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2222"/>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1093"/>
            <w:tcMar>
              <w:top w:type="dxa" w:w="50"/>
              <w:left w:type="dxa" w:w="110"/>
              <w:bottom w:type="dxa" w:w="50"/>
              <w:right w:type="dxa" w:w="110"/>
            </w:tcMar>
          </w:tcPr>
          <w:p>
            <w:pPr>
              <w:spacing w:before="26" w:after="26"/>
            </w:pPr>
            <w:r>
              <w:rPr>
                <w:color w:val="232733"/>
                <w:sz w:val="16"/>
                <w:szCs w:val="16"/>
              </w:rPr>
              <w:t xml:space="preserve">(v) Long-lived assets</w:t>
            </w:r>
          </w:p>
        </w:tc>
        <w:tc>
          <w:tcPr>
            <w:tcW w:type="pct" w:w="1684"/>
            <w:tcMar>
              <w:top w:type="dxa" w:w="50"/>
              <w:left w:type="dxa" w:w="110"/>
              <w:bottom w:type="dxa" w:w="50"/>
              <w:right w:type="dxa" w:w="110"/>
            </w:tcMar>
          </w:tcPr>
          <w:p>
            <w:pPr>
              <w:spacing w:before="26" w:after="26"/>
            </w:pPr>
            <w:r>
              <w:rPr>
                <w:color w:val="232733"/>
                <w:sz w:val="16"/>
                <w:szCs w:val="16"/>
              </w:rPr>
              <w:t xml:space="preserve">a figure to read · Topic · the book’s own rule, gapped</w:t>
            </w:r>
          </w:p>
        </w:tc>
        <w:tc>
          <w:tcPr>
            <w:tcW w:type="pct" w:w="2222"/>
            <w:tcMar>
              <w:top w:type="dxa" w:w="50"/>
              <w:left w:type="dxa" w:w="110"/>
              <w:bottom w:type="dxa" w:w="50"/>
              <w:right w:type="dxa" w:w="110"/>
            </w:tcMar>
          </w:tcPr>
          <w:p>
            <w:pPr>
              <w:spacing w:before="26" w:after="26"/>
            </w:pPr>
            <w:r>
              <w:rPr>
                <w:color w:val="232733"/>
                <w:sz w:val="16"/>
                <w:szCs w:val="16"/>
              </w:rPr>
              <w:t xml:space="preserve">Which of these did this cycle settle?</w:t>
            </w:r>
          </w:p>
        </w:tc>
      </w:tr>
      <w:tr>
        <w:tc>
          <w:tcPr>
            <w:tcW w:type="pct" w:w="1093"/>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1684"/>
            <w:shd w:fill="FBFAF6" w:val="clear"/>
            <w:tcMar>
              <w:top w:type="dxa" w:w="50"/>
              <w:left w:type="dxa" w:w="110"/>
              <w:bottom w:type="dxa" w:w="50"/>
              <w:right w:type="dxa" w:w="110"/>
            </w:tcMar>
          </w:tcPr>
          <w:p>
            <w:pPr>
              <w:spacing w:before="26" w:after="26"/>
            </w:pPr>
            <w:r>
              <w:rPr>
                <w:color w:val="232733"/>
                <w:sz w:val="16"/>
                <w:szCs w:val="16"/>
              </w:rPr>
              <w:t xml:space="preserve">The English the exam uses, and what it translates</w:t>
            </w:r>
          </w:p>
        </w:tc>
        <w:tc>
          <w:tcPr>
            <w:tcW w:type="pct" w:w="2222"/>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600"/>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400"/>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600"/>
            <w:tcMar>
              <w:top w:type="dxa" w:w="50"/>
              <w:left w:type="dxa" w:w="110"/>
              <w:bottom w:type="dxa" w:w="50"/>
              <w:right w:type="dxa" w:w="110"/>
            </w:tcMar>
          </w:tcPr>
          <w:p>
            <w:pPr>
              <w:spacing w:before="26" w:after="26"/>
            </w:pPr>
            <w:r>
              <w:rPr>
                <w:color w:val="232733"/>
                <w:sz w:val="16"/>
                <w:szCs w:val="16"/>
              </w:rPr>
              <w:t xml:space="preserve">recoverable amount</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research and development (R&amp;D)</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defined benefit plan   ·   development costs   ·   revaluation model   ·   revaluation surplus</w:t>
      </w:r>
    </w:p>
    <w:p>
      <w:pPr>
        <w:spacing w:before="36" w:after="36"/>
        <w:ind w:left="300"/>
      </w:pPr>
      <w:r>
        <w:rPr>
          <w:sz w:val="19"/>
          <w:szCs w:val="19"/>
        </w:rPr>
        <w:t xml:space="preserve">U.S. GAAP carries property, plant and equipment at cost less depreciation. IAS 16 also allows the </w:t>
      </w:r>
      <w:r>
        <w:rPr>
          <w:u w:val="single"/>
          <w:sz w:val="19"/>
          <w:szCs w:val="19"/>
        </w:rPr>
        <w:t xml:space="preserve">                   </w:t>
      </w:r>
      <w:r>
        <w:rPr>
          <w:sz w:val="19"/>
          <w:szCs w:val="19"/>
        </w:rPr>
        <w:t xml:space="preserve"> for a whole class of assets: the assets are carried at fair value, and increases go to a </w:t>
      </w:r>
      <w:r>
        <w:rPr>
          <w:u w:val="single"/>
          <w:sz w:val="19"/>
          <w:szCs w:val="19"/>
        </w:rPr>
        <w:t xml:space="preserve">                     </w:t>
      </w:r>
      <w:r>
        <w:rPr>
          <w:sz w:val="19"/>
          <w:szCs w:val="19"/>
        </w:rPr>
        <w:t xml:space="preserve"> in OCI.</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Orontes   ·   revaluation model   ·   development costs   ·   defined benefit plan</w:t>
      </w:r>
    </w:p>
    <w:p>
      <w:pPr>
        <w:spacing w:before="36" w:after="36"/>
        <w:ind w:left="300"/>
      </w:pPr>
      <w:r>
        <w:rPr>
          <w:sz w:val="19"/>
          <w:szCs w:val="19"/>
        </w:rPr>
        <w:t xml:space="preserve">Under U.S. GAAP it stays at cost. Under IFRS, if </w:t>
      </w:r>
      <w:r>
        <w:rPr>
          <w:u w:val="single"/>
          <w:sz w:val="19"/>
          <w:szCs w:val="19"/>
        </w:rPr>
        <w:t xml:space="preserve">           </w:t>
      </w:r>
      <w:r>
        <w:rPr>
          <w:sz w:val="19"/>
          <w:szCs w:val="19"/>
        </w:rPr>
        <w:t xml:space="preserve"> chose the </w:t>
      </w:r>
      <w:r>
        <w:rPr>
          <w:u w:val="single"/>
          <w:sz w:val="19"/>
          <w:szCs w:val="19"/>
        </w:rPr>
        <w:t xml:space="preserve">                   </w:t>
      </w:r>
      <w:r>
        <w:rPr>
          <w:sz w:val="19"/>
          <w:szCs w:val="19"/>
        </w:rPr>
        <w:t xml:space="preserve">, it would show the land at fair value and a surplus of $600,000 in OCI.</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defined benefit plan   ·   component depreciation   ·   construction   ·   development costs</w:t>
      </w:r>
    </w:p>
    <w:p>
      <w:pPr>
        <w:spacing w:before="36" w:after="36"/>
        <w:ind w:left="300"/>
      </w:pPr>
      <w:r>
        <w:rPr>
          <w:sz w:val="19"/>
          <w:szCs w:val="19"/>
        </w:rPr>
        <w:t xml:space="preserve">IFRS requires </w:t>
      </w:r>
      <w:r>
        <w:rPr>
          <w:u w:val="single"/>
          <w:sz w:val="19"/>
          <w:szCs w:val="19"/>
        </w:rPr>
        <w:t xml:space="preserve">                        </w:t>
      </w:r>
      <w:r>
        <w:rPr>
          <w:sz w:val="19"/>
          <w:szCs w:val="19"/>
        </w:rPr>
        <w:t xml:space="preserve"> for significant parts with different lives; U.S. GAAP allows but does not require it. Both frameworks capitalize borrowing costs on assets under </w:t>
      </w:r>
      <w:r>
        <w:rPr>
          <w:u w:val="single"/>
          <w:sz w:val="19"/>
          <w:szCs w:val="19"/>
        </w:rPr>
        <w:t xml:space="preserve">              </w:t>
      </w:r>
      <w:r>
        <w:rPr>
          <w:sz w:val="19"/>
          <w:szCs w:val="19"/>
        </w:rPr>
        <w:t xml:space="preserve">, but IFRS deducts income earned on specific borrowings.</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How every cycle on this sheet works</w:t>
            </w:r>
          </w:p>
        </w:tc>
      </w:tr>
      <w:tr>
        <w:tc>
          <w:tcPr>
            <w:tcW w:type="pct" w:w="2400"/>
            <w:tcMar>
              <w:top w:type="dxa" w:w="50"/>
              <w:left w:type="dxa" w:w="110"/>
              <w:bottom w:type="dxa" w:w="50"/>
              <w:right w:type="dxa" w:w="110"/>
            </w:tcMar>
          </w:tcPr>
          <w:p>
            <w:pPr>
              <w:spacing w:before="26" w:after="26"/>
            </w:pPr>
            <w:r>
              <w:rPr>
                <w:b/>
                <w:bCs/>
                <w:color w:val="353A7C"/>
                <w:sz w:val="15"/>
                <w:szCs w:val="15"/>
              </w:rPr>
              <w:t xml:space="preserve">How a cycle works</w:t>
            </w:r>
          </w:p>
        </w:tc>
        <w:tc>
          <w:tcPr>
            <w:tcW w:type="pct" w:w="2600"/>
            <w:tcMar>
              <w:top w:type="dxa" w:w="50"/>
              <w:left w:type="dxa" w:w="110"/>
              <w:bottom w:type="dxa" w:w="50"/>
              <w:right w:type="dxa" w:w="110"/>
            </w:tcMar>
          </w:tcPr>
          <w:p>
            <w:pPr>
              <w:spacing w:before="26" w:after="26"/>
            </w:pPr>
            <w:r>
              <w:rPr>
                <w:b/>
                <w:bCs/>
                <w:color w:val="353A7C"/>
                <w:sz w:val="15"/>
                <w:szCs w:val="15"/>
              </w:rPr>
              <w:t xml:space="preserve">what you do</w:t>
            </w:r>
          </w:p>
        </w:tc>
      </w:tr>
      <w:tr>
        <w:tc>
          <w:tcPr>
            <w:tcW w:type="pct" w:w="2400"/>
            <w:tcMar>
              <w:top w:type="dxa" w:w="50"/>
              <w:left w:type="dxa" w:w="110"/>
              <w:bottom w:type="dxa" w:w="50"/>
              <w:right w:type="dxa" w:w="110"/>
            </w:tcMar>
          </w:tcPr>
          <w:p>
            <w:pPr>
              <w:spacing w:before="26" w:after="26"/>
            </w:pPr>
            <w:r>
              <w:rPr>
                <w:color w:val="232733"/>
                <w:sz w:val="16"/>
                <w:szCs w:val="16"/>
              </w:rPr>
              <w:t xml:space="preserve">MODEL</w:t>
            </w:r>
          </w:p>
        </w:tc>
        <w:tc>
          <w:tcPr>
            <w:tcW w:type="pct" w:w="2600"/>
            <w:tcMar>
              <w:top w:type="dxa" w:w="50"/>
              <w:left w:type="dxa" w:w="110"/>
              <w:bottom w:type="dxa" w:w="50"/>
              <w:right w:type="dxa" w:w="110"/>
            </w:tcMar>
          </w:tcPr>
          <w:p>
            <w:pPr>
              <w:spacing w:before="26" w:after="26"/>
            </w:pPr>
            <w:r>
              <w:rPr>
                <w:color w:val="232733"/>
                <w:sz w:val="16"/>
                <w:szCs w:val="16"/>
              </w:rPr>
              <w:t xml:space="preserve">read the figure or the table before you answer anything</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READ THE MODEL</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every answer is printed on the same page</w:t>
            </w:r>
          </w:p>
        </w:tc>
      </w:tr>
      <w:tr>
        <w:tc>
          <w:tcPr>
            <w:tcW w:type="pct" w:w="2400"/>
            <w:tcMar>
              <w:top w:type="dxa" w:w="50"/>
              <w:left w:type="dxa" w:w="110"/>
              <w:bottom w:type="dxa" w:w="50"/>
              <w:right w:type="dxa" w:w="110"/>
            </w:tcMar>
          </w:tcPr>
          <w:p>
            <w:pPr>
              <w:spacing w:before="26" w:after="26"/>
            </w:pPr>
            <w:r>
              <w:rPr>
                <w:color w:val="232733"/>
                <w:sz w:val="16"/>
                <w:szCs w:val="16"/>
              </w:rPr>
              <w:t xml:space="preserve">INVENT THE RULE</w:t>
            </w:r>
          </w:p>
        </w:tc>
        <w:tc>
          <w:tcPr>
            <w:tcW w:type="pct" w:w="2600"/>
            <w:tcMar>
              <w:top w:type="dxa" w:w="50"/>
              <w:left w:type="dxa" w:w="110"/>
              <w:bottom w:type="dxa" w:w="50"/>
              <w:right w:type="dxa" w:w="110"/>
            </w:tcMar>
          </w:tcPr>
          <w:p>
            <w:pPr>
              <w:spacing w:before="26" w:after="26"/>
            </w:pPr>
            <w:r>
              <w:rPr>
                <w:color w:val="232733"/>
                <w:sz w:val="16"/>
                <w:szCs w:val="16"/>
              </w:rPr>
              <w:t xml:space="preserve">write the rule yourself, then compare with the book</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APPLY</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no help on this move</w:t>
            </w:r>
          </w:p>
        </w:tc>
      </w:tr>
      <w:tr>
        <w:tc>
          <w:tcPr>
            <w:tcW w:type="pct" w:w="2400"/>
            <w:tcMar>
              <w:top w:type="dxa" w:w="50"/>
              <w:left w:type="dxa" w:w="110"/>
              <w:bottom w:type="dxa" w:w="50"/>
              <w:right w:type="dxa" w:w="110"/>
            </w:tcMar>
          </w:tcPr>
          <w:p>
            <w:pPr>
              <w:spacing w:before="26" w:after="26"/>
            </w:pPr>
            <w:r>
              <w:rPr>
                <w:color w:val="232733"/>
                <w:sz w:val="16"/>
                <w:szCs w:val="16"/>
              </w:rPr>
              <w:t xml:space="preserve">CHECKPOINT</w:t>
            </w:r>
          </w:p>
        </w:tc>
        <w:tc>
          <w:tcPr>
            <w:tcW w:type="pct" w:w="2600"/>
            <w:tcMar>
              <w:top w:type="dxa" w:w="50"/>
              <w:left w:type="dxa" w:w="110"/>
              <w:bottom w:type="dxa" w:w="50"/>
              <w:right w:type="dxa" w:w="110"/>
            </w:tcMar>
          </w:tcPr>
          <w:p>
            <w:pPr>
              <w:spacing w:before="26" w:after="26"/>
            </w:pPr>
            <w:r>
              <w:rPr>
                <w:color w:val="232733"/>
                <w:sz w:val="16"/>
                <w:szCs w:val="16"/>
              </w:rPr>
              <w:t xml:space="preserve">mark it yourself; if you miss it, the sheet says what to redo</w:t>
            </w:r>
          </w:p>
        </w:tc>
      </w:tr>
    </w:tbl>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(v) Long-lived assets</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Every number in a financial statement belongs to an element the framework defines.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425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5734050" cy="4255275"/>
                    </a:xfrm>
                    <a:prstGeom prst="rect">
                      <a:avLst/>
                    </a:prstGeom>
                  </pic:spPr>
                </pic:pic>
              </a:graphicData>
            </a:graphic>
          </wp:inline>
        </w:drawing>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3111"/>
        <w:gridCol w:w="3125"/>
        <w:gridCol w:w="3364"/>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Topic — the book’s own table</w:t>
            </w:r>
          </w:p>
        </w:tc>
      </w:tr>
      <w:tr>
        <w:tc>
          <w:tcPr>
            <w:tcW w:type="pct" w:w="1620"/>
            <w:tcMar>
              <w:top w:type="dxa" w:w="50"/>
              <w:left w:type="dxa" w:w="110"/>
              <w:bottom w:type="dxa" w:w="50"/>
              <w:right w:type="dxa" w:w="110"/>
            </w:tcMar>
          </w:tcPr>
          <w:p>
            <w:pPr>
              <w:spacing w:before="26" w:after="26"/>
            </w:pPr>
            <w:r>
              <w:rPr>
                <w:b/>
                <w:bCs/>
                <w:color w:val="353A7C"/>
                <w:sz w:val="15"/>
                <w:szCs w:val="15"/>
              </w:rPr>
              <w:t xml:space="preserve">Topic</w:t>
            </w:r>
          </w:p>
        </w:tc>
        <w:tc>
          <w:tcPr>
            <w:tcW w:type="pct" w:w="1628"/>
            <w:tcMar>
              <w:top w:type="dxa" w:w="50"/>
              <w:left w:type="dxa" w:w="110"/>
              <w:bottom w:type="dxa" w:w="50"/>
              <w:right w:type="dxa" w:w="110"/>
            </w:tcMar>
          </w:tcPr>
          <w:p>
            <w:pPr>
              <w:spacing w:before="26" w:after="26"/>
            </w:pPr>
            <w:r>
              <w:rPr>
                <w:b/>
                <w:bCs/>
                <w:color w:val="353A7C"/>
                <w:sz w:val="15"/>
                <w:szCs w:val="15"/>
              </w:rPr>
              <w:t xml:space="preserve">U.S. GAAP (ASC 360, 835)</w:t>
            </w:r>
          </w:p>
        </w:tc>
        <w:tc>
          <w:tcPr>
            <w:tcW w:type="pct" w:w="1752"/>
            <w:tcMar>
              <w:top w:type="dxa" w:w="50"/>
              <w:left w:type="dxa" w:w="110"/>
              <w:bottom w:type="dxa" w:w="50"/>
              <w:right w:type="dxa" w:w="110"/>
            </w:tcMar>
          </w:tcPr>
          <w:p>
            <w:pPr>
              <w:spacing w:before="26" w:after="26"/>
            </w:pPr>
            <w:r>
              <w:rPr>
                <w:b/>
                <w:bCs/>
                <w:color w:val="353A7C"/>
                <w:sz w:val="15"/>
                <w:szCs w:val="15"/>
              </w:rPr>
              <w:t xml:space="preserve">IFRS (IAS 16, 23, 40)</w:t>
            </w:r>
          </w:p>
        </w:tc>
      </w:tr>
      <w:tr>
        <w:tc>
          <w:tcPr>
            <w:tcW w:type="pct" w:w="1620"/>
            <w:tcMar>
              <w:top w:type="dxa" w:w="50"/>
              <w:left w:type="dxa" w:w="110"/>
              <w:bottom w:type="dxa" w:w="50"/>
              <w:right w:type="dxa" w:w="110"/>
            </w:tcMar>
          </w:tcPr>
          <w:p>
            <w:pPr>
              <w:spacing w:before="26" w:after="26"/>
            </w:pPr>
            <w:r>
              <w:rPr>
                <w:color w:val="232733"/>
                <w:sz w:val="16"/>
                <w:szCs w:val="16"/>
              </w:rPr>
              <w:t xml:space="preserve">Land in Amman: cost 2,000,000, fair value 2,600,000</w:t>
            </w:r>
          </w:p>
        </w:tc>
        <w:tc>
          <w:tcPr>
            <w:tcW w:type="pct" w:w="1628"/>
            <w:tcMar>
              <w:top w:type="dxa" w:w="50"/>
              <w:left w:type="dxa" w:w="110"/>
              <w:bottom w:type="dxa" w:w="50"/>
              <w:right w:type="dxa" w:w="110"/>
            </w:tcMar>
          </w:tcPr>
          <w:p>
            <w:pPr>
              <w:spacing w:before="26" w:after="26"/>
            </w:pPr>
            <w:r>
              <w:rPr>
                <w:color w:val="232733"/>
                <w:sz w:val="16"/>
                <w:szCs w:val="16"/>
              </w:rPr>
              <w:t xml:space="preserve">Stays at 2,000,000</w:t>
            </w:r>
          </w:p>
        </w:tc>
        <w:tc>
          <w:tcPr>
            <w:tcW w:type="pct" w:w="1752"/>
            <w:tcMar>
              <w:top w:type="dxa" w:w="50"/>
              <w:left w:type="dxa" w:w="110"/>
              <w:bottom w:type="dxa" w:w="50"/>
              <w:right w:type="dxa" w:w="110"/>
            </w:tcMar>
          </w:tcPr>
          <w:p>
            <w:pPr>
              <w:spacing w:before="26" w:after="26"/>
            </w:pPr>
            <w:r>
              <w:rPr>
                <w:color w:val="232733"/>
                <w:sz w:val="16"/>
                <w:szCs w:val="16"/>
              </w:rPr>
              <w:t xml:space="preserve">Revaluation model: 2,600,000; surplus 600,000 in OCI</w:t>
            </w:r>
          </w:p>
        </w:tc>
      </w:tr>
      <w:tr>
        <w:tc>
          <w:tcPr>
            <w:tcW w:type="pct" w:w="1620"/>
            <w:shd w:fill="FBFAF6" w:val="clear"/>
            <w:tcMar>
              <w:top w:type="dxa" w:w="50"/>
              <w:left w:type="dxa" w:w="110"/>
              <w:bottom w:type="dxa" w:w="50"/>
              <w:right w:type="dxa" w:w="110"/>
            </w:tcMar>
          </w:tcPr>
          <w:p>
            <w:pPr>
              <w:spacing w:before="26" w:after="26"/>
            </w:pPr>
            <w:r>
              <w:rPr>
                <w:color w:val="232733"/>
                <w:sz w:val="16"/>
                <w:szCs w:val="16"/>
              </w:rPr>
              <w:t xml:space="preserve">Component depreciation</w:t>
            </w:r>
          </w:p>
        </w:tc>
        <w:tc>
          <w:tcPr>
            <w:tcW w:type="pct" w:w="1628"/>
            <w:shd w:fill="FBFAF6" w:val="clear"/>
            <w:tcMar>
              <w:top w:type="dxa" w:w="50"/>
              <w:left w:type="dxa" w:w="110"/>
              <w:bottom w:type="dxa" w:w="50"/>
              <w:right w:type="dxa" w:w="110"/>
            </w:tcMar>
          </w:tcPr>
          <w:p>
            <w:pPr>
              <w:spacing w:before="26" w:after="26"/>
            </w:pPr>
            <w:r>
              <w:rPr>
                <w:color w:val="232733"/>
                <w:sz w:val="16"/>
                <w:szCs w:val="16"/>
              </w:rPr>
              <w:t xml:space="preserve">Allowed, not required</w:t>
            </w:r>
          </w:p>
        </w:tc>
        <w:tc>
          <w:tcPr>
            <w:tcW w:type="pct" w:w="1752"/>
            <w:shd w:fill="FBFAF6" w:val="clear"/>
            <w:tcMar>
              <w:top w:type="dxa" w:w="50"/>
              <w:left w:type="dxa" w:w="110"/>
              <w:bottom w:type="dxa" w:w="50"/>
              <w:right w:type="dxa" w:w="110"/>
            </w:tcMar>
          </w:tcPr>
          <w:p>
            <w:pPr>
              <w:spacing w:before="26" w:after="26"/>
            </w:pPr>
            <w:r>
              <w:rPr>
                <w:color w:val="232733"/>
                <w:sz w:val="16"/>
                <w:szCs w:val="16"/>
              </w:rPr>
              <w:t xml:space="preserve">Required for significant parts</w:t>
            </w:r>
          </w:p>
        </w:tc>
      </w:tr>
      <w:tr>
        <w:tc>
          <w:tcPr>
            <w:tcW w:type="pct" w:w="1620"/>
            <w:tcMar>
              <w:top w:type="dxa" w:w="50"/>
              <w:left w:type="dxa" w:w="110"/>
              <w:bottom w:type="dxa" w:w="50"/>
              <w:right w:type="dxa" w:w="110"/>
            </w:tcMar>
          </w:tcPr>
          <w:p>
            <w:pPr>
              <w:spacing w:before="26" w:after="26"/>
            </w:pPr>
            <w:r>
              <w:rPr>
                <w:color w:val="232733"/>
                <w:sz w:val="16"/>
                <w:szCs w:val="16"/>
              </w:rPr>
              <w:t xml:space="preserve">Review of lives and residual values</w:t>
            </w:r>
          </w:p>
        </w:tc>
        <w:tc>
          <w:tcPr>
            <w:tcW w:type="pct" w:w="1628"/>
            <w:tcMar>
              <w:top w:type="dxa" w:w="50"/>
              <w:left w:type="dxa" w:w="110"/>
              <w:bottom w:type="dxa" w:w="50"/>
              <w:right w:type="dxa" w:w="110"/>
            </w:tcMar>
          </w:tcPr>
          <w:p>
            <w:pPr>
              <w:spacing w:before="26" w:after="26"/>
            </w:pPr>
            <w:r>
              <w:rPr>
                <w:color w:val="232733"/>
                <w:sz w:val="16"/>
                <w:szCs w:val="16"/>
              </w:rPr>
              <w:t xml:space="preserve">When events suggest a change</w:t>
            </w:r>
          </w:p>
        </w:tc>
        <w:tc>
          <w:tcPr>
            <w:tcW w:type="pct" w:w="1752"/>
            <w:tcMar>
              <w:top w:type="dxa" w:w="50"/>
              <w:left w:type="dxa" w:w="110"/>
              <w:bottom w:type="dxa" w:w="50"/>
              <w:right w:type="dxa" w:w="110"/>
            </w:tcMar>
          </w:tcPr>
          <w:p>
            <w:pPr>
              <w:spacing w:before="26" w:after="26"/>
            </w:pPr>
            <w:r>
              <w:rPr>
                <w:color w:val="232733"/>
                <w:sz w:val="16"/>
                <w:szCs w:val="16"/>
              </w:rPr>
              <w:t xml:space="preserve">At least every year</w:t>
            </w:r>
          </w:p>
        </w:tc>
      </w:tr>
      <w:tr>
        <w:tc>
          <w:tcPr>
            <w:tcW w:type="pct" w:w="1620"/>
            <w:shd w:fill="FBFAF6" w:val="clear"/>
            <w:tcMar>
              <w:top w:type="dxa" w:w="50"/>
              <w:left w:type="dxa" w:w="110"/>
              <w:bottom w:type="dxa" w:w="50"/>
              <w:right w:type="dxa" w:w="110"/>
            </w:tcMar>
          </w:tcPr>
          <w:p>
            <w:pPr>
              <w:spacing w:before="26" w:after="26"/>
            </w:pPr>
            <w:r>
              <w:rPr>
                <w:color w:val="232733"/>
                <w:sz w:val="16"/>
                <w:szCs w:val="16"/>
              </w:rPr>
              <w:t xml:space="preserve">Borrowing costs on a new plant</w:t>
            </w:r>
          </w:p>
        </w:tc>
        <w:tc>
          <w:tcPr>
            <w:tcW w:type="pct" w:w="1628"/>
            <w:shd w:fill="FBFAF6" w:val="clear"/>
            <w:tcMar>
              <w:top w:type="dxa" w:w="50"/>
              <w:left w:type="dxa" w:w="110"/>
              <w:bottom w:type="dxa" w:w="50"/>
              <w:right w:type="dxa" w:w="110"/>
            </w:tcMar>
          </w:tcPr>
          <w:p>
            <w:pPr>
              <w:spacing w:before="26" w:after="26"/>
            </w:pPr>
            <w:r>
              <w:rPr>
                <w:color w:val="232733"/>
                <w:sz w:val="16"/>
                <w:szCs w:val="16"/>
              </w:rPr>
              <w:t xml:space="preserve">Capitalized; investment income generally not offset</w:t>
            </w:r>
          </w:p>
        </w:tc>
        <w:tc>
          <w:tcPr>
            <w:tcW w:type="pct" w:w="1752"/>
            <w:shd w:fill="FBFAF6" w:val="clear"/>
            <w:tcMar>
              <w:top w:type="dxa" w:w="50"/>
              <w:left w:type="dxa" w:w="110"/>
              <w:bottom w:type="dxa" w:w="50"/>
              <w:right w:type="dxa" w:w="110"/>
            </w:tcMar>
          </w:tcPr>
          <w:p>
            <w:pPr>
              <w:spacing w:before="26" w:after="26"/>
            </w:pPr>
            <w:r>
              <w:rPr>
                <w:color w:val="232733"/>
                <w:sz w:val="16"/>
                <w:szCs w:val="16"/>
              </w:rPr>
              <w:t xml:space="preserve">Capitalized; income on specific borrowings deducted</w:t>
            </w:r>
          </w:p>
        </w:tc>
      </w:tr>
      <w:tr>
        <w:tc>
          <w:tcPr>
            <w:tcW w:type="pct" w:w="1620"/>
            <w:tcMar>
              <w:top w:type="dxa" w:w="50"/>
              <w:left w:type="dxa" w:w="110"/>
              <w:bottom w:type="dxa" w:w="50"/>
              <w:right w:type="dxa" w:w="110"/>
            </w:tcMar>
          </w:tcPr>
          <w:p>
            <w:pPr>
              <w:spacing w:before="26" w:after="26"/>
            </w:pPr>
            <w:r>
              <w:rPr>
                <w:color w:val="232733"/>
                <w:sz w:val="16"/>
                <w:szCs w:val="16"/>
              </w:rPr>
              <w:t xml:space="preserve">Investment property</w:t>
            </w:r>
          </w:p>
        </w:tc>
        <w:tc>
          <w:tcPr>
            <w:tcW w:type="pct" w:w="1628"/>
            <w:tcMar>
              <w:top w:type="dxa" w:w="50"/>
              <w:left w:type="dxa" w:w="110"/>
              <w:bottom w:type="dxa" w:w="50"/>
              <w:right w:type="dxa" w:w="110"/>
            </w:tcMar>
          </w:tcPr>
          <w:p>
            <w:pPr>
              <w:spacing w:before="26" w:after="26"/>
            </w:pPr>
            <w:r>
              <w:rPr>
                <w:color w:val="232733"/>
                <w:sz w:val="16"/>
                <w:szCs w:val="16"/>
              </w:rPr>
              <w:t xml:space="preserve">No separate category: cost model</w:t>
            </w:r>
          </w:p>
        </w:tc>
        <w:tc>
          <w:tcPr>
            <w:tcW w:type="pct" w:w="1752"/>
            <w:tcMar>
              <w:top w:type="dxa" w:w="50"/>
              <w:left w:type="dxa" w:w="110"/>
              <w:bottom w:type="dxa" w:w="50"/>
              <w:right w:type="dxa" w:w="110"/>
            </w:tcMar>
          </w:tcPr>
          <w:p>
            <w:pPr>
              <w:spacing w:before="26" w:after="26"/>
            </w:pPr>
            <w:r>
              <w:rPr>
                <w:color w:val="232733"/>
                <w:sz w:val="16"/>
                <w:szCs w:val="16"/>
              </w:rPr>
              <w:t xml:space="preserve">Fair value or cost model (IAS 40)</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topic does the book pair with “Stays at 2,000,000”?</w:t>
      </w:r>
    </w:p>
    <w:p>
      <w:pPr>
        <w:spacing w:after="18"/>
        <w:ind w:left="560" w:hanging="260"/>
      </w:pPr>
      <w:r>
        <w:rPr>
          <w:b/>
          <w:bCs/>
          <w:color w:val="8186EF"/>
          <w:sz w:val="18"/>
          <w:szCs w:val="18"/>
        </w:rPr>
        <w:t xml:space="preserve">A. </w:t>
      </w:r>
      <w:r>
        <w:rPr>
          <w:sz w:val="18"/>
          <w:szCs w:val="18"/>
        </w:rPr>
        <w:t xml:space="preserve">Component depreciation</w:t>
      </w:r>
    </w:p>
    <w:p>
      <w:pPr>
        <w:spacing w:after="18"/>
        <w:ind w:left="560" w:hanging="260"/>
      </w:pPr>
      <w:r>
        <w:rPr>
          <w:b/>
          <w:bCs/>
          <w:color w:val="8186EF"/>
          <w:sz w:val="18"/>
          <w:szCs w:val="18"/>
        </w:rPr>
        <w:t xml:space="preserve">B. </w:t>
      </w:r>
      <w:r>
        <w:rPr>
          <w:sz w:val="18"/>
          <w:szCs w:val="18"/>
        </w:rPr>
        <w:t xml:space="preserve">Investment property</w:t>
      </w:r>
    </w:p>
    <w:p>
      <w:pPr>
        <w:spacing w:after="18"/>
        <w:ind w:left="560" w:hanging="260"/>
      </w:pPr>
      <w:r>
        <w:rPr>
          <w:b/>
          <w:bCs/>
          <w:color w:val="8186EF"/>
          <w:sz w:val="18"/>
          <w:szCs w:val="18"/>
        </w:rPr>
        <w:t xml:space="preserve">C. </w:t>
      </w:r>
      <w:r>
        <w:rPr>
          <w:sz w:val="18"/>
          <w:szCs w:val="18"/>
        </w:rPr>
        <w:t xml:space="preserve">Land in Amman: cost 2,000,000, fair value 2,600,000</w:t>
      </w:r>
    </w:p>
    <w:p>
      <w:pPr>
        <w:spacing w:after="18"/>
        <w:ind w:left="560" w:hanging="260"/>
      </w:pPr>
      <w:r>
        <w:rPr>
          <w:b/>
          <w:bCs/>
          <w:color w:val="8186EF"/>
          <w:sz w:val="18"/>
          <w:szCs w:val="18"/>
        </w:rPr>
        <w:t xml:space="preserve">D. </w:t>
      </w:r>
      <w:r>
        <w:rPr>
          <w:sz w:val="18"/>
          <w:szCs w:val="18"/>
        </w:rPr>
        <w:t xml:space="preserve">Review of lives and residual values</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1F7A6A"/>
                <w:sz w:val="17"/>
                <w:szCs w:val="17"/>
              </w:rPr>
              <w:t xml:space="preserve">INVENT THE RULE</w:t>
            </w:r>
          </w:p>
        </w:tc>
      </w:tr>
    </w:tbl>
    <w:p>
      <w:pPr>
        <w:pBdr>
          <w:top w:val="single" w:sz="6" w:space="1" w:color="1F7A6A"/>
        </w:pBdr>
        <w:spacing w:after="30"/>
      </w:pPr>
      <w:r>
        <w:rPr>
          <w:sz w:val="2"/>
          <w:szCs w:val="2"/>
        </w:rPr>
        <w:t xml:space="preserve"/>
      </w:r>
    </w:p>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90"/>
              <w:left w:type="dxa" w:w="150"/>
              <w:bottom w:type="dxa" w:w="90"/>
              <w:right w:type="dxa" w:w="150"/>
            </w:tcMar>
          </w:tcPr>
          <w:p>
            <w:pPr>
              <w:spacing w:before="46" w:after="26"/>
            </w:pPr>
            <w:r>
              <w:rPr>
                <w:b/>
                <w:bCs/>
                <w:color w:val="1F7A6A"/>
                <w:sz w:val="19"/>
                <w:szCs w:val="19"/>
              </w:rPr>
              <w:t xml:space="preserve">6.  </w:t>
            </w:r>
            <w:r>
              <w:rPr>
                <w:sz w:val="19"/>
                <w:szCs w:val="19"/>
              </w:rPr>
              <w:t xml:space="preserve">Complete the book’s own sentence. The list holds more words than there are gaps.</w:t>
            </w:r>
          </w:p>
          <w:p>
            <w:pPr>
              <w:spacing w:after="30"/>
            </w:pPr>
            <w:r>
              <w:rPr>
                <w:color w:val="6B7280"/>
                <w:sz w:val="16"/>
                <w:szCs w:val="16"/>
              </w:rPr>
              <w:t xml:space="preserve">use every one of these words:  </w:t>
            </w:r>
            <w:r>
              <w:rPr>
                <w:b/>
                <w:bCs/>
                <w:color w:val="1F7A6A"/>
                <w:sz w:val="16"/>
                <w:szCs w:val="16"/>
              </w:rPr>
              <w:t xml:space="preserve">revaluation model  ·  revaluation surplus  ·  value in use  ·  recoverable amount</w:t>
            </w:r>
          </w:p>
          <w:p>
            <w:pPr>
              <w:spacing w:before="26" w:after="26"/>
              <w:ind w:left="200"/>
            </w:pPr>
            <w:r>
              <w:rPr>
                <w:sz w:val="19"/>
                <w:szCs w:val="19"/>
              </w:rPr>
              <w:t xml:space="preserve">IAS 16 also allows the </w:t>
            </w:r>
            <w:r>
              <w:rPr>
                <w:u w:val="single"/>
                <w:sz w:val="19"/>
                <w:szCs w:val="19"/>
              </w:rPr>
              <w:t xml:space="preserve">                   </w:t>
            </w:r>
            <w:r>
              <w:rPr>
                <w:sz w:val="19"/>
                <w:szCs w:val="19"/>
              </w:rPr>
              <w:t xml:space="preserve"> for a whole class of assets: the assets are carried at fair value, and increases go to a </w:t>
            </w:r>
            <w:r>
              <w:rPr>
                <w:u w:val="single"/>
                <w:sz w:val="19"/>
                <w:szCs w:val="19"/>
              </w:rPr>
              <w:t xml:space="preserve">                     </w:t>
            </w:r>
            <w:r>
              <w:rPr>
                <w:sz w:val="19"/>
                <w:szCs w:val="19"/>
              </w:rPr>
              <w:t xml:space="preserve"> in OCI.</w:t>
            </w:r>
          </w:p>
        </w:tc>
      </w:tr>
    </w:tbl>
    <w:p/>
    <w:p>
      <w:pPr>
        <w:spacing w:before="50" w:after="24"/>
      </w:pPr>
      <w:r>
        <w:rPr>
          <w:b/>
          <w:bCs/>
          <w:color w:val="C9762E"/>
          <w:sz w:val="17"/>
          <w:szCs w:val="17"/>
        </w:rPr>
        <w:t xml:space="preserve">Two of the book’s own cases, side by side</w:t>
      </w:r>
    </w:p>
    <w:tbl>
      <w:tblPr>
        <w:tblW w:type="pct" w:w="100%"/>
        <w:tblLayout w:type="fixed"/>
        <w:tblBorders>
          <w:top w:val="single" w:color="C9762E" w:sz="6"/>
          <w:left w:val="single" w:color="C9762E" w:sz="6"/>
          <w:bottom w:val="single" w:color="C9762E" w:sz="6"/>
          <w:right w:val="single" w:color="C9762E" w:sz="6"/>
          <w:insideH w:val="single" w:color="C9762E" w:sz="6"/>
          <w:insideV w:val="single" w:color="C9762E" w:sz="6"/>
        </w:tblBorders>
      </w:tblPr>
      <w:tblGrid>
        <w:gridCol w:w="4800"/>
        <w:gridCol w:w="4800"/>
      </w:tblGrid>
      <w:tr>
        <w:tc>
          <w:tcPr>
            <w:tcW w:type="pct" w:w="2500"/>
            <w:shd w:fill="FBF4EA" w:val="clear"/>
            <w:tcMar>
              <w:top w:type="dxa" w:w="50"/>
              <w:left w:type="dxa" w:w="110"/>
              <w:bottom w:type="dxa" w:w="50"/>
              <w:right w:type="dxa" w:w="110"/>
            </w:tcMar>
          </w:tcPr>
          <w:p>
            <w:pPr>
              <w:spacing w:before="34" w:after="34"/>
            </w:pPr>
            <w:r>
              <w:rPr>
                <w:b/>
                <w:bCs/>
                <w:color w:val="C9762E"/>
                <w:sz w:val="16"/>
                <w:szCs w:val="16"/>
              </w:rPr>
              <w:t xml:space="preserve">Component depreciation</w:t>
            </w:r>
          </w:p>
        </w:tc>
        <w:tc>
          <w:tcPr>
            <w:tcW w:type="pct" w:w="2500"/>
            <w:shd w:fill="FBF4EA" w:val="clear"/>
            <w:tcMar>
              <w:top w:type="dxa" w:w="50"/>
              <w:left w:type="dxa" w:w="110"/>
              <w:bottom w:type="dxa" w:w="50"/>
              <w:right w:type="dxa" w:w="110"/>
            </w:tcMar>
          </w:tcPr>
          <w:p>
            <w:pPr>
              <w:spacing w:before="34" w:after="34"/>
            </w:pPr>
            <w:r>
              <w:rPr>
                <w:b/>
                <w:bCs/>
                <w:color w:val="C9762E"/>
                <w:sz w:val="16"/>
                <w:szCs w:val="16"/>
              </w:rPr>
              <w:t xml:space="preserve">Review of lives and residual values</w:t>
            </w:r>
          </w:p>
        </w:tc>
      </w:tr>
      <w:tr>
        <w:tc>
          <w:tcPr>
            <w:tcW w:type="pct" w:w="2500"/>
            <w:tcMar>
              <w:top w:type="dxa" w:w="50"/>
              <w:left w:type="dxa" w:w="110"/>
              <w:bottom w:type="dxa" w:w="50"/>
              <w:right w:type="dxa" w:w="110"/>
            </w:tcMar>
          </w:tcPr>
          <w:p>
            <w:pPr>
              <w:spacing w:before="26" w:after="26"/>
            </w:pPr>
            <w:r>
              <w:rPr>
                <w:sz w:val="16"/>
                <w:szCs w:val="16"/>
              </w:rPr>
              <w:t xml:space="preserve">U.S. GAAP (ASC 360, 835): Allowed, not required</w:t>
            </w:r>
          </w:p>
        </w:tc>
        <w:tc>
          <w:tcPr>
            <w:tcW w:type="pct" w:w="2500"/>
            <w:tcMar>
              <w:top w:type="dxa" w:w="50"/>
              <w:left w:type="dxa" w:w="110"/>
              <w:bottom w:type="dxa" w:w="50"/>
              <w:right w:type="dxa" w:w="110"/>
            </w:tcMar>
          </w:tcPr>
          <w:p>
            <w:pPr>
              <w:spacing w:before="26" w:after="26"/>
            </w:pPr>
            <w:r>
              <w:rPr>
                <w:sz w:val="16"/>
                <w:szCs w:val="16"/>
              </w:rPr>
              <w:t xml:space="preserve">U.S. GAAP (ASC 360, 835): When events suggest a change</w:t>
            </w:r>
          </w:p>
        </w:tc>
      </w:tr>
    </w:tbl>
    <w:p>
      <w:pPr>
        <w:spacing w:before="36" w:after="16"/>
      </w:pPr>
      <w:r>
        <w:rPr>
          <w:sz w:val="18"/>
          <w:szCs w:val="18"/>
        </w:rPr>
        <w:t xml:space="preserve">Only the facts above differ. What is the ifrs (ias 16, 23, 40) of Component depreciation?</w:t>
      </w:r>
    </w:p>
    <w:p>
      <w:pPr>
        <w:spacing w:before="40" w:after="16"/>
        <w:ind w:left="300" w:hanging="300"/>
      </w:pPr>
      <w:r>
        <w:rPr>
          <w:b/>
          <w:bCs/>
          <w:color w:val="353A7C"/>
          <w:sz w:val="19"/>
          <w:szCs w:val="19"/>
        </w:rPr>
        <w:t xml:space="preserve">7.  </w:t>
      </w:r>
      <w:r>
        <w:rPr>
          <w:sz w:val="19"/>
          <w:szCs w:val="19"/>
        </w:rPr>
        <w:t xml:space="preserve">Choose one:</w:t>
      </w:r>
    </w:p>
    <w:p>
      <w:pPr>
        <w:spacing w:after="18"/>
        <w:ind w:left="560" w:hanging="260"/>
      </w:pPr>
      <w:r>
        <w:rPr>
          <w:b/>
          <w:bCs/>
          <w:color w:val="8186EF"/>
          <w:sz w:val="18"/>
          <w:szCs w:val="18"/>
        </w:rPr>
        <w:t xml:space="preserve">A. </w:t>
      </w:r>
      <w:r>
        <w:rPr>
          <w:sz w:val="18"/>
          <w:szCs w:val="18"/>
        </w:rPr>
        <w:t xml:space="preserve">Fair value or cost model (IAS 40)</w:t>
      </w:r>
    </w:p>
    <w:p>
      <w:pPr>
        <w:spacing w:after="18"/>
        <w:ind w:left="560" w:hanging="260"/>
      </w:pPr>
      <w:r>
        <w:rPr>
          <w:b/>
          <w:bCs/>
          <w:color w:val="8186EF"/>
          <w:sz w:val="18"/>
          <w:szCs w:val="18"/>
        </w:rPr>
        <w:t xml:space="preserve">B. </w:t>
      </w:r>
      <w:r>
        <w:rPr>
          <w:sz w:val="18"/>
          <w:szCs w:val="18"/>
        </w:rPr>
        <w:t xml:space="preserve">At least every year</w:t>
      </w:r>
    </w:p>
    <w:p>
      <w:pPr>
        <w:spacing w:after="18"/>
        <w:ind w:left="560" w:hanging="260"/>
      </w:pPr>
      <w:r>
        <w:rPr>
          <w:b/>
          <w:bCs/>
          <w:color w:val="8186EF"/>
          <w:sz w:val="18"/>
          <w:szCs w:val="18"/>
        </w:rPr>
        <w:t xml:space="preserve">C. </w:t>
      </w:r>
      <w:r>
        <w:rPr>
          <w:sz w:val="18"/>
          <w:szCs w:val="18"/>
        </w:rPr>
        <w:t xml:space="preserve">Required for significant parts</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8.  </w:t>
      </w:r>
      <w:r>
        <w:rPr>
          <w:sz w:val="19"/>
          <w:szCs w:val="19"/>
        </w:rPr>
        <w:t xml:space="preserve">What is the IFRS equivalent of a U.S. 'asset group' in impairment testing?</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A reporting unit</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A disposal group</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A cash-generating unit</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A component of an entity</w:t>
            </w:r>
          </w:p>
        </w:tc>
      </w:tr>
    </w:tbl>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9.  </w:t>
            </w:r>
            <w:r>
              <w:rPr>
                <w:sz w:val="19"/>
                <w:szCs w:val="19"/>
              </w:rPr>
              <w:t xml:space="preserve">Which of these did this cycle settle?</w:t>
            </w:r>
          </w:p>
          <w:p>
            <w:pPr>
              <w:spacing w:after="16"/>
              <w:ind w:left="500" w:hanging="200"/>
            </w:pPr>
            <w:r>
              <w:rPr>
                <w:b/>
                <w:bCs/>
                <w:color w:val="8186EF"/>
                <w:sz w:val="18"/>
                <w:szCs w:val="18"/>
              </w:rPr>
              <w:t xml:space="preserve">A. </w:t>
            </w:r>
            <w:r>
              <w:rPr>
                <w:sz w:val="18"/>
                <w:szCs w:val="18"/>
              </w:rPr>
              <w:t xml:space="preserve">the rule and where it comes from</w:t>
            </w:r>
          </w:p>
          <w:p>
            <w:pPr>
              <w:spacing w:after="16"/>
              <w:ind w:left="500" w:hanging="200"/>
            </w:pPr>
            <w:r>
              <w:rPr>
                <w:b/>
                <w:bCs/>
                <w:color w:val="8186EF"/>
                <w:sz w:val="18"/>
                <w:szCs w:val="18"/>
              </w:rPr>
              <w:t xml:space="preserve">B. </w:t>
            </w:r>
            <w:r>
              <w:rPr>
                <w:sz w:val="18"/>
                <w:szCs w:val="18"/>
              </w:rPr>
              <w:t xml:space="preserve">nothing in particular</w:t>
            </w:r>
          </w:p>
          <w:p>
            <w:pPr>
              <w:spacing w:after="16"/>
              <w:ind w:left="500" w:hanging="200"/>
            </w:pPr>
            <w:r>
              <w:rPr>
                <w:b/>
                <w:bCs/>
                <w:color w:val="8186EF"/>
                <w:sz w:val="18"/>
                <w:szCs w:val="18"/>
              </w:rPr>
              <w:t xml:space="preserve">C. </w:t>
            </w:r>
            <w:r>
              <w:rPr>
                <w:sz w:val="18"/>
                <w:szCs w:val="18"/>
              </w:rPr>
              <w:t xml:space="preserve">only the vocabulary</w:t>
            </w:r>
          </w:p>
          <w:p>
            <w:pPr>
              <w:spacing w:after="16"/>
              <w:ind w:left="500" w:hanging="200"/>
            </w:pPr>
            <w:r>
              <w:rPr>
                <w:b/>
                <w:bCs/>
                <w:color w:val="8186EF"/>
                <w:sz w:val="18"/>
                <w:szCs w:val="18"/>
              </w:rPr>
              <w:t xml:space="preserve">D. </w:t>
            </w:r>
            <w:r>
              <w:rPr>
                <w:sz w:val="18"/>
                <w:szCs w:val="18"/>
              </w:rPr>
              <w:t xml:space="preserve">only the arithmetic</w:t>
            </w:r>
          </w:p>
          <w:p>
            <w:pPr>
              <w:spacing w:before="20" w:after="50"/>
            </w:pPr>
            <w:r>
              <w:rPr>
                <w:color w:val="C0483F"/>
                <w:sz w:val="17"/>
                <w:szCs w:val="17"/>
              </w:rPr>
              <w:t xml:space="preserve">If you got it wrong: redo the READ THE MODEL questions of cycle A.</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10.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600"/>
            <w:tcMar>
              <w:top w:type="dxa" w:w="50"/>
              <w:left w:type="dxa" w:w="110"/>
              <w:bottom w:type="dxa" w:w="50"/>
              <w:right w:type="dxa" w:w="110"/>
            </w:tcMar>
          </w:tcPr>
          <w:p>
            <w:pPr>
              <w:spacing w:before="26" w:after="26"/>
            </w:pPr>
            <w:r>
              <w:rPr>
                <w:color w:val="232733"/>
                <w:sz w:val="16"/>
                <w:szCs w:val="16"/>
              </w:rPr>
              <w:t xml:space="preserve">recoverable amount</w:t>
            </w:r>
          </w:p>
        </w:tc>
        <w:tc>
          <w:tcPr>
            <w:tcW w:type="pct" w:w="2400"/>
            <w:tcMar>
              <w:top w:type="dxa" w:w="50"/>
              <w:left w:type="dxa" w:w="110"/>
              <w:bottom w:type="dxa" w:w="50"/>
              <w:right w:type="dxa" w:w="110"/>
            </w:tcMar>
          </w:tcPr>
          <w:p>
            <w:pPr>
              <w:spacing w:before="26" w:after="26"/>
            </w:pPr>
            <w:r>
              <w:rPr>
                <w:color w:val="232733"/>
                <w:sz w:val="16"/>
                <w:szCs w:val="16"/>
              </w:rPr>
              <w:t xml:space="preserve">المبلغ القابل للاسترداد</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research and development (R&amp;D)</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البحث والتطوير</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30" w:after="30"/>
        <w:ind w:left="300" w:hanging="300"/>
      </w:pPr>
      <w:r>
        <w:rPr>
          <w:b/>
          <w:bCs/>
          <w:color w:val="353A7C"/>
          <w:sz w:val="19"/>
          <w:szCs w:val="19"/>
        </w:rPr>
        <w:t xml:space="preserve">11.  </w:t>
      </w:r>
      <w:r>
        <w:rPr>
          <w:sz w:val="19"/>
          <w:szCs w:val="19"/>
        </w:rPr>
        <w:t xml:space="preserve">A glossary term and its translation are a pair the book itself gives.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24"/>
      </w:pPr>
      <w:r>
        <w:rPr>
          <w:sz w:val="19"/>
          <w:szCs w:val="19"/>
        </w:rPr>
        <w:t xml:space="preserve">Write the letter of the matching entry beside each topic. Every one is used once.</w:t>
      </w:r>
    </w:p>
    <w:tbl>
      <w:tblPr>
        <w:tblW w:type="pct" w:w="100%"/>
        <w:tblLayout w:type="fixed"/>
        <w:tblBorders>
          <w:top w:val="single" w:color="8186EF" w:sz="4"/>
          <w:left w:val="single" w:color="8186EF" w:sz="4"/>
          <w:bottom w:val="single" w:color="8186EF" w:sz="4"/>
          <w:right w:val="single" w:color="8186EF" w:sz="4"/>
          <w:insideH w:val="single" w:color="8186EF" w:sz="4"/>
          <w:insideV w:val="single" w:color="8186EF" w:sz="4"/>
        </w:tblBorders>
      </w:tblPr>
      <w:tblGrid>
        <w:gridCol w:w="9600"/>
      </w:tblGrid>
      <w:tr>
        <w:tc>
          <w:tcPr>
            <w:tcW w:type="pct" w:w="5000"/>
            <w:shd w:fill="FBFAF6" w:val="clear"/>
            <w:tcMar>
              <w:top w:type="dxa" w:w="40"/>
              <w:left w:type="dxa" w:w="100"/>
              <w:bottom w:type="dxa" w:w="40"/>
              <w:right w:type="dxa" w:w="100"/>
            </w:tcMar>
          </w:tcPr>
          <w:p>
            <w:pPr>
              <w:spacing w:before="18" w:after="18"/>
            </w:pPr>
            <w:r>
              <w:rPr>
                <w:b/>
                <w:bCs/>
                <w:color w:val="8186EF"/>
                <w:sz w:val="16"/>
                <w:szCs w:val="16"/>
              </w:rPr>
              <w:t xml:space="preserve">A  </w:t>
            </w:r>
            <w:r>
              <w:rPr>
                <w:sz w:val="16"/>
                <w:szCs w:val="16"/>
              </w:rPr>
              <w:t xml:space="preserve">Stays at 2,000,000</w:t>
            </w:r>
          </w:p>
        </w:tc>
      </w:tr>
      <w:tr>
        <w:tc>
          <w:tcPr>
            <w:tcW w:type="pct" w:w="5000"/>
            <w:shd w:fill="FBFAF6" w:val="clear"/>
            <w:tcMar>
              <w:top w:type="dxa" w:w="40"/>
              <w:left w:type="dxa" w:w="100"/>
              <w:bottom w:type="dxa" w:w="40"/>
              <w:right w:type="dxa" w:w="100"/>
            </w:tcMar>
          </w:tcPr>
          <w:p>
            <w:pPr>
              <w:spacing w:before="18" w:after="18"/>
            </w:pPr>
            <w:r>
              <w:rPr>
                <w:b/>
                <w:bCs/>
                <w:color w:val="8186EF"/>
                <w:sz w:val="16"/>
                <w:szCs w:val="16"/>
              </w:rPr>
              <w:t xml:space="preserve">B  </w:t>
            </w:r>
            <w:r>
              <w:rPr>
                <w:sz w:val="16"/>
                <w:szCs w:val="16"/>
              </w:rPr>
              <w:t xml:space="preserve">Capitalized; investment income generally not offset</w:t>
            </w:r>
          </w:p>
        </w:tc>
      </w:tr>
      <w:tr>
        <w:tc>
          <w:tcPr>
            <w:tcW w:type="pct" w:w="5000"/>
            <w:shd w:fill="FBFAF6" w:val="clear"/>
            <w:tcMar>
              <w:top w:type="dxa" w:w="40"/>
              <w:left w:type="dxa" w:w="100"/>
              <w:bottom w:type="dxa" w:w="40"/>
              <w:right w:type="dxa" w:w="100"/>
            </w:tcMar>
          </w:tcPr>
          <w:p>
            <w:pPr>
              <w:spacing w:before="18" w:after="18"/>
            </w:pPr>
            <w:r>
              <w:rPr>
                <w:b/>
                <w:bCs/>
                <w:color w:val="8186EF"/>
                <w:sz w:val="16"/>
                <w:szCs w:val="16"/>
              </w:rPr>
              <w:t xml:space="preserve">C  </w:t>
            </w:r>
            <w:r>
              <w:rPr>
                <w:sz w:val="16"/>
                <w:szCs w:val="16"/>
              </w:rPr>
              <w:t xml:space="preserve">No separate category: cost model</w:t>
            </w:r>
          </w:p>
        </w:tc>
      </w:tr>
      <w:tr>
        <w:tc>
          <w:tcPr>
            <w:tcW w:type="pct" w:w="5000"/>
            <w:shd w:fill="FBFAF6" w:val="clear"/>
            <w:tcMar>
              <w:top w:type="dxa" w:w="40"/>
              <w:left w:type="dxa" w:w="100"/>
              <w:bottom w:type="dxa" w:w="40"/>
              <w:right w:type="dxa" w:w="100"/>
            </w:tcMar>
          </w:tcPr>
          <w:p>
            <w:pPr>
              <w:spacing w:before="18" w:after="18"/>
            </w:pPr>
            <w:r>
              <w:rPr>
                <w:b/>
                <w:bCs/>
                <w:color w:val="8186EF"/>
                <w:sz w:val="16"/>
                <w:szCs w:val="16"/>
              </w:rPr>
              <w:t xml:space="preserve">D  </w:t>
            </w:r>
            <w:r>
              <w:rPr>
                <w:sz w:val="16"/>
                <w:szCs w:val="16"/>
              </w:rPr>
              <w:t xml:space="preserve">Allowed, not required</w:t>
            </w:r>
          </w:p>
        </w:tc>
      </w:tr>
      <w:tr>
        <w:tc>
          <w:tcPr>
            <w:tcW w:type="pct" w:w="5000"/>
            <w:shd w:fill="FBFAF6" w:val="clear"/>
            <w:tcMar>
              <w:top w:type="dxa" w:w="40"/>
              <w:left w:type="dxa" w:w="100"/>
              <w:bottom w:type="dxa" w:w="40"/>
              <w:right w:type="dxa" w:w="100"/>
            </w:tcMar>
          </w:tcPr>
          <w:p>
            <w:pPr>
              <w:spacing w:before="18" w:after="18"/>
            </w:pPr>
            <w:r>
              <w:rPr>
                <w:b/>
                <w:bCs/>
                <w:color w:val="8186EF"/>
                <w:sz w:val="16"/>
                <w:szCs w:val="16"/>
              </w:rPr>
              <w:t xml:space="preserve">E  </w:t>
            </w:r>
            <w:r>
              <w:rPr>
                <w:sz w:val="16"/>
                <w:szCs w:val="16"/>
              </w:rPr>
              <w:t xml:space="preserve">When events suggest a change</w:t>
            </w:r>
          </w:p>
        </w:tc>
      </w:tr>
    </w:tbl>
    <w:p/>
    <w:p>
      <w:pPr>
        <w:spacing w:before="24" w:after="24"/>
        <w:ind w:left="300" w:hanging="300"/>
      </w:pPr>
      <w:r>
        <w:rPr>
          <w:b/>
          <w:bCs/>
          <w:color w:val="353A7C"/>
          <w:sz w:val="18"/>
          <w:szCs w:val="18"/>
        </w:rPr>
        <w:t xml:space="preserve">12.  </w:t>
      </w:r>
      <w:r>
        <w:rPr>
          <w:sz w:val="18"/>
          <w:szCs w:val="18"/>
        </w:rPr>
        <w:t xml:space="preserve">Land in Amman: cost 2,000,000, fair value 2,600,000</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13.  </w:t>
      </w:r>
      <w:r>
        <w:rPr>
          <w:sz w:val="18"/>
          <w:szCs w:val="18"/>
        </w:rPr>
        <w:t xml:space="preserve">Component depreciation</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14.  </w:t>
      </w:r>
      <w:r>
        <w:rPr>
          <w:sz w:val="18"/>
          <w:szCs w:val="18"/>
        </w:rPr>
        <w:t xml:space="preserve">Review of lives and residual values</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15.  </w:t>
      </w:r>
      <w:r>
        <w:rPr>
          <w:sz w:val="18"/>
          <w:szCs w:val="18"/>
        </w:rPr>
        <w:t xml:space="preserve">Borrowing costs on a new plant</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16.  </w:t>
      </w:r>
      <w:r>
        <w:rPr>
          <w:sz w:val="18"/>
          <w:szCs w:val="18"/>
        </w:rPr>
        <w:t xml:space="preserve">Investment property</w:t>
      </w:r>
      <w:r>
        <w:rPr>
          <w:sz w:val="18"/>
          <w:szCs w:val="18"/>
        </w:rPr>
        <w:t xml:space="preserve">      </w:t>
      </w:r>
      <w:r>
        <w:rPr>
          <w:u w:val="single"/>
          <w:sz w:val="18"/>
          <w:szCs w:val="18"/>
        </w:rPr>
        <w:t xml:space="preserve">        </w:t>
      </w:r>
    </w:p>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17.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p>
      <w:pPr>
        <w:pageBreakBefore w:val="true"/>
        <w:spacing w:after="0"/>
      </w:pPr>
      <w:r>
        <w:rPr>
          <w:sz w:val="2"/>
        </w:rPr>
        <w:t xml:space="preserve"> </w:t>
      </w:r>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18.  </w:t>
      </w:r>
      <w:r>
        <w:rPr>
          <w:sz w:val="19"/>
          <w:szCs w:val="19"/>
        </w:rPr>
        <w:t xml:space="preserve">Rebuild the figure from this handout. Label every part and fill in every box.</w:t>
      </w:r>
    </w:p>
    <w:p>
      <w:pPr>
        <w:spacing w:after="40" w:before="90"/>
        <w:jc w:val="center"/>
      </w:pPr>
      <w:r>
        <w:drawing>
          <wp:inline distT="0" distB="0" distL="0" distR="0">
            <wp:extent cx="5734050" cy="425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5734050" cy="4255275"/>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19.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recoverable amount  ·  research and development (R&amp;D)</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5"/>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17.6</w:t>
      </w:r>
    </w:p>
    <w:p>
      <w:pPr>
        <w:spacing w:after="8"/>
      </w:pPr>
      <w:r>
        <w:rPr>
          <w:color w:val="23265A"/>
          <w:sz w:val="22"/>
          <w:szCs w:val="22"/>
        </w:rPr>
        <w:t xml:space="preserve">(vi) Impairment</w:t>
      </w:r>
    </w:p>
    <w:p>
      <w:pPr>
        <w:spacing w:after="130"/>
      </w:pPr>
      <w:r>
        <w:rPr>
          <w:color w:val="6B7280"/>
          <w:sz w:val="20"/>
          <w:szCs w:val="20"/>
        </w:rPr>
        <w:t xml:space="preserve">section 17.6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778"/>
        <w:gridCol w:w="4095"/>
        <w:gridCol w:w="3727"/>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926"/>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2133"/>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1941"/>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926"/>
            <w:tcMar>
              <w:top w:type="dxa" w:w="50"/>
              <w:left w:type="dxa" w:w="110"/>
              <w:bottom w:type="dxa" w:w="50"/>
              <w:right w:type="dxa" w:w="110"/>
            </w:tcMar>
          </w:tcPr>
          <w:p>
            <w:pPr>
              <w:spacing w:before="26" w:after="26"/>
            </w:pPr>
            <w:r>
              <w:rPr>
                <w:color w:val="232733"/>
                <w:sz w:val="16"/>
                <w:szCs w:val="16"/>
              </w:rPr>
              <w:t xml:space="preserve">(vi) Impairment</w:t>
            </w:r>
          </w:p>
        </w:tc>
        <w:tc>
          <w:tcPr>
            <w:tcW w:type="pct" w:w="2133"/>
            <w:tcMar>
              <w:top w:type="dxa" w:w="50"/>
              <w:left w:type="dxa" w:w="110"/>
              <w:bottom w:type="dxa" w:w="50"/>
              <w:right w:type="dxa" w:w="110"/>
            </w:tcMar>
          </w:tcPr>
          <w:p>
            <w:pPr>
              <w:spacing w:before="26" w:after="26"/>
            </w:pPr>
            <w:r>
              <w:rPr>
                <w:color w:val="232733"/>
                <w:sz w:val="16"/>
                <w:szCs w:val="16"/>
              </w:rPr>
              <w:t xml:space="preserve">a figure to read · Suppose: Levant Distribution LLC, 2027 (USD 000)</w:t>
            </w:r>
          </w:p>
        </w:tc>
        <w:tc>
          <w:tcPr>
            <w:tcW w:type="pct" w:w="1941"/>
            <w:tcMar>
              <w:top w:type="dxa" w:w="50"/>
              <w:left w:type="dxa" w:w="110"/>
              <w:bottom w:type="dxa" w:w="50"/>
              <w:right w:type="dxa" w:w="110"/>
            </w:tcMar>
          </w:tcPr>
          <w:p>
            <w:pPr>
              <w:spacing w:before="26" w:after="26"/>
            </w:pPr>
            <w:r>
              <w:rPr>
                <w:color w:val="232733"/>
                <w:sz w:val="16"/>
                <w:szCs w:val="16"/>
              </w:rPr>
              <w:t xml:space="preserve">Which of these did this cycle settle?</w:t>
            </w:r>
          </w:p>
        </w:tc>
      </w:tr>
      <w:tr>
        <w:tc>
          <w:tcPr>
            <w:tcW w:type="pct" w:w="926"/>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2133"/>
            <w:shd w:fill="FBFAF6" w:val="clear"/>
            <w:tcMar>
              <w:top w:type="dxa" w:w="50"/>
              <w:left w:type="dxa" w:w="110"/>
              <w:bottom w:type="dxa" w:w="50"/>
              <w:right w:type="dxa" w:w="110"/>
            </w:tcMar>
          </w:tcPr>
          <w:p>
            <w:pPr>
              <w:spacing w:before="26" w:after="26"/>
            </w:pPr>
            <w:r>
              <w:rPr>
                <w:color w:val="232733"/>
                <w:sz w:val="16"/>
                <w:szCs w:val="16"/>
              </w:rPr>
              <w:t xml:space="preserve">a figure to read · Statement · The English the exam uses, and what it translates</w:t>
            </w:r>
          </w:p>
        </w:tc>
        <w:tc>
          <w:tcPr>
            <w:tcW w:type="pct" w:w="1941"/>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600"/>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400"/>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600"/>
            <w:tcMar>
              <w:top w:type="dxa" w:w="50"/>
              <w:left w:type="dxa" w:w="110"/>
              <w:bottom w:type="dxa" w:w="50"/>
              <w:right w:type="dxa" w:w="110"/>
            </w:tcMar>
          </w:tcPr>
          <w:p>
            <w:pPr>
              <w:spacing w:before="26" w:after="26"/>
            </w:pPr>
            <w:r>
              <w:rPr>
                <w:color w:val="232733"/>
                <w:sz w:val="16"/>
                <w:szCs w:val="16"/>
              </w:rPr>
              <w:t xml:space="preserve">cash-generating unit</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net realizable value (NRV)</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graded vesting   ·   undiscounted   ·   compares   ·   held-and-used   ·   cash-generating unit</w:t>
      </w:r>
    </w:p>
    <w:p>
      <w:pPr>
        <w:spacing w:before="36" w:after="36"/>
        <w:ind w:left="300"/>
      </w:pPr>
      <w:r>
        <w:rPr>
          <w:sz w:val="19"/>
          <w:szCs w:val="19"/>
        </w:rPr>
        <w:t xml:space="preserve">U.S. GAAP tests a </w:t>
      </w:r>
      <w:r>
        <w:rPr>
          <w:u w:val="single"/>
          <w:sz w:val="19"/>
          <w:szCs w:val="19"/>
        </w:rPr>
        <w:t xml:space="preserve">               </w:t>
      </w:r>
      <w:r>
        <w:rPr>
          <w:sz w:val="19"/>
          <w:szCs w:val="19"/>
        </w:rPr>
        <w:t xml:space="preserve"> asset group in two steps. First, it </w:t>
      </w:r>
      <w:r>
        <w:rPr>
          <w:u w:val="single"/>
          <w:sz w:val="19"/>
          <w:szCs w:val="19"/>
        </w:rPr>
        <w:t xml:space="preserve">           </w:t>
      </w:r>
      <w:r>
        <w:rPr>
          <w:sz w:val="19"/>
          <w:szCs w:val="19"/>
        </w:rPr>
        <w:t xml:space="preserve"> the carrying amount with </w:t>
      </w:r>
      <w:r>
        <w:rPr>
          <w:u w:val="single"/>
          <w:sz w:val="19"/>
          <w:szCs w:val="19"/>
        </w:rPr>
        <w:t xml:space="preserve">              </w:t>
      </w:r>
      <w:r>
        <w:rPr>
          <w:sz w:val="19"/>
          <w:szCs w:val="19"/>
        </w:rPr>
        <w:t xml:space="preserve"> future cash flows.</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cash-generating unit   ·   value in use   ·   graded vesting   ·   fair value less costs of disposal   ·   revaluation model   ·   recoverable amount</w:t>
      </w:r>
    </w:p>
    <w:p>
      <w:pPr>
        <w:spacing w:before="36" w:after="36"/>
        <w:ind w:left="300"/>
      </w:pPr>
      <w:r>
        <w:rPr>
          <w:sz w:val="19"/>
          <w:szCs w:val="19"/>
        </w:rPr>
        <w:t xml:space="preserve">Only if the carrying amount is higher does it measure a loss, equal to the carrying amount minus fair value. It compares the carrying amount of an asset or </w:t>
      </w:r>
      <w:r>
        <w:rPr>
          <w:u w:val="single"/>
          <w:sz w:val="19"/>
          <w:szCs w:val="19"/>
        </w:rPr>
        <w:t xml:space="preserve">                      </w:t>
      </w:r>
      <w:r>
        <w:rPr>
          <w:sz w:val="19"/>
          <w:szCs w:val="19"/>
        </w:rPr>
        <w:t xml:space="preserve"> with its </w:t>
      </w:r>
      <w:r>
        <w:rPr>
          <w:u w:val="single"/>
          <w:sz w:val="19"/>
          <w:szCs w:val="19"/>
        </w:rPr>
        <w:t xml:space="preserve">                    </w:t>
      </w:r>
      <w:r>
        <w:rPr>
          <w:sz w:val="19"/>
          <w:szCs w:val="19"/>
        </w:rPr>
        <w:t xml:space="preserve">: the higher of </w:t>
      </w:r>
      <w:r>
        <w:rPr>
          <w:u w:val="single"/>
          <w:sz w:val="19"/>
          <w:szCs w:val="19"/>
        </w:rPr>
        <w:t xml:space="preserve">                                   </w:t>
      </w:r>
      <w:r>
        <w:rPr>
          <w:sz w:val="19"/>
          <w:szCs w:val="19"/>
        </w:rPr>
        <w:t xml:space="preserve"> and </w:t>
      </w:r>
      <w:r>
        <w:rPr>
          <w:u w:val="single"/>
          <w:sz w:val="19"/>
          <w:szCs w:val="19"/>
        </w:rPr>
        <w:t xml:space="preserve">              </w:t>
      </w:r>
      <w:r>
        <w:rPr>
          <w:sz w:val="19"/>
          <w:szCs w:val="19"/>
        </w:rPr>
        <w:t xml:space="preserve">, a discounted cash-flow measure.</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held-and-used   ·   graded vesting   ·   cash-generating unit   ·   recoverable amount</w:t>
      </w:r>
    </w:p>
    <w:p>
      <w:pPr>
        <w:spacing w:before="36" w:after="36"/>
        <w:ind w:left="300"/>
      </w:pPr>
      <w:r>
        <w:rPr>
          <w:sz w:val="19"/>
          <w:szCs w:val="19"/>
        </w:rPr>
        <w:t xml:space="preserve">The frameworks also differ after the loss. IFRS reverses an impairment when the </w:t>
      </w:r>
      <w:r>
        <w:rPr>
          <w:u w:val="single"/>
          <w:sz w:val="19"/>
          <w:szCs w:val="19"/>
        </w:rPr>
        <w:t xml:space="preserve">                    </w:t>
      </w:r>
      <w:r>
        <w:rPr>
          <w:sz w:val="19"/>
          <w:szCs w:val="19"/>
        </w:rPr>
        <w:t xml:space="preserve"> rises, but not for goodwill and not above the carrying amount without the loss. U.S. GAAP never reverses an impairment of a </w:t>
      </w:r>
      <w:r>
        <w:rPr>
          <w:u w:val="single"/>
          <w:sz w:val="19"/>
          <w:szCs w:val="19"/>
        </w:rPr>
        <w:t xml:space="preserve">               </w:t>
      </w:r>
      <w:r>
        <w:rPr>
          <w:sz w:val="19"/>
          <w:szCs w:val="19"/>
        </w:rPr>
        <w:t xml:space="preserve"> asset or of goodwill.</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How every cycle on this sheet works</w:t>
            </w:r>
          </w:p>
        </w:tc>
      </w:tr>
      <w:tr>
        <w:tc>
          <w:tcPr>
            <w:tcW w:type="pct" w:w="2400"/>
            <w:tcMar>
              <w:top w:type="dxa" w:w="50"/>
              <w:left w:type="dxa" w:w="110"/>
              <w:bottom w:type="dxa" w:w="50"/>
              <w:right w:type="dxa" w:w="110"/>
            </w:tcMar>
          </w:tcPr>
          <w:p>
            <w:pPr>
              <w:spacing w:before="26" w:after="26"/>
            </w:pPr>
            <w:r>
              <w:rPr>
                <w:b/>
                <w:bCs/>
                <w:color w:val="353A7C"/>
                <w:sz w:val="15"/>
                <w:szCs w:val="15"/>
              </w:rPr>
              <w:t xml:space="preserve">How a cycle works</w:t>
            </w:r>
          </w:p>
        </w:tc>
        <w:tc>
          <w:tcPr>
            <w:tcW w:type="pct" w:w="2600"/>
            <w:tcMar>
              <w:top w:type="dxa" w:w="50"/>
              <w:left w:type="dxa" w:w="110"/>
              <w:bottom w:type="dxa" w:w="50"/>
              <w:right w:type="dxa" w:w="110"/>
            </w:tcMar>
          </w:tcPr>
          <w:p>
            <w:pPr>
              <w:spacing w:before="26" w:after="26"/>
            </w:pPr>
            <w:r>
              <w:rPr>
                <w:b/>
                <w:bCs/>
                <w:color w:val="353A7C"/>
                <w:sz w:val="15"/>
                <w:szCs w:val="15"/>
              </w:rPr>
              <w:t xml:space="preserve">what you do</w:t>
            </w:r>
          </w:p>
        </w:tc>
      </w:tr>
      <w:tr>
        <w:tc>
          <w:tcPr>
            <w:tcW w:type="pct" w:w="2400"/>
            <w:tcMar>
              <w:top w:type="dxa" w:w="50"/>
              <w:left w:type="dxa" w:w="110"/>
              <w:bottom w:type="dxa" w:w="50"/>
              <w:right w:type="dxa" w:w="110"/>
            </w:tcMar>
          </w:tcPr>
          <w:p>
            <w:pPr>
              <w:spacing w:before="26" w:after="26"/>
            </w:pPr>
            <w:r>
              <w:rPr>
                <w:color w:val="232733"/>
                <w:sz w:val="16"/>
                <w:szCs w:val="16"/>
              </w:rPr>
              <w:t xml:space="preserve">MODEL</w:t>
            </w:r>
          </w:p>
        </w:tc>
        <w:tc>
          <w:tcPr>
            <w:tcW w:type="pct" w:w="2600"/>
            <w:tcMar>
              <w:top w:type="dxa" w:w="50"/>
              <w:left w:type="dxa" w:w="110"/>
              <w:bottom w:type="dxa" w:w="50"/>
              <w:right w:type="dxa" w:w="110"/>
            </w:tcMar>
          </w:tcPr>
          <w:p>
            <w:pPr>
              <w:spacing w:before="26" w:after="26"/>
            </w:pPr>
            <w:r>
              <w:rPr>
                <w:color w:val="232733"/>
                <w:sz w:val="16"/>
                <w:szCs w:val="16"/>
              </w:rPr>
              <w:t xml:space="preserve">read the figure or the table before you answer anything</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READ THE MODEL</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every answer is printed on the same page</w:t>
            </w:r>
          </w:p>
        </w:tc>
      </w:tr>
      <w:tr>
        <w:tc>
          <w:tcPr>
            <w:tcW w:type="pct" w:w="2400"/>
            <w:tcMar>
              <w:top w:type="dxa" w:w="50"/>
              <w:left w:type="dxa" w:w="110"/>
              <w:bottom w:type="dxa" w:w="50"/>
              <w:right w:type="dxa" w:w="110"/>
            </w:tcMar>
          </w:tcPr>
          <w:p>
            <w:pPr>
              <w:spacing w:before="26" w:after="26"/>
            </w:pPr>
            <w:r>
              <w:rPr>
                <w:color w:val="232733"/>
                <w:sz w:val="16"/>
                <w:szCs w:val="16"/>
              </w:rPr>
              <w:t xml:space="preserve">INVENT THE RULE</w:t>
            </w:r>
          </w:p>
        </w:tc>
        <w:tc>
          <w:tcPr>
            <w:tcW w:type="pct" w:w="2600"/>
            <w:tcMar>
              <w:top w:type="dxa" w:w="50"/>
              <w:left w:type="dxa" w:w="110"/>
              <w:bottom w:type="dxa" w:w="50"/>
              <w:right w:type="dxa" w:w="110"/>
            </w:tcMar>
          </w:tcPr>
          <w:p>
            <w:pPr>
              <w:spacing w:before="26" w:after="26"/>
            </w:pPr>
            <w:r>
              <w:rPr>
                <w:color w:val="232733"/>
                <w:sz w:val="16"/>
                <w:szCs w:val="16"/>
              </w:rPr>
              <w:t xml:space="preserve">write the rule yourself, then compare with the book</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APPLY</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no help on this move</w:t>
            </w:r>
          </w:p>
        </w:tc>
      </w:tr>
      <w:tr>
        <w:tc>
          <w:tcPr>
            <w:tcW w:type="pct" w:w="2400"/>
            <w:tcMar>
              <w:top w:type="dxa" w:w="50"/>
              <w:left w:type="dxa" w:w="110"/>
              <w:bottom w:type="dxa" w:w="50"/>
              <w:right w:type="dxa" w:w="110"/>
            </w:tcMar>
          </w:tcPr>
          <w:p>
            <w:pPr>
              <w:spacing w:before="26" w:after="26"/>
            </w:pPr>
            <w:r>
              <w:rPr>
                <w:color w:val="232733"/>
                <w:sz w:val="16"/>
                <w:szCs w:val="16"/>
              </w:rPr>
              <w:t xml:space="preserve">CHECKPOINT</w:t>
            </w:r>
          </w:p>
        </w:tc>
        <w:tc>
          <w:tcPr>
            <w:tcW w:type="pct" w:w="2600"/>
            <w:tcMar>
              <w:top w:type="dxa" w:w="50"/>
              <w:left w:type="dxa" w:w="110"/>
              <w:bottom w:type="dxa" w:w="50"/>
              <w:right w:type="dxa" w:w="110"/>
            </w:tcMar>
          </w:tcPr>
          <w:p>
            <w:pPr>
              <w:spacing w:before="26" w:after="26"/>
            </w:pPr>
            <w:r>
              <w:rPr>
                <w:color w:val="232733"/>
                <w:sz w:val="16"/>
                <w:szCs w:val="16"/>
              </w:rPr>
              <w:t xml:space="preserve">mark it yourself; if you miss it, the sheet says what to redo</w:t>
            </w:r>
          </w:p>
        </w:tc>
      </w:tr>
    </w:tbl>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(vi) Impairment</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Every number in a financial statement belongs to an element the framework defines.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41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5734050" cy="4157175"/>
                    </a:xfrm>
                    <a:prstGeom prst="rect">
                      <a:avLst/>
                    </a:prstGeom>
                  </pic:spPr>
                </pic:pic>
              </a:graphicData>
            </a:graphic>
          </wp:inline>
        </w:drawing>
      </w:r>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Suppose: Levant Distribution LLC, 2027 (USD 000) — the book’s own table</w:t>
            </w:r>
          </w:p>
        </w:tc>
      </w:tr>
      <w:tr>
        <w:tc>
          <w:tcPr>
            <w:tcW w:type="pct" w:w="2400"/>
            <w:tcMar>
              <w:top w:type="dxa" w:w="50"/>
              <w:left w:type="dxa" w:w="110"/>
              <w:bottom w:type="dxa" w:w="50"/>
              <w:right w:type="dxa" w:w="110"/>
            </w:tcMar>
          </w:tcPr>
          <w:p>
            <w:pPr>
              <w:spacing w:before="26" w:after="26"/>
            </w:pPr>
            <w:r>
              <w:rPr>
                <w:b/>
                <w:bCs/>
                <w:color w:val="353A7C"/>
                <w:sz w:val="15"/>
                <w:szCs w:val="15"/>
              </w:rPr>
              <w:t xml:space="preserve">Suppose: Levant Distribution LLC, 2027 (USD 000)</w:t>
            </w:r>
          </w:p>
        </w:tc>
        <w:tc>
          <w:tcPr>
            <w:tcW w:type="pct" w:w="2600"/>
            <w:tcMar>
              <w:top w:type="dxa" w:w="50"/>
              <w:left w:type="dxa" w:w="110"/>
              <w:bottom w:type="dxa" w:w="50"/>
              <w:right w:type="dxa" w:w="110"/>
            </w:tcMar>
          </w:tcPr>
          <w:p>
            <w:pPr>
              <w:spacing w:before="26" w:after="26"/>
            </w:pPr>
            <w:r>
              <w:rPr>
                <w:b/>
                <w:bCs/>
                <w:color w:val="353A7C"/>
                <w:sz w:val="15"/>
                <w:szCs w:val="15"/>
              </w:rPr>
              <w:t xml:space="preserve">Amount / details</w:t>
            </w:r>
          </w:p>
        </w:tc>
      </w:tr>
      <w:tr>
        <w:tc>
          <w:tcPr>
            <w:tcW w:type="pct" w:w="2400"/>
            <w:tcMar>
              <w:top w:type="dxa" w:w="50"/>
              <w:left w:type="dxa" w:w="110"/>
              <w:bottom w:type="dxa" w:w="50"/>
              <w:right w:type="dxa" w:w="110"/>
            </w:tcMar>
          </w:tcPr>
          <w:p>
            <w:pPr>
              <w:spacing w:before="26" w:after="26"/>
            </w:pPr>
            <w:r>
              <w:rPr>
                <w:color w:val="232733"/>
                <w:sz w:val="16"/>
                <w:szCs w:val="16"/>
              </w:rPr>
              <w:t xml:space="preserve">Levant's 2027 net income under IFRS (local books)</w:t>
            </w:r>
          </w:p>
        </w:tc>
        <w:tc>
          <w:tcPr>
            <w:tcW w:type="pct" w:w="2600"/>
            <w:tcMar>
              <w:top w:type="dxa" w:w="50"/>
              <w:left w:type="dxa" w:w="110"/>
              <w:bottom w:type="dxa" w:w="50"/>
              <w:right w:type="dxa" w:w="110"/>
            </w:tcMar>
          </w:tcPr>
          <w:p>
            <w:pPr>
              <w:spacing w:before="26" w:after="26"/>
            </w:pPr>
            <w:r>
              <w:rPr>
                <w:color w:val="232733"/>
                <w:sz w:val="16"/>
                <w:szCs w:val="16"/>
              </w:rPr>
              <w:t xml:space="preserve">1,114</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L1</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Development costs of a new ordering app capitalized in 2027 under IAS 38: 240. None is amortized yet.</w:t>
            </w:r>
          </w:p>
        </w:tc>
      </w:tr>
      <w:tr>
        <w:tc>
          <w:tcPr>
            <w:tcW w:type="pct" w:w="2400"/>
            <w:tcMar>
              <w:top w:type="dxa" w:w="50"/>
              <w:left w:type="dxa" w:w="110"/>
              <w:bottom w:type="dxa" w:w="50"/>
              <w:right w:type="dxa" w:w="110"/>
            </w:tcMar>
          </w:tcPr>
          <w:p>
            <w:pPr>
              <w:spacing w:before="26" w:after="26"/>
            </w:pPr>
            <w:r>
              <w:rPr>
                <w:color w:val="232733"/>
                <w:sz w:val="16"/>
                <w:szCs w:val="16"/>
              </w:rPr>
              <w:t xml:space="preserve">L2</w:t>
            </w:r>
          </w:p>
        </w:tc>
        <w:tc>
          <w:tcPr>
            <w:tcW w:type="pct" w:w="2600"/>
            <w:tcMar>
              <w:top w:type="dxa" w:w="50"/>
              <w:left w:type="dxa" w:w="110"/>
              <w:bottom w:type="dxa" w:w="50"/>
              <w:right w:type="dxa" w:w="110"/>
            </w:tcMar>
          </w:tcPr>
          <w:p>
            <w:pPr>
              <w:spacing w:before="26" w:after="26"/>
            </w:pPr>
            <w:r>
              <w:rPr>
                <w:color w:val="232733"/>
                <w:sz w:val="16"/>
                <w:szCs w:val="16"/>
              </w:rPr>
              <w:t xml:space="preserve">A 2026 inventory write-down was reversed in 2027 under IAS 2: gain of 30.</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L3</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Warehouse land revalued upward by 400; the surplus is in OCI.</w:t>
            </w:r>
          </w:p>
        </w:tc>
      </w:tr>
      <w:tr>
        <w:tc>
          <w:tcPr>
            <w:tcW w:type="pct" w:w="2400"/>
            <w:tcMar>
              <w:top w:type="dxa" w:w="50"/>
              <w:left w:type="dxa" w:w="110"/>
              <w:bottom w:type="dxa" w:w="50"/>
              <w:right w:type="dxa" w:w="110"/>
            </w:tcMar>
          </w:tcPr>
          <w:p>
            <w:pPr>
              <w:spacing w:before="26" w:after="26"/>
            </w:pPr>
            <w:r>
              <w:rPr>
                <w:color w:val="232733"/>
                <w:sz w:val="16"/>
                <w:szCs w:val="16"/>
              </w:rPr>
              <w:t xml:space="preserve">L4</w:t>
            </w:r>
          </w:p>
        </w:tc>
        <w:tc>
          <w:tcPr>
            <w:tcW w:type="pct" w:w="2600"/>
            <w:tcMar>
              <w:top w:type="dxa" w:w="50"/>
              <w:left w:type="dxa" w:w="110"/>
              <w:bottom w:type="dxa" w:w="50"/>
              <w:right w:type="dxa" w:w="110"/>
            </w:tcMar>
          </w:tcPr>
          <w:p>
            <w:pPr>
              <w:spacing w:before="26" w:after="26"/>
            </w:pPr>
            <w:r>
              <w:rPr>
                <w:color w:val="232733"/>
                <w:sz w:val="16"/>
                <w:szCs w:val="16"/>
              </w:rPr>
              <w:t xml:space="preserve">Delivery fleet: IAS 36 impairment loss of 50; carrying amount now 450. Undiscounted cash flows are higher than the carrying amount before th</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L5</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Truck lease: IFRS 16 expense 78; as a U.S. operating lease, the straight-line cost would be 72.</w:t>
            </w:r>
          </w:p>
        </w:tc>
      </w:tr>
      <w:tr>
        <w:tc>
          <w:tcPr>
            <w:tcW w:type="pct" w:w="2400"/>
            <w:tcMar>
              <w:top w:type="dxa" w:w="50"/>
              <w:left w:type="dxa" w:w="110"/>
              <w:bottom w:type="dxa" w:w="50"/>
              <w:right w:type="dxa" w:w="110"/>
            </w:tcMar>
          </w:tcPr>
          <w:p>
            <w:pPr>
              <w:spacing w:before="26" w:after="26"/>
            </w:pPr>
            <w:r>
              <w:rPr>
                <w:color w:val="232733"/>
                <w:sz w:val="16"/>
                <w:szCs w:val="16"/>
              </w:rPr>
              <w:t xml:space="preserve">M1</w:t>
            </w:r>
          </w:p>
        </w:tc>
        <w:tc>
          <w:tcPr>
            <w:tcW w:type="pct" w:w="2600"/>
            <w:tcMar>
              <w:top w:type="dxa" w:w="50"/>
              <w:left w:type="dxa" w:w="110"/>
              <w:bottom w:type="dxa" w:w="50"/>
              <w:right w:type="dxa" w:w="110"/>
            </w:tcMar>
          </w:tcPr>
          <w:p>
            <w:pPr>
              <w:spacing w:before="26" w:after="26"/>
            </w:pPr>
            <w:r>
              <w:rPr>
                <w:color w:val="232733"/>
                <w:sz w:val="16"/>
                <w:szCs w:val="16"/>
              </w:rPr>
              <w:t xml:space="preserve">Orontes must convert Levant's figures to U.S. GAAP before consolidation (Chapter 16). Ignore tax effects.</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part of this chapter is section 17.2?</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(ii) Intangible assets</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(iii) Inventories</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(v) Long-lived assets</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(iv) Leases: the lessee</w:t>
            </w:r>
          </w:p>
        </w:tc>
      </w:tr>
    </w:tbl>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6.  </w:t>
      </w:r>
      <w:r>
        <w:rPr>
          <w:sz w:val="19"/>
          <w:szCs w:val="19"/>
        </w:rPr>
        <w:t xml:space="preserve">You have just written the rule this cycle settles. What decides whether your wording is right?</w:t>
      </w:r>
    </w:p>
    <w:p>
      <w:pPr>
        <w:spacing w:after="18"/>
        <w:ind w:left="560" w:hanging="260"/>
      </w:pPr>
      <w:r>
        <w:rPr>
          <w:b/>
          <w:bCs/>
          <w:color w:val="8186EF"/>
          <w:sz w:val="18"/>
          <w:szCs w:val="18"/>
        </w:rPr>
        <w:t xml:space="preserve">A. </w:t>
      </w:r>
      <w:r>
        <w:rPr>
          <w:sz w:val="18"/>
          <w:szCs w:val="18"/>
        </w:rPr>
        <w:t xml:space="preserve">the model printed earlier in this cycle</w:t>
      </w:r>
    </w:p>
    <w:p>
      <w:pPr>
        <w:spacing w:after="18"/>
        <w:ind w:left="560" w:hanging="260"/>
      </w:pPr>
      <w:r>
        <w:rPr>
          <w:b/>
          <w:bCs/>
          <w:color w:val="8186EF"/>
          <w:sz w:val="18"/>
          <w:szCs w:val="18"/>
        </w:rPr>
        <w:t xml:space="preserve">B. </w:t>
      </w:r>
      <w:r>
        <w:rPr>
          <w:sz w:val="18"/>
          <w:szCs w:val="18"/>
        </w:rPr>
        <w:t xml:space="preserve">how confident you felt writing it</w:t>
      </w:r>
    </w:p>
    <w:p>
      <w:pPr>
        <w:spacing w:after="18"/>
        <w:ind w:left="560" w:hanging="260"/>
      </w:pPr>
      <w:r>
        <w:rPr>
          <w:b/>
          <w:bCs/>
          <w:color w:val="8186EF"/>
          <w:sz w:val="18"/>
          <w:szCs w:val="18"/>
        </w:rPr>
        <w:t xml:space="preserve">C. </w:t>
      </w:r>
      <w:r>
        <w:rPr>
          <w:sz w:val="18"/>
          <w:szCs w:val="18"/>
        </w:rPr>
        <w:t xml:space="preserve">the length of the sentence you wrote</w:t>
      </w:r>
    </w:p>
    <w:p>
      <w:pPr>
        <w:spacing w:after="18"/>
        <w:ind w:left="560" w:hanging="260"/>
      </w:pPr>
      <w:r>
        <w:rPr>
          <w:b/>
          <w:bCs/>
          <w:color w:val="8186EF"/>
          <w:sz w:val="18"/>
          <w:szCs w:val="18"/>
        </w:rPr>
        <w:t xml:space="preserve">D. </w:t>
      </w:r>
      <w:r>
        <w:rPr>
          <w:sz w:val="18"/>
          <w:szCs w:val="18"/>
        </w:rPr>
        <w:t xml:space="preserve">whichever wording your partner used</w:t>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7.  </w:t>
            </w:r>
            <w:r>
              <w:rPr>
                <w:sz w:val="19"/>
                <w:szCs w:val="19"/>
              </w:rPr>
              <w:t xml:space="preserve">Which of these did this cycle settle?</w:t>
            </w:r>
          </w:p>
          <w:p>
            <w:pPr>
              <w:spacing w:after="16"/>
              <w:ind w:left="500" w:hanging="200"/>
            </w:pPr>
            <w:r>
              <w:rPr>
                <w:b/>
                <w:bCs/>
                <w:color w:val="8186EF"/>
                <w:sz w:val="18"/>
                <w:szCs w:val="18"/>
              </w:rPr>
              <w:t xml:space="preserve">A. </w:t>
            </w:r>
            <w:r>
              <w:rPr>
                <w:sz w:val="18"/>
                <w:szCs w:val="18"/>
              </w:rPr>
              <w:t xml:space="preserve">the rule and where it comes from</w:t>
            </w:r>
          </w:p>
          <w:p>
            <w:pPr>
              <w:spacing w:after="16"/>
              <w:ind w:left="500" w:hanging="200"/>
            </w:pPr>
            <w:r>
              <w:rPr>
                <w:b/>
                <w:bCs/>
                <w:color w:val="8186EF"/>
                <w:sz w:val="18"/>
                <w:szCs w:val="18"/>
              </w:rPr>
              <w:t xml:space="preserve">B. </w:t>
            </w:r>
            <w:r>
              <w:rPr>
                <w:sz w:val="18"/>
                <w:szCs w:val="18"/>
              </w:rPr>
              <w:t xml:space="preserve">nothing in particular</w:t>
            </w:r>
          </w:p>
          <w:p>
            <w:pPr>
              <w:spacing w:after="16"/>
              <w:ind w:left="500" w:hanging="200"/>
            </w:pPr>
            <w:r>
              <w:rPr>
                <w:b/>
                <w:bCs/>
                <w:color w:val="8186EF"/>
                <w:sz w:val="18"/>
                <w:szCs w:val="18"/>
              </w:rPr>
              <w:t xml:space="preserve">C. </w:t>
            </w:r>
            <w:r>
              <w:rPr>
                <w:sz w:val="18"/>
                <w:szCs w:val="18"/>
              </w:rPr>
              <w:t xml:space="preserve">only the vocabulary</w:t>
            </w:r>
          </w:p>
          <w:p>
            <w:pPr>
              <w:spacing w:after="16"/>
              <w:ind w:left="500" w:hanging="200"/>
            </w:pPr>
            <w:r>
              <w:rPr>
                <w:b/>
                <w:bCs/>
                <w:color w:val="8186EF"/>
                <w:sz w:val="18"/>
                <w:szCs w:val="18"/>
              </w:rPr>
              <w:t xml:space="preserve">D. </w:t>
            </w:r>
            <w:r>
              <w:rPr>
                <w:sz w:val="18"/>
                <w:szCs w:val="18"/>
              </w:rPr>
              <w:t xml:space="preserve">only the arithmetic</w:t>
            </w:r>
          </w:p>
          <w:p>
            <w:pPr>
              <w:spacing w:before="20" w:after="50"/>
            </w:pPr>
            <w:r>
              <w:rPr>
                <w:color w:val="C0483F"/>
                <w:sz w:val="17"/>
                <w:szCs w:val="17"/>
              </w:rPr>
              <w:t xml:space="preserve">If you got it wrong: redo the READ THE MODEL questions of cycle A.</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8.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190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5734050" cy="1908825"/>
                    </a:xfrm>
                    <a:prstGeom prst="rect">
                      <a:avLst/>
                    </a:prstGeom>
                  </pic:spPr>
                </pic:pic>
              </a:graphicData>
            </a:graphic>
          </wp:inline>
        </w:drawing>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Statement — the book’s own table</w:t>
            </w:r>
          </w:p>
        </w:tc>
      </w:tr>
      <w:tr>
        <w:tc>
          <w:tcPr>
            <w:tcW w:type="pct" w:w="2600"/>
            <w:tcMar>
              <w:top w:type="dxa" w:w="50"/>
              <w:left w:type="dxa" w:w="110"/>
              <w:bottom w:type="dxa" w:w="50"/>
              <w:right w:type="dxa" w:w="110"/>
            </w:tcMar>
          </w:tcPr>
          <w:p>
            <w:pPr>
              <w:spacing w:before="26" w:after="26"/>
            </w:pPr>
            <w:r>
              <w:rPr>
                <w:b/>
                <w:bCs/>
                <w:color w:val="353A7C"/>
                <w:sz w:val="15"/>
                <w:szCs w:val="15"/>
              </w:rPr>
              <w:t xml:space="preserve">Statement</w:t>
            </w:r>
          </w:p>
        </w:tc>
        <w:tc>
          <w:tcPr>
            <w:tcW w:type="pct" w:w="2400"/>
            <w:tcMar>
              <w:top w:type="dxa" w:w="50"/>
              <w:left w:type="dxa" w:w="110"/>
              <w:bottom w:type="dxa" w:w="50"/>
              <w:right w:type="dxa" w:w="110"/>
            </w:tcMar>
          </w:tcPr>
          <w:p>
            <w:pPr>
              <w:spacing w:before="26" w:after="26"/>
            </w:pPr>
            <w:r>
              <w:rPr>
                <w:b/>
                <w:bCs/>
                <w:color w:val="353A7C"/>
                <w:sz w:val="15"/>
                <w:szCs w:val="15"/>
              </w:rPr>
              <w:t xml:space="preserve">U.S. GAAP only, IFRS only, or both?</w:t>
            </w:r>
          </w:p>
        </w:tc>
      </w:tr>
      <w:tr>
        <w:tc>
          <w:tcPr>
            <w:tcW w:type="pct" w:w="2600"/>
            <w:tcMar>
              <w:top w:type="dxa" w:w="50"/>
              <w:left w:type="dxa" w:w="110"/>
              <w:bottom w:type="dxa" w:w="50"/>
              <w:right w:type="dxa" w:w="110"/>
            </w:tcMar>
          </w:tcPr>
          <w:p>
            <w:pPr>
              <w:spacing w:before="26" w:after="26"/>
            </w:pPr>
            <w:r>
              <w:rPr>
                <w:color w:val="232733"/>
                <w:sz w:val="16"/>
                <w:szCs w:val="16"/>
              </w:rPr>
              <w:t xml:space="preserve">LIFO is permitted</w:t>
            </w:r>
          </w:p>
        </w:tc>
        <w:tc>
          <w:tcPr>
            <w:tcW w:type="pct" w:w="2400"/>
            <w:tcMar>
              <w:top w:type="dxa" w:w="50"/>
              <w:left w:type="dxa" w:w="110"/>
              <w:bottom w:type="dxa" w:w="50"/>
              <w:right w:type="dxa" w:w="110"/>
            </w:tcMar>
          </w:tcPr>
          <w:p>
            <w:pPr>
              <w:spacing w:before="26" w:after="26"/>
            </w:pPr>
            <w:r>
              <w:rPr>
                <w:color w:val="232733"/>
                <w:sz w:val="16"/>
                <w:szCs w:val="16"/>
              </w:rPr>
              <w:t xml:space="preserve">U.S. GAAP only</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Inventory write-downs are reversed when NRV recovers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IFRS only</w:t>
            </w:r>
          </w:p>
        </w:tc>
      </w:tr>
      <w:tr>
        <w:tc>
          <w:tcPr>
            <w:tcW w:type="pct" w:w="2600"/>
            <w:tcMar>
              <w:top w:type="dxa" w:w="50"/>
              <w:left w:type="dxa" w:w="110"/>
              <w:bottom w:type="dxa" w:w="50"/>
              <w:right w:type="dxa" w:w="110"/>
            </w:tcMar>
          </w:tcPr>
          <w:p>
            <w:pPr>
              <w:spacing w:before="26" w:after="26"/>
            </w:pPr>
            <w:r>
              <w:rPr>
                <w:color w:val="232733"/>
                <w:sz w:val="16"/>
                <w:szCs w:val="16"/>
              </w:rPr>
              <w:t xml:space="preserve">Development costs are capitalized when criteria are met</w:t>
            </w:r>
          </w:p>
        </w:tc>
        <w:tc>
          <w:tcPr>
            <w:tcW w:type="pct" w:w="2400"/>
            <w:tcMar>
              <w:top w:type="dxa" w:w="50"/>
              <w:left w:type="dxa" w:w="110"/>
              <w:bottom w:type="dxa" w:w="50"/>
              <w:right w:type="dxa" w:w="110"/>
            </w:tcMar>
          </w:tcPr>
          <w:p>
            <w:pPr>
              <w:spacing w:before="26" w:after="26"/>
            </w:pPr>
            <w:r>
              <w:rPr>
                <w:color w:val="232733"/>
                <w:sz w:val="16"/>
                <w:szCs w:val="16"/>
              </w:rPr>
              <w:t xml:space="preserve">________</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Impairment is tested first with undiscounted cash flows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________</w:t>
            </w:r>
          </w:p>
        </w:tc>
      </w:tr>
      <w:tr>
        <w:tc>
          <w:tcPr>
            <w:tcW w:type="pct" w:w="2600"/>
            <w:tcMar>
              <w:top w:type="dxa" w:w="50"/>
              <w:left w:type="dxa" w:w="110"/>
              <w:bottom w:type="dxa" w:w="50"/>
              <w:right w:type="dxa" w:w="110"/>
            </w:tcMar>
          </w:tcPr>
          <w:p>
            <w:pPr>
              <w:spacing w:before="26" w:after="26"/>
            </w:pPr>
            <w:r>
              <w:rPr>
                <w:color w:val="232733"/>
                <w:sz w:val="16"/>
                <w:szCs w:val="16"/>
              </w:rPr>
              <w:t xml:space="preserve">A short-term lease exemption exists</w:t>
            </w:r>
          </w:p>
        </w:tc>
        <w:tc>
          <w:tcPr>
            <w:tcW w:type="pct" w:w="2400"/>
            <w:tcMar>
              <w:top w:type="dxa" w:w="50"/>
              <w:left w:type="dxa" w:w="110"/>
              <w:bottom w:type="dxa" w:w="50"/>
              <w:right w:type="dxa" w:w="110"/>
            </w:tcMar>
          </w:tcPr>
          <w:p>
            <w:pPr>
              <w:spacing w:before="26" w:after="26"/>
            </w:pPr>
            <w:r>
              <w:rPr>
                <w:color w:val="232733"/>
                <w:sz w:val="16"/>
                <w:szCs w:val="16"/>
              </w:rPr>
              <w:t xml:space="preserve">________</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Prior service cost is expensed immediately</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________</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824"/>
        <w:gridCol w:w="4776"/>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512"/>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88"/>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512"/>
            <w:tcMar>
              <w:top w:type="dxa" w:w="50"/>
              <w:left w:type="dxa" w:w="110"/>
              <w:bottom w:type="dxa" w:w="50"/>
              <w:right w:type="dxa" w:w="110"/>
            </w:tcMar>
          </w:tcPr>
          <w:p>
            <w:pPr>
              <w:spacing w:before="26" w:after="26"/>
            </w:pPr>
            <w:r>
              <w:rPr>
                <w:color w:val="232733"/>
                <w:sz w:val="16"/>
                <w:szCs w:val="16"/>
              </w:rPr>
              <w:t xml:space="preserve">cash-generating unit</w:t>
            </w:r>
          </w:p>
        </w:tc>
        <w:tc>
          <w:tcPr>
            <w:tcW w:type="pct" w:w="2488"/>
            <w:tcMar>
              <w:top w:type="dxa" w:w="50"/>
              <w:left w:type="dxa" w:w="110"/>
              <w:bottom w:type="dxa" w:w="50"/>
              <w:right w:type="dxa" w:w="110"/>
            </w:tcMar>
          </w:tcPr>
          <w:p>
            <w:pPr>
              <w:spacing w:before="26" w:after="26"/>
            </w:pPr>
            <w:r>
              <w:rPr>
                <w:color w:val="232733"/>
                <w:sz w:val="16"/>
                <w:szCs w:val="16"/>
              </w:rPr>
              <w:t xml:space="preserve">وحدة توليد النقد</w:t>
            </w:r>
          </w:p>
        </w:tc>
      </w:tr>
      <w:tr>
        <w:tc>
          <w:tcPr>
            <w:tcW w:type="pct" w:w="2512"/>
            <w:shd w:fill="FBFAF6" w:val="clear"/>
            <w:tcMar>
              <w:top w:type="dxa" w:w="50"/>
              <w:left w:type="dxa" w:w="110"/>
              <w:bottom w:type="dxa" w:w="50"/>
              <w:right w:type="dxa" w:w="110"/>
            </w:tcMar>
          </w:tcPr>
          <w:p>
            <w:pPr>
              <w:spacing w:before="26" w:after="26"/>
            </w:pPr>
            <w:r>
              <w:rPr>
                <w:color w:val="232733"/>
                <w:sz w:val="16"/>
                <w:szCs w:val="16"/>
              </w:rPr>
              <w:t xml:space="preserve">net realizable value (NRV)</w:t>
            </w:r>
          </w:p>
        </w:tc>
        <w:tc>
          <w:tcPr>
            <w:tcW w:type="pct" w:w="2488"/>
            <w:shd w:fill="FBFAF6" w:val="clear"/>
            <w:tcMar>
              <w:top w:type="dxa" w:w="50"/>
              <w:left w:type="dxa" w:w="110"/>
              <w:bottom w:type="dxa" w:w="50"/>
              <w:right w:type="dxa" w:w="110"/>
            </w:tcMar>
          </w:tcPr>
          <w:p>
            <w:pPr>
              <w:spacing w:before="26" w:after="26"/>
            </w:pPr>
            <w:r>
              <w:rPr>
                <w:color w:val="232733"/>
                <w:sz w:val="16"/>
                <w:szCs w:val="16"/>
              </w:rPr>
              <w:t xml:space="preserve">صافي القيمة القابلة للتحقق</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9.  </w:t>
      </w:r>
      <w:r>
        <w:rPr>
          <w:sz w:val="19"/>
          <w:szCs w:val="19"/>
        </w:rPr>
        <w:t xml:space="preserve">Which statement does the book pair with “U.S. GAAP only”?</w:t>
      </w:r>
    </w:p>
    <w:p>
      <w:pPr>
        <w:spacing w:after="18"/>
        <w:ind w:left="560" w:hanging="260"/>
      </w:pPr>
      <w:r>
        <w:rPr>
          <w:b/>
          <w:bCs/>
          <w:color w:val="8186EF"/>
          <w:sz w:val="18"/>
          <w:szCs w:val="18"/>
        </w:rPr>
        <w:t xml:space="preserve">A. </w:t>
      </w:r>
      <w:r>
        <w:rPr>
          <w:sz w:val="18"/>
          <w:szCs w:val="18"/>
        </w:rPr>
        <w:t xml:space="preserve">Impairment is tested first with undiscounted cash flows</w:t>
      </w:r>
    </w:p>
    <w:p>
      <w:pPr>
        <w:spacing w:after="18"/>
        <w:ind w:left="560" w:hanging="260"/>
      </w:pPr>
      <w:r>
        <w:rPr>
          <w:b/>
          <w:bCs/>
          <w:color w:val="8186EF"/>
          <w:sz w:val="18"/>
          <w:szCs w:val="18"/>
        </w:rPr>
        <w:t xml:space="preserve">B. </w:t>
      </w:r>
      <w:r>
        <w:rPr>
          <w:sz w:val="18"/>
          <w:szCs w:val="18"/>
        </w:rPr>
        <w:t xml:space="preserve">Inventory write-downs are reversed when NRV recovers</w:t>
      </w:r>
    </w:p>
    <w:p>
      <w:pPr>
        <w:spacing w:after="18"/>
        <w:ind w:left="560" w:hanging="260"/>
      </w:pPr>
      <w:r>
        <w:rPr>
          <w:b/>
          <w:bCs/>
          <w:color w:val="8186EF"/>
          <w:sz w:val="18"/>
          <w:szCs w:val="18"/>
        </w:rPr>
        <w:t xml:space="preserve">C. </w:t>
      </w:r>
      <w:r>
        <w:rPr>
          <w:sz w:val="18"/>
          <w:szCs w:val="18"/>
        </w:rPr>
        <w:t xml:space="preserve">A short-term lease exemption exists</w:t>
      </w:r>
    </w:p>
    <w:p>
      <w:pPr>
        <w:spacing w:after="18"/>
        <w:ind w:left="560" w:hanging="260"/>
      </w:pPr>
      <w:r>
        <w:rPr>
          <w:b/>
          <w:bCs/>
          <w:color w:val="8186EF"/>
          <w:sz w:val="18"/>
          <w:szCs w:val="18"/>
        </w:rPr>
        <w:t xml:space="preserve">D. </w:t>
      </w:r>
      <w:r>
        <w:rPr>
          <w:sz w:val="18"/>
          <w:szCs w:val="18"/>
        </w:rPr>
        <w:t xml:space="preserve">LIFO is permitted</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tbl>
      <w:tblPr>
        <w:tblW w:type="pct" w:w="100%"/>
        <w:tblLayout w:type="fixed"/>
      </w:tblPr>
      <w:tblGrid>
        <w:gridCol w:w="1632"/>
        <w:gridCol w:w="7968"/>
      </w:tblGrid>
      <w:tr>
        <w:tc>
          <w:tcPr>
            <w:tcW w:type="pct" w:w="850"/>
            <w:shd w:fill="2B6CB0" w:val="clear"/>
            <w:tcMar>
              <w:top w:type="dxa" w:w="30"/>
              <w:left w:type="dxa" w:w="90"/>
              <w:bottom w:type="dxa" w:w="30"/>
              <w:right w:type="dxa" w:w="90"/>
            </w:tcMar>
          </w:tcPr>
          <w:p>
            <w:pPr>
              <w:spacing w:before="20" w:after="20"/>
            </w:pPr>
            <w:r>
              <w:rPr>
                <w:b/>
                <w:bCs/>
                <w:color w:val="FFFFFF"/>
                <w:sz w:val="15"/>
                <w:szCs w:val="15"/>
              </w:rPr>
              <w:t xml:space="preserve">  SORT THEM  </w:t>
            </w:r>
          </w:p>
        </w:tc>
        <w:tc>
          <w:tcPr>
            <w:tcW w:type="pct" w:w="4150"/>
            <w:tcMar>
              <w:top w:type="dxa" w:w="50"/>
              <w:left w:type="dxa" w:w="110"/>
              <w:bottom w:type="dxa" w:w="50"/>
              <w:right w:type="dxa" w:w="110"/>
            </w:tcMar>
          </w:tcPr>
          <w:p>
            <w:pPr>
              <w:spacing w:before="20" w:after="20"/>
            </w:pPr>
            <w:r>
              <w:rPr>
                <w:color w:val="2B6CB0"/>
                <w:sz w:val="18"/>
                <w:szCs w:val="18"/>
              </w:rPr>
              <w:t xml:space="preserve">Write each one under the heading it belongs to. Every item belongs to exactly one group.</w:t>
            </w:r>
          </w:p>
        </w:tc>
      </w:tr>
    </w:tbl>
    <w:p>
      <w:pPr>
        <w:spacing w:before="20" w:after="40"/>
      </w:pPr>
      <w:r>
        <w:rPr>
          <w:color w:val="6B7280"/>
          <w:sz w:val="16"/>
          <w:szCs w:val="16"/>
        </w:rPr>
        <w:t xml:space="preserve">the items:  </w:t>
      </w:r>
      <w:r>
        <w:rPr>
          <w:sz w:val="17"/>
          <w:szCs w:val="17"/>
        </w:rPr>
        <w:t xml:space="preserve">LIFO is permitted   ·   Inventory write-downs are reversed when NRV recovers   ·   Development costs are capitalized when criteria are met   ·   Impairment is tested first with undiscounted cash flows   ·   A short-term lease exemption exists   ·   Prior service cost is expensed immediately</w:t>
      </w:r>
    </w:p>
    <w:tbl>
      <w:tblPr>
        <w:tblW w:type="pct" w:w="100%"/>
        <w:tblLayout w:type="fixed"/>
        <w:tblBorders>
          <w:top w:val="single" w:color="2B6CB0" w:sz="6"/>
          <w:left w:val="single" w:color="2B6CB0" w:sz="6"/>
          <w:bottom w:val="single" w:color="2B6CB0" w:sz="6"/>
          <w:right w:val="single" w:color="2B6CB0" w:sz="6"/>
          <w:insideH w:val="single" w:color="2B6CB0" w:sz="6"/>
          <w:insideV w:val="single" w:color="2B6CB0" w:sz="6"/>
        </w:tblBorders>
      </w:tblPr>
      <w:tblGrid>
        <w:gridCol w:w="3200"/>
        <w:gridCol w:w="3200"/>
        <w:gridCol w:w="3200"/>
      </w:tblGrid>
      <w:tr>
        <w:tc>
          <w:tcPr>
            <w:tcW w:type="pct" w:w="1667"/>
            <w:shd w:fill="2B6CB0" w:val="clear"/>
            <w:tcMar>
              <w:top w:type="dxa" w:w="50"/>
              <w:left w:type="dxa" w:w="110"/>
              <w:bottom w:type="dxa" w:w="50"/>
              <w:right w:type="dxa" w:w="110"/>
            </w:tcMar>
          </w:tcPr>
          <w:p>
            <w:pPr>
              <w:spacing w:before="32" w:after="32"/>
            </w:pPr>
            <w:r>
              <w:rPr>
                <w:b/>
                <w:bCs/>
                <w:color w:val="FFFFFF"/>
                <w:sz w:val="15"/>
                <w:szCs w:val="15"/>
              </w:rPr>
              <w:t xml:space="preserve">IFRS only</w:t>
            </w:r>
          </w:p>
        </w:tc>
        <w:tc>
          <w:tcPr>
            <w:tcW w:type="pct" w:w="1667"/>
            <w:shd w:fill="2B6CB0" w:val="clear"/>
            <w:tcMar>
              <w:top w:type="dxa" w:w="50"/>
              <w:left w:type="dxa" w:w="110"/>
              <w:bottom w:type="dxa" w:w="50"/>
              <w:right w:type="dxa" w:w="110"/>
            </w:tcMar>
          </w:tcPr>
          <w:p>
            <w:pPr>
              <w:spacing w:before="32" w:after="32"/>
            </w:pPr>
            <w:r>
              <w:rPr>
                <w:b/>
                <w:bCs/>
                <w:color w:val="FFFFFF"/>
                <w:sz w:val="15"/>
                <w:szCs w:val="15"/>
              </w:rPr>
              <w:t xml:space="preserve">U.S. GAAP only</w:t>
            </w:r>
          </w:p>
        </w:tc>
        <w:tc>
          <w:tcPr>
            <w:tcW w:type="pct" w:w="1667"/>
            <w:shd w:fill="2B6CB0" w:val="clear"/>
            <w:tcMar>
              <w:top w:type="dxa" w:w="50"/>
              <w:left w:type="dxa" w:w="110"/>
              <w:bottom w:type="dxa" w:w="50"/>
              <w:right w:type="dxa" w:w="110"/>
            </w:tcMar>
          </w:tcPr>
          <w:p>
            <w:pPr>
              <w:spacing w:before="32" w:after="32"/>
            </w:pPr>
            <w:r>
              <w:rPr>
                <w:b/>
                <w:bCs/>
                <w:color w:val="FFFFFF"/>
                <w:sz w:val="15"/>
                <w:szCs w:val="15"/>
              </w:rPr>
              <w:t xml:space="preserve">________</w:t>
            </w:r>
          </w:p>
        </w:tc>
      </w:tr>
      <w:tr>
        <w:tc>
          <w:tcPr>
            <w:tcW w:type="pct" w:w="1667"/>
            <w:shd w:fill="FFFFFF" w:val="clear"/>
            <w:tcMar>
              <w:top w:type="dxa" w:w="50"/>
              <w:left w:type="dxa" w:w="110"/>
              <w:bottom w:type="dxa" w:w="50"/>
              <w:right w:type="dxa" w:w="110"/>
            </w:tcMar>
          </w:tcPr>
          <w:p>
            <w:pPr>
              <w:spacing w:before="54" w:after="54"/>
            </w:pPr>
            <w:r>
              <w:rPr>
                <w:sz w:val="18"/>
                <w:szCs w:val="18"/>
              </w:rPr>
              <w:t xml:space="preserve"/>
            </w:r>
          </w:p>
          <w:p>
            <w:pPr>
              <w:spacing w:before="54" w:after="54"/>
            </w:pPr>
            <w:r>
              <w:rPr>
                <w:sz w:val="18"/>
                <w:szCs w:val="18"/>
              </w:rPr>
              <w:t xml:space="preserve"/>
            </w:r>
          </w:p>
          <w:p>
            <w:pPr>
              <w:spacing w:before="54" w:after="54"/>
            </w:pPr>
            <w:r>
              <w:rPr>
                <w:sz w:val="18"/>
                <w:szCs w:val="18"/>
              </w:rPr>
              <w:t xml:space="preserve"/>
            </w:r>
          </w:p>
        </w:tc>
        <w:tc>
          <w:tcPr>
            <w:tcW w:type="pct" w:w="1667"/>
            <w:shd w:fill="FFFFFF" w:val="clear"/>
            <w:tcMar>
              <w:top w:type="dxa" w:w="50"/>
              <w:left w:type="dxa" w:w="110"/>
              <w:bottom w:type="dxa" w:w="50"/>
              <w:right w:type="dxa" w:w="110"/>
            </w:tcMar>
          </w:tcPr>
          <w:p>
            <w:pPr>
              <w:spacing w:before="54" w:after="54"/>
            </w:pPr>
            <w:r>
              <w:rPr>
                <w:sz w:val="18"/>
                <w:szCs w:val="18"/>
              </w:rPr>
              <w:t xml:space="preserve"/>
            </w:r>
          </w:p>
          <w:p>
            <w:pPr>
              <w:spacing w:before="54" w:after="54"/>
            </w:pPr>
            <w:r>
              <w:rPr>
                <w:sz w:val="18"/>
                <w:szCs w:val="18"/>
              </w:rPr>
              <w:t xml:space="preserve"/>
            </w:r>
          </w:p>
          <w:p>
            <w:pPr>
              <w:spacing w:before="54" w:after="54"/>
            </w:pPr>
            <w:r>
              <w:rPr>
                <w:sz w:val="18"/>
                <w:szCs w:val="18"/>
              </w:rPr>
              <w:t xml:space="preserve"/>
            </w:r>
          </w:p>
        </w:tc>
        <w:tc>
          <w:tcPr>
            <w:tcW w:type="pct" w:w="1667"/>
            <w:shd w:fill="FFFFFF" w:val="clear"/>
            <w:tcMar>
              <w:top w:type="dxa" w:w="50"/>
              <w:left w:type="dxa" w:w="110"/>
              <w:bottom w:type="dxa" w:w="50"/>
              <w:right w:type="dxa" w:w="110"/>
            </w:tcMar>
          </w:tcPr>
          <w:p>
            <w:pPr>
              <w:spacing w:before="54" w:after="54"/>
            </w:pPr>
            <w:r>
              <w:rPr>
                <w:sz w:val="18"/>
                <w:szCs w:val="18"/>
              </w:rPr>
              <w:t xml:space="preserve"/>
            </w:r>
          </w:p>
          <w:p>
            <w:pPr>
              <w:spacing w:before="54" w:after="54"/>
            </w:pPr>
            <w:r>
              <w:rPr>
                <w:sz w:val="18"/>
                <w:szCs w:val="18"/>
              </w:rPr>
              <w:t xml:space="preserve"/>
            </w:r>
          </w:p>
          <w:p>
            <w:pPr>
              <w:spacing w:before="54" w:after="54"/>
            </w:pPr>
            <w:r>
              <w:rPr>
                <w:sz w:val="18"/>
                <w:szCs w:val="18"/>
              </w:rPr>
              <w:t xml:space="preserve"/>
            </w:r>
          </w:p>
        </w:tc>
      </w:tr>
    </w:tbl>
    <w:p/>
    <w:p>
      <w:pPr>
        <w:pageBreakBefore w:val="true"/>
        <w:spacing w:after="0"/>
      </w:pPr>
      <w:r>
        <w:rPr>
          <w:sz w:val="2"/>
        </w:rPr>
        <w:t xml:space="preserve"> </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13.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14.  </w:t>
      </w:r>
      <w:r>
        <w:rPr>
          <w:sz w:val="19"/>
          <w:szCs w:val="19"/>
        </w:rPr>
        <w:t xml:space="preserve">Rebuild the figure from this handout. Label every part and fill in every box.</w:t>
      </w:r>
    </w:p>
    <w:p>
      <w:pPr>
        <w:spacing w:after="40" w:before="90"/>
        <w:jc w:val="center"/>
      </w:pPr>
      <w:r>
        <w:drawing>
          <wp:inline distT="0" distB="0" distL="0" distR="0">
            <wp:extent cx="5734050" cy="41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734050" cy="4157175"/>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15.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cash-generating unit  ·  net realizable value (NRV)</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6"/>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17.7</w:t>
      </w:r>
    </w:p>
    <w:p>
      <w:pPr>
        <w:spacing w:after="8"/>
      </w:pPr>
      <w:r>
        <w:rPr>
          <w:color w:val="23265A"/>
          <w:sz w:val="22"/>
          <w:szCs w:val="22"/>
        </w:rPr>
        <w:t xml:space="preserve">The whole chapter</w:t>
      </w:r>
    </w:p>
    <w:p>
      <w:pPr>
        <w:spacing w:after="130"/>
      </w:pPr>
      <w:r>
        <w:rPr>
          <w:color w:val="6B7280"/>
          <w:sz w:val="20"/>
          <w:szCs w:val="20"/>
        </w:rPr>
        <w:t xml:space="preserve">every section, shuffled, and the chapter’s own case set</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chapter, in the book’s own words, with words taken out. Read all three first: together they are the whole chapter. Then fill the gaps.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027"/>
        <w:gridCol w:w="3581"/>
        <w:gridCol w:w="4992"/>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535"/>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1865"/>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2600"/>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535"/>
            <w:tcMar>
              <w:top w:type="dxa" w:w="50"/>
              <w:left w:type="dxa" w:w="110"/>
              <w:bottom w:type="dxa" w:w="50"/>
              <w:right w:type="dxa" w:w="110"/>
            </w:tcMar>
          </w:tcPr>
          <w:p>
            <w:pPr>
              <w:spacing w:before="26" w:after="26"/>
            </w:pPr>
            <w:r>
              <w:rPr>
                <w:color w:val="232733"/>
                <w:sz w:val="16"/>
                <w:szCs w:val="16"/>
              </w:rPr>
              <w:t xml:space="preserve">The whole chapter, in order</w:t>
            </w:r>
          </w:p>
        </w:tc>
        <w:tc>
          <w:tcPr>
            <w:tcW w:type="pct" w:w="1865"/>
            <w:tcMar>
              <w:top w:type="dxa" w:w="50"/>
              <w:left w:type="dxa" w:w="110"/>
              <w:bottom w:type="dxa" w:w="50"/>
              <w:right w:type="dxa" w:w="110"/>
            </w:tcMar>
          </w:tcPr>
          <w:p>
            <w:pPr>
              <w:spacing w:before="26" w:after="26"/>
            </w:pPr>
            <w:r>
              <w:rPr>
                <w:color w:val="232733"/>
                <w:sz w:val="16"/>
                <w:szCs w:val="16"/>
              </w:rPr>
              <w:t xml:space="preserve">a figure to read · Topic</w:t>
            </w:r>
          </w:p>
        </w:tc>
        <w:tc>
          <w:tcPr>
            <w:tcW w:type="pct" w:w="2600"/>
            <w:tcMar>
              <w:top w:type="dxa" w:w="50"/>
              <w:left w:type="dxa" w:w="110"/>
              <w:bottom w:type="dxa" w:w="50"/>
              <w:right w:type="dxa" w:w="110"/>
            </w:tcMar>
          </w:tcPr>
          <w:p>
            <w:pPr>
              <w:spacing w:before="26" w:after="26"/>
            </w:pPr>
            <w:r>
              <w:rPr>
                <w:color w:val="232733"/>
                <w:sz w:val="16"/>
                <w:szCs w:val="16"/>
              </w:rPr>
              <w:t xml:space="preserve">The extract for this question is printed with it. How much of Orontes's prior service cost is recognized in 2027 net income under IAS 19 and under U.S. GAAP (whole USD)?</w:t>
            </w:r>
          </w:p>
        </w:tc>
      </w:tr>
      <w:tr>
        <w:tc>
          <w:tcPr>
            <w:tcW w:type="pct" w:w="535"/>
            <w:shd w:fill="FBFAF6" w:val="clear"/>
            <w:tcMar>
              <w:top w:type="dxa" w:w="50"/>
              <w:left w:type="dxa" w:w="110"/>
              <w:bottom w:type="dxa" w:w="50"/>
              <w:right w:type="dxa" w:w="110"/>
            </w:tcMar>
          </w:tcPr>
          <w:p>
            <w:pPr>
              <w:spacing w:before="26" w:after="26"/>
            </w:pPr>
            <w:r>
              <w:rPr>
                <w:color w:val="232733"/>
                <w:sz w:val="16"/>
                <w:szCs w:val="16"/>
              </w:rPr>
              <w:t xml:space="preserve">The chapter’s case set</w:t>
            </w:r>
          </w:p>
        </w:tc>
        <w:tc>
          <w:tcPr>
            <w:tcW w:type="pct" w:w="1865"/>
            <w:shd w:fill="FBFAF6" w:val="clear"/>
            <w:tcMar>
              <w:top w:type="dxa" w:w="50"/>
              <w:left w:type="dxa" w:w="110"/>
              <w:bottom w:type="dxa" w:w="50"/>
              <w:right w:type="dxa" w:w="110"/>
            </w:tcMar>
          </w:tcPr>
          <w:p>
            <w:pPr>
              <w:spacing w:before="26" w:after="26"/>
            </w:pPr>
            <w:r>
              <w:rPr>
                <w:color w:val="232733"/>
                <w:sz w:val="16"/>
                <w:szCs w:val="16"/>
              </w:rPr>
              <w:t xml:space="preserve">The chapter’s case set, item by item · Topic</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What has to be settled before any figure in a case set is worked out?</w:t>
            </w:r>
          </w:p>
        </w:tc>
      </w:tr>
      <w:tr>
        <w:tc>
          <w:tcPr>
            <w:tcW w:type="pct" w:w="535"/>
            <w:tcMar>
              <w:top w:type="dxa" w:w="50"/>
              <w:left w:type="dxa" w:w="110"/>
              <w:bottom w:type="dxa" w:w="50"/>
              <w:right w:type="dxa" w:w="110"/>
            </w:tcMar>
          </w:tcPr>
          <w:p>
            <w:pPr>
              <w:spacing w:before="26" w:after="26"/>
            </w:pPr>
            <w:r>
              <w:rPr>
                <w:color w:val="232733"/>
                <w:sz w:val="16"/>
                <w:szCs w:val="16"/>
              </w:rPr>
              <w:t xml:space="preserve">The words it uses precisely</w:t>
            </w:r>
          </w:p>
        </w:tc>
        <w:tc>
          <w:tcPr>
            <w:tcW w:type="pct" w:w="1865"/>
            <w:tcMar>
              <w:top w:type="dxa" w:w="50"/>
              <w:left w:type="dxa" w:w="110"/>
              <w:bottom w:type="dxa" w:w="50"/>
              <w:right w:type="dxa" w:w="110"/>
            </w:tcMar>
          </w:tcPr>
          <w:p>
            <w:pPr>
              <w:spacing w:before="26" w:after="26"/>
            </w:pPr>
            <w:r>
              <w:rPr>
                <w:color w:val="232733"/>
                <w:sz w:val="16"/>
                <w:szCs w:val="16"/>
              </w:rPr>
              <w:t xml:space="preserve">revaluation model · revaluation surplus · development costs · value in use · recoverable amount · cash-generating unit</w:t>
            </w:r>
          </w:p>
        </w:tc>
        <w:tc>
          <w:tcPr>
            <w:tcW w:type="pct" w:w="2600"/>
            <w:tcMar>
              <w:top w:type="dxa" w:w="50"/>
              <w:left w:type="dxa" w:w="110"/>
              <w:bottom w:type="dxa" w:w="50"/>
              <w:right w:type="dxa" w:w="110"/>
            </w:tcMar>
          </w:tcPr>
          <w:p>
            <w:pPr>
              <w:spacing w:before="26" w:after="26"/>
            </w:pPr>
            <w:r>
              <w:rPr>
                <w:color w:val="232733"/>
                <w:sz w:val="16"/>
                <w:szCs w:val="16"/>
              </w:rPr>
              <w:t xml:space="preserve">matching, at the end of cycle B</w:t>
            </w:r>
          </w:p>
        </w:tc>
      </w:tr>
    </w:tbl>
    <w:p/>
    <w:p>
      <w:pPr>
        <w:spacing w:before="40" w:after="10"/>
        <w:ind w:left="300" w:hanging="300"/>
      </w:pPr>
      <w:r>
        <w:rPr>
          <w:b/>
          <w:bCs/>
          <w:color w:val="353A7C"/>
          <w:sz w:val="19"/>
          <w:szCs w:val="19"/>
        </w:rPr>
        <w:t xml:space="preserve">1.  </w:t>
      </w:r>
      <w:r>
        <w:rPr>
          <w:sz w:val="19"/>
          <w:szCs w:val="19"/>
        </w:rPr>
        <w:t xml:space="preserve">Where the chapter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cash-generating unit   ·   defined benefit plan   ·   prior service cost   ·   remeasurements   ·   development costs   ·   component depreciation</w:t>
      </w:r>
    </w:p>
    <w:p>
      <w:pPr>
        <w:spacing w:before="36" w:after="36"/>
        <w:ind w:left="300"/>
      </w:pPr>
      <w:r>
        <w:rPr>
          <w:sz w:val="19"/>
          <w:szCs w:val="19"/>
        </w:rPr>
        <w:t xml:space="preserve">For a </w:t>
      </w:r>
      <w:r>
        <w:rPr>
          <w:u w:val="single"/>
          <w:sz w:val="19"/>
          <w:szCs w:val="19"/>
        </w:rPr>
        <w:t xml:space="preserve">                      </w:t>
      </w:r>
      <w:r>
        <w:rPr>
          <w:sz w:val="19"/>
          <w:szCs w:val="19"/>
        </w:rPr>
        <w:t xml:space="preserve">, both frameworks put </w:t>
      </w:r>
      <w:r>
        <w:rPr>
          <w:u w:val="single"/>
          <w:sz w:val="19"/>
          <w:szCs w:val="19"/>
        </w:rPr>
        <w:t xml:space="preserve">                </w:t>
      </w:r>
      <w:r>
        <w:rPr>
          <w:sz w:val="19"/>
          <w:szCs w:val="19"/>
        </w:rPr>
        <w:t xml:space="preserve"> in OCI. U.S. GAAP later amortizes them into net income; IAS 19 never reclassifies them. Orontes amends its plan and creates </w:t>
      </w:r>
      <w:r>
        <w:rPr>
          <w:u w:val="single"/>
          <w:sz w:val="19"/>
          <w:szCs w:val="19"/>
        </w:rPr>
        <w:t xml:space="preserve">                    </w:t>
      </w:r>
      <w:r>
        <w:rPr>
          <w:sz w:val="19"/>
          <w:szCs w:val="19"/>
        </w:rPr>
        <w:t xml:space="preserve"> of $50,000: U.S. GAAP amortizes $5,000 a year from OCI, while IAS 19 expenses the whole amount at once. The largest intangibles difference is </w:t>
      </w:r>
      <w:r>
        <w:rPr>
          <w:u w:val="single"/>
          <w:sz w:val="19"/>
          <w:szCs w:val="19"/>
        </w:rPr>
        <w:t xml:space="preserve">                   </w:t>
      </w:r>
      <w:r>
        <w:rPr>
          <w:sz w:val="19"/>
          <w:szCs w:val="19"/>
        </w:rPr>
        <w:t xml:space="preserve">.</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cash-generating unit   ·   statements   ·   financial   ·   component depreciation   ·   frameworks</w:t>
      </w:r>
    </w:p>
    <w:p>
      <w:pPr>
        <w:spacing w:before="36" w:after="36"/>
        <w:ind w:left="300"/>
      </w:pPr>
      <w:r>
        <w:rPr>
          <w:sz w:val="19"/>
          <w:szCs w:val="19"/>
        </w:rPr>
        <w:t xml:space="preserve">U.S. GAAP allows it, and companies that use LIFO for tax must also use it in their </w:t>
      </w:r>
      <w:r>
        <w:rPr>
          <w:u w:val="single"/>
          <w:sz w:val="19"/>
          <w:szCs w:val="19"/>
        </w:rPr>
        <w:t xml:space="preserve">           </w:t>
      </w:r>
      <w:r>
        <w:rPr>
          <w:sz w:val="19"/>
          <w:szCs w:val="19"/>
        </w:rPr>
        <w:t xml:space="preserve"> </w:t>
      </w:r>
      <w:r>
        <w:rPr>
          <w:u w:val="single"/>
          <w:sz w:val="19"/>
          <w:szCs w:val="19"/>
        </w:rPr>
        <w:t xml:space="preserve">            </w:t>
      </w:r>
      <w:r>
        <w:rPr>
          <w:sz w:val="19"/>
          <w:szCs w:val="19"/>
        </w:rPr>
        <w:t xml:space="preserve">. Chapter 7 showed how LIFO changes cost of goods sold when prices rise. Both </w:t>
      </w:r>
      <w:r>
        <w:rPr>
          <w:u w:val="single"/>
          <w:sz w:val="19"/>
          <w:szCs w:val="19"/>
        </w:rPr>
        <w:t xml:space="preserve">            </w:t>
      </w:r>
      <w:r>
        <w:rPr>
          <w:sz w:val="19"/>
          <w:szCs w:val="19"/>
        </w:rPr>
        <w:t xml:space="preserve"> write inventory down when its value falls below cost.</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component depreciation   ·   fair value less costs of disposal   ·   value in use   ·   revaluation model   ·   recoverable amount   ·   cash-generating unit</w:t>
      </w:r>
    </w:p>
    <w:p>
      <w:pPr>
        <w:spacing w:before="36" w:after="36"/>
        <w:ind w:left="300"/>
      </w:pPr>
      <w:r>
        <w:rPr>
          <w:sz w:val="19"/>
          <w:szCs w:val="19"/>
        </w:rPr>
        <w:t xml:space="preserve">Only if the carrying amount is higher does it measure a loss, equal to the carrying amount minus fair value. It compares the carrying amount of an asset or </w:t>
      </w:r>
      <w:r>
        <w:rPr>
          <w:u w:val="single"/>
          <w:sz w:val="19"/>
          <w:szCs w:val="19"/>
        </w:rPr>
        <w:t xml:space="preserve">                      </w:t>
      </w:r>
      <w:r>
        <w:rPr>
          <w:sz w:val="19"/>
          <w:szCs w:val="19"/>
        </w:rPr>
        <w:t xml:space="preserve"> with its </w:t>
      </w:r>
      <w:r>
        <w:rPr>
          <w:u w:val="single"/>
          <w:sz w:val="19"/>
          <w:szCs w:val="19"/>
        </w:rPr>
        <w:t xml:space="preserve">                    </w:t>
      </w:r>
      <w:r>
        <w:rPr>
          <w:sz w:val="19"/>
          <w:szCs w:val="19"/>
        </w:rPr>
        <w:t xml:space="preserve">: the higher of </w:t>
      </w:r>
      <w:r>
        <w:rPr>
          <w:u w:val="single"/>
          <w:sz w:val="19"/>
          <w:szCs w:val="19"/>
        </w:rPr>
        <w:t xml:space="preserve">                                   </w:t>
      </w:r>
      <w:r>
        <w:rPr>
          <w:sz w:val="19"/>
          <w:szCs w:val="19"/>
        </w:rPr>
        <w:t xml:space="preserve"> and </w:t>
      </w:r>
      <w:r>
        <w:rPr>
          <w:u w:val="single"/>
          <w:sz w:val="19"/>
          <w:szCs w:val="19"/>
        </w:rPr>
        <w:t xml:space="preserve">              </w:t>
      </w:r>
      <w:r>
        <w:rPr>
          <w:sz w:val="19"/>
          <w:szCs w:val="19"/>
        </w:rPr>
        <w:t xml:space="preserve">, a discounted cash-flow measure.</w:t>
      </w:r>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whole chapter, in order</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The sections of a chapter have to be taken in order, because each one uses what the one before it settled.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444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5734050" cy="4443900"/>
                    </a:xfrm>
                    <a:prstGeom prst="rect">
                      <a:avLst/>
                    </a:prstGeom>
                  </pic:spPr>
                </pic:pic>
              </a:graphicData>
            </a:graphic>
          </wp:inline>
        </w:drawing>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24"/>
      </w:pPr>
      <w:r>
        <w:rPr>
          <w:sz w:val="19"/>
          <w:szCs w:val="19"/>
        </w:rPr>
        <w:t xml:space="preserve">Write the letter of the section number beside each section title. Every number is used once.</w:t>
      </w:r>
    </w:p>
    <w:tbl>
      <w:tblPr>
        <w:tblW w:type="pct" w:w="100%"/>
        <w:tblLayout w:type="fixed"/>
        <w:tblBorders>
          <w:top w:val="single" w:color="8186EF" w:sz="4"/>
          <w:left w:val="single" w:color="8186EF" w:sz="4"/>
          <w:bottom w:val="single" w:color="8186EF" w:sz="4"/>
          <w:right w:val="single" w:color="8186EF" w:sz="4"/>
          <w:insideH w:val="single" w:color="8186EF" w:sz="4"/>
          <w:insideV w:val="single" w:color="8186EF" w:sz="4"/>
        </w:tblBorders>
      </w:tblPr>
      <w:tblGrid>
        <w:gridCol w:w="4800"/>
        <w:gridCol w:w="4800"/>
      </w:tblGrid>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A  </w:t>
            </w:r>
            <w:r>
              <w:rPr>
                <w:sz w:val="16"/>
                <w:szCs w:val="16"/>
              </w:rPr>
              <w:t xml:space="preserve">17.1</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D  </w:t>
            </w:r>
            <w:r>
              <w:rPr>
                <w:sz w:val="16"/>
                <w:szCs w:val="16"/>
              </w:rPr>
              <w:t xml:space="preserve">17.4</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B  </w:t>
            </w:r>
            <w:r>
              <w:rPr>
                <w:sz w:val="16"/>
                <w:szCs w:val="16"/>
              </w:rPr>
              <w:t xml:space="preserve">17.2</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E  </w:t>
            </w:r>
            <w:r>
              <w:rPr>
                <w:sz w:val="16"/>
                <w:szCs w:val="16"/>
              </w:rPr>
              <w:t xml:space="preserve">17.5</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C  </w:t>
            </w:r>
            <w:r>
              <w:rPr>
                <w:sz w:val="16"/>
                <w:szCs w:val="16"/>
              </w:rPr>
              <w:t xml:space="preserve">17.3</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F  </w:t>
            </w:r>
            <w:r>
              <w:rPr>
                <w:sz w:val="16"/>
                <w:szCs w:val="16"/>
              </w:rPr>
              <w:t xml:space="preserve">17.6</w:t>
            </w:r>
          </w:p>
        </w:tc>
      </w:tr>
    </w:tbl>
    <w:p/>
    <w:p>
      <w:pPr>
        <w:spacing w:before="24" w:after="24"/>
        <w:ind w:left="300" w:hanging="300"/>
      </w:pPr>
      <w:r>
        <w:rPr>
          <w:b/>
          <w:bCs/>
          <w:color w:val="353A7C"/>
          <w:sz w:val="18"/>
          <w:szCs w:val="18"/>
        </w:rPr>
        <w:t xml:space="preserve">5.  </w:t>
      </w:r>
      <w:r>
        <w:rPr>
          <w:sz w:val="18"/>
          <w:szCs w:val="18"/>
        </w:rPr>
        <w:t xml:space="preserve">(i) Share-based payments and employee benefits</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6.  </w:t>
      </w:r>
      <w:r>
        <w:rPr>
          <w:sz w:val="18"/>
          <w:szCs w:val="18"/>
        </w:rPr>
        <w:t xml:space="preserve">(ii) Intangible assets</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7.  </w:t>
      </w:r>
      <w:r>
        <w:rPr>
          <w:sz w:val="18"/>
          <w:szCs w:val="18"/>
        </w:rPr>
        <w:t xml:space="preserve">(iii) Inventories</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8.  </w:t>
      </w:r>
      <w:r>
        <w:rPr>
          <w:sz w:val="18"/>
          <w:szCs w:val="18"/>
        </w:rPr>
        <w:t xml:space="preserve">(iv) Leases: the lessee</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9.  </w:t>
      </w:r>
      <w:r>
        <w:rPr>
          <w:sz w:val="18"/>
          <w:szCs w:val="18"/>
        </w:rPr>
        <w:t xml:space="preserve">(v) Long-lived assets</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10.  </w:t>
      </w:r>
      <w:r>
        <w:rPr>
          <w:sz w:val="18"/>
          <w:szCs w:val="18"/>
        </w:rPr>
        <w:t xml:space="preserve">(vi) Impairment</w:t>
      </w:r>
      <w:r>
        <w:rPr>
          <w:sz w:val="18"/>
          <w:szCs w:val="18"/>
        </w:rPr>
        <w:t xml:space="preserve">      </w:t>
      </w:r>
      <w:r>
        <w:rPr>
          <w:u w:val="single"/>
          <w:sz w:val="18"/>
          <w:szCs w:val="18"/>
        </w:rPr>
        <w:t xml:space="preserve">        </w:t>
      </w:r>
    </w:p>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11.  </w:t>
      </w:r>
      <w:r>
        <w:rPr>
          <w:sz w:val="19"/>
          <w:szCs w:val="19"/>
        </w:rPr>
        <w:t xml:space="preserve">A French subsidiary using IFRS wants to adopt LIFO to lower its taxable profit. Under IFRS, it:</w:t>
      </w:r>
    </w:p>
    <w:p>
      <w:pPr>
        <w:spacing w:after="18"/>
        <w:ind w:left="560" w:hanging="260"/>
      </w:pPr>
      <w:r>
        <w:rPr>
          <w:b/>
          <w:bCs/>
          <w:color w:val="8186EF"/>
          <w:sz w:val="18"/>
          <w:szCs w:val="18"/>
        </w:rPr>
        <w:t xml:space="preserve">A. </w:t>
      </w:r>
      <w:r>
        <w:rPr>
          <w:sz w:val="18"/>
          <w:szCs w:val="18"/>
        </w:rPr>
        <w:t xml:space="preserve">cannot use LIFO</w:t>
      </w:r>
    </w:p>
    <w:p>
      <w:pPr>
        <w:spacing w:after="18"/>
        <w:ind w:left="560" w:hanging="260"/>
      </w:pPr>
      <w:r>
        <w:rPr>
          <w:b/>
          <w:bCs/>
          <w:color w:val="8186EF"/>
          <w:sz w:val="18"/>
          <w:szCs w:val="18"/>
        </w:rPr>
        <w:t xml:space="preserve">B. </w:t>
      </w:r>
      <w:r>
        <w:rPr>
          <w:sz w:val="18"/>
          <w:szCs w:val="18"/>
        </w:rPr>
        <w:t xml:space="preserve">may use LIFO if it also uses it for tax</w:t>
      </w:r>
    </w:p>
    <w:p>
      <w:pPr>
        <w:spacing w:after="18"/>
        <w:ind w:left="560" w:hanging="260"/>
      </w:pPr>
      <w:r>
        <w:rPr>
          <w:b/>
          <w:bCs/>
          <w:color w:val="8186EF"/>
          <w:sz w:val="18"/>
          <w:szCs w:val="18"/>
        </w:rPr>
        <w:t xml:space="preserve">C. </w:t>
      </w:r>
      <w:r>
        <w:rPr>
          <w:sz w:val="18"/>
          <w:szCs w:val="18"/>
        </w:rPr>
        <w:t xml:space="preserve">may use LIFO for part of its inventory</w:t>
      </w:r>
    </w:p>
    <w:p>
      <w:pPr>
        <w:spacing w:after="18"/>
        <w:ind w:left="560" w:hanging="260"/>
      </w:pPr>
      <w:r>
        <w:rPr>
          <w:b/>
          <w:bCs/>
          <w:color w:val="8186EF"/>
          <w:sz w:val="18"/>
          <w:szCs w:val="18"/>
        </w:rPr>
        <w:t xml:space="preserve">D. </w:t>
      </w:r>
      <w:r>
        <w:rPr>
          <w:sz w:val="18"/>
          <w:szCs w:val="18"/>
        </w:rPr>
        <w:t xml:space="preserve">must use LIFO when prices rise</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3179"/>
        <w:gridCol w:w="2726"/>
        <w:gridCol w:w="3695"/>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Topic — the extract for the question that follows</w:t>
            </w:r>
          </w:p>
        </w:tc>
      </w:tr>
      <w:tr>
        <w:tc>
          <w:tcPr>
            <w:tcW w:type="pct" w:w="1656"/>
            <w:tcMar>
              <w:top w:type="dxa" w:w="50"/>
              <w:left w:type="dxa" w:w="110"/>
              <w:bottom w:type="dxa" w:w="50"/>
              <w:right w:type="dxa" w:w="110"/>
            </w:tcMar>
          </w:tcPr>
          <w:p>
            <w:pPr>
              <w:spacing w:before="26" w:after="26"/>
            </w:pPr>
            <w:r>
              <w:rPr>
                <w:b/>
                <w:bCs/>
                <w:color w:val="353A7C"/>
                <w:sz w:val="15"/>
                <w:szCs w:val="15"/>
              </w:rPr>
              <w:t xml:space="preserve">Topic</w:t>
            </w:r>
          </w:p>
        </w:tc>
        <w:tc>
          <w:tcPr>
            <w:tcW w:type="pct" w:w="1420"/>
            <w:tcMar>
              <w:top w:type="dxa" w:w="50"/>
              <w:left w:type="dxa" w:w="110"/>
              <w:bottom w:type="dxa" w:w="50"/>
              <w:right w:type="dxa" w:w="110"/>
            </w:tcMar>
          </w:tcPr>
          <w:p>
            <w:pPr>
              <w:spacing w:before="26" w:after="26"/>
            </w:pPr>
            <w:r>
              <w:rPr>
                <w:b/>
                <w:bCs/>
                <w:color w:val="353A7C"/>
                <w:sz w:val="15"/>
                <w:szCs w:val="15"/>
              </w:rPr>
              <w:t xml:space="preserve">U.S. GAAP (ASC 842)</w:t>
            </w:r>
          </w:p>
        </w:tc>
        <w:tc>
          <w:tcPr>
            <w:tcW w:type="pct" w:w="1924"/>
            <w:tcMar>
              <w:top w:type="dxa" w:w="50"/>
              <w:left w:type="dxa" w:w="110"/>
              <w:bottom w:type="dxa" w:w="50"/>
              <w:right w:type="dxa" w:w="110"/>
            </w:tcMar>
          </w:tcPr>
          <w:p>
            <w:pPr>
              <w:spacing w:before="26" w:after="26"/>
            </w:pPr>
            <w:r>
              <w:rPr>
                <w:b/>
                <w:bCs/>
                <w:color w:val="353A7C"/>
                <w:sz w:val="15"/>
                <w:szCs w:val="15"/>
              </w:rPr>
              <w:t xml:space="preserve">IFRS 16</w:t>
            </w:r>
          </w:p>
        </w:tc>
      </w:tr>
      <w:tr>
        <w:tc>
          <w:tcPr>
            <w:tcW w:type="pct" w:w="1656"/>
            <w:tcMar>
              <w:top w:type="dxa" w:w="50"/>
              <w:left w:type="dxa" w:w="110"/>
              <w:bottom w:type="dxa" w:w="50"/>
              <w:right w:type="dxa" w:w="110"/>
            </w:tcMar>
          </w:tcPr>
          <w:p>
            <w:pPr>
              <w:spacing w:before="26" w:after="26"/>
            </w:pPr>
            <w:r>
              <w:rPr>
                <w:color w:val="232733"/>
                <w:sz w:val="16"/>
                <w:szCs w:val="16"/>
              </w:rPr>
              <w:t xml:space="preserve">Lessee models</w:t>
            </w:r>
          </w:p>
        </w:tc>
        <w:tc>
          <w:tcPr>
            <w:tcW w:type="pct" w:w="1420"/>
            <w:tcMar>
              <w:top w:type="dxa" w:w="50"/>
              <w:left w:type="dxa" w:w="110"/>
              <w:bottom w:type="dxa" w:w="50"/>
              <w:right w:type="dxa" w:w="110"/>
            </w:tcMar>
          </w:tcPr>
          <w:p>
            <w:pPr>
              <w:spacing w:before="26" w:after="26"/>
            </w:pPr>
            <w:r>
              <w:rPr>
                <w:color w:val="232733"/>
                <w:sz w:val="16"/>
                <w:szCs w:val="16"/>
              </w:rPr>
              <w:t xml:space="preserve">Two: finance and operating</w:t>
            </w:r>
          </w:p>
        </w:tc>
        <w:tc>
          <w:tcPr>
            <w:tcW w:type="pct" w:w="1924"/>
            <w:tcMar>
              <w:top w:type="dxa" w:w="50"/>
              <w:left w:type="dxa" w:w="110"/>
              <w:bottom w:type="dxa" w:w="50"/>
              <w:right w:type="dxa" w:w="110"/>
            </w:tcMar>
          </w:tcPr>
          <w:p>
            <w:pPr>
              <w:spacing w:before="26" w:after="26"/>
            </w:pPr>
            <w:r>
              <w:rPr>
                <w:color w:val="232733"/>
                <w:sz w:val="16"/>
                <w:szCs w:val="16"/>
              </w:rPr>
              <w:t xml:space="preserve">One: all leases like finance leases</w:t>
            </w:r>
          </w:p>
        </w:tc>
      </w:tr>
      <w:tr>
        <w:tc>
          <w:tcPr>
            <w:tcW w:type="pct" w:w="1656"/>
            <w:shd w:fill="FBFAF6" w:val="clear"/>
            <w:tcMar>
              <w:top w:type="dxa" w:w="50"/>
              <w:left w:type="dxa" w:w="110"/>
              <w:bottom w:type="dxa" w:w="50"/>
              <w:right w:type="dxa" w:w="110"/>
            </w:tcMar>
          </w:tcPr>
          <w:p>
            <w:pPr>
              <w:spacing w:before="26" w:after="26"/>
            </w:pPr>
            <w:r>
              <w:rPr>
                <w:color w:val="232733"/>
                <w:sz w:val="16"/>
                <w:szCs w:val="16"/>
              </w:rPr>
              <w:t xml:space="preserve">Warehouse lease, 2026 expense (Chapter 14)</w:t>
            </w:r>
          </w:p>
        </w:tc>
        <w:tc>
          <w:tcPr>
            <w:tcW w:type="pct" w:w="1420"/>
            <w:shd w:fill="FBFAF6" w:val="clear"/>
            <w:tcMar>
              <w:top w:type="dxa" w:w="50"/>
              <w:left w:type="dxa" w:w="110"/>
              <w:bottom w:type="dxa" w:w="50"/>
              <w:right w:type="dxa" w:w="110"/>
            </w:tcMar>
          </w:tcPr>
          <w:p>
            <w:pPr>
              <w:spacing w:before="26" w:after="26"/>
            </w:pPr>
            <w:r>
              <w:rPr>
                <w:color w:val="232733"/>
                <w:sz w:val="16"/>
                <w:szCs w:val="16"/>
              </w:rPr>
              <w:t xml:space="preserve">One straight-line lease cost: 100,000</w:t>
            </w:r>
          </w:p>
        </w:tc>
        <w:tc>
          <w:tcPr>
            <w:tcW w:type="pct" w:w="1924"/>
            <w:shd w:fill="FBFAF6" w:val="clear"/>
            <w:tcMar>
              <w:top w:type="dxa" w:w="50"/>
              <w:left w:type="dxa" w:w="110"/>
              <w:bottom w:type="dxa" w:w="50"/>
              <w:right w:type="dxa" w:w="110"/>
            </w:tcMar>
          </w:tcPr>
          <w:p>
            <w:pPr>
              <w:spacing w:before="26" w:after="26"/>
            </w:pPr>
            <w:r>
              <w:rPr>
                <w:color w:val="232733"/>
                <w:sz w:val="16"/>
                <w:szCs w:val="16"/>
              </w:rPr>
              <w:t xml:space="preserve">Depreciation 84,247 + interest 25,274 = 109,521</w:t>
            </w:r>
          </w:p>
        </w:tc>
      </w:tr>
      <w:tr>
        <w:tc>
          <w:tcPr>
            <w:tcW w:type="pct" w:w="1656"/>
            <w:tcMar>
              <w:top w:type="dxa" w:w="50"/>
              <w:left w:type="dxa" w:w="110"/>
              <w:bottom w:type="dxa" w:w="50"/>
              <w:right w:type="dxa" w:w="110"/>
            </w:tcMar>
          </w:tcPr>
          <w:p>
            <w:pPr>
              <w:spacing w:before="26" w:after="26"/>
            </w:pPr>
            <w:r>
              <w:rPr>
                <w:color w:val="232733"/>
                <w:sz w:val="16"/>
                <w:szCs w:val="16"/>
              </w:rPr>
              <w:t xml:space="preserve">Low-value assets</w:t>
            </w:r>
          </w:p>
        </w:tc>
        <w:tc>
          <w:tcPr>
            <w:tcW w:type="pct" w:w="1420"/>
            <w:tcMar>
              <w:top w:type="dxa" w:w="50"/>
              <w:left w:type="dxa" w:w="110"/>
              <w:bottom w:type="dxa" w:w="50"/>
              <w:right w:type="dxa" w:w="110"/>
            </w:tcMar>
          </w:tcPr>
          <w:p>
            <w:pPr>
              <w:spacing w:before="26" w:after="26"/>
            </w:pPr>
            <w:r>
              <w:rPr>
                <w:color w:val="232733"/>
                <w:sz w:val="16"/>
                <w:szCs w:val="16"/>
              </w:rPr>
              <w:t xml:space="preserve">No exemption</w:t>
            </w:r>
          </w:p>
        </w:tc>
        <w:tc>
          <w:tcPr>
            <w:tcW w:type="pct" w:w="1924"/>
            <w:tcMar>
              <w:top w:type="dxa" w:w="50"/>
              <w:left w:type="dxa" w:w="110"/>
              <w:bottom w:type="dxa" w:w="50"/>
              <w:right w:type="dxa" w:w="110"/>
            </w:tcMar>
          </w:tcPr>
          <w:p>
            <w:pPr>
              <w:spacing w:before="26" w:after="26"/>
            </w:pPr>
            <w:r>
              <w:rPr>
                <w:color w:val="232733"/>
                <w:sz w:val="16"/>
                <w:szCs w:val="16"/>
              </w:rPr>
              <w:t xml:space="preserve">Exemption allowed</w:t>
            </w:r>
          </w:p>
        </w:tc>
      </w:tr>
      <w:tr>
        <w:tc>
          <w:tcPr>
            <w:tcW w:type="pct" w:w="1656"/>
            <w:shd w:fill="FBFAF6" w:val="clear"/>
            <w:tcMar>
              <w:top w:type="dxa" w:w="50"/>
              <w:left w:type="dxa" w:w="110"/>
              <w:bottom w:type="dxa" w:w="50"/>
              <w:right w:type="dxa" w:w="110"/>
            </w:tcMar>
          </w:tcPr>
          <w:p>
            <w:pPr>
              <w:spacing w:before="26" w:after="26"/>
            </w:pPr>
            <w:r>
              <w:rPr>
                <w:color w:val="232733"/>
                <w:sz w:val="16"/>
                <w:szCs w:val="16"/>
              </w:rPr>
              <w:t xml:space="preserve">Index-linked payments (CPI)</w:t>
            </w:r>
          </w:p>
        </w:tc>
        <w:tc>
          <w:tcPr>
            <w:tcW w:type="pct" w:w="1420"/>
            <w:shd w:fill="FBFAF6" w:val="clear"/>
            <w:tcMar>
              <w:top w:type="dxa" w:w="50"/>
              <w:left w:type="dxa" w:w="110"/>
              <w:bottom w:type="dxa" w:w="50"/>
              <w:right w:type="dxa" w:w="110"/>
            </w:tcMar>
          </w:tcPr>
          <w:p>
            <w:pPr>
              <w:spacing w:before="26" w:after="26"/>
            </w:pPr>
            <w:r>
              <w:rPr>
                <w:color w:val="232733"/>
                <w:sz w:val="16"/>
                <w:szCs w:val="16"/>
              </w:rPr>
              <w:t xml:space="preserve">Not remeasured</w:t>
            </w:r>
          </w:p>
        </w:tc>
        <w:tc>
          <w:tcPr>
            <w:tcW w:type="pct" w:w="1924"/>
            <w:shd w:fill="FBFAF6" w:val="clear"/>
            <w:tcMar>
              <w:top w:type="dxa" w:w="50"/>
              <w:left w:type="dxa" w:w="110"/>
              <w:bottom w:type="dxa" w:w="50"/>
              <w:right w:type="dxa" w:w="110"/>
            </w:tcMar>
          </w:tcPr>
          <w:p>
            <w:pPr>
              <w:spacing w:before="26" w:after="26"/>
            </w:pPr>
            <w:r>
              <w:rPr>
                <w:color w:val="232733"/>
                <w:sz w:val="16"/>
                <w:szCs w:val="16"/>
              </w:rPr>
              <w:t xml:space="preserve">Liability remeasured</w:t>
            </w:r>
          </w:p>
        </w:tc>
      </w:tr>
      <w:tr>
        <w:tc>
          <w:tcPr>
            <w:tcW w:type="pct" w:w="1656"/>
            <w:tcMar>
              <w:top w:type="dxa" w:w="50"/>
              <w:left w:type="dxa" w:w="110"/>
              <w:bottom w:type="dxa" w:w="50"/>
              <w:right w:type="dxa" w:w="110"/>
            </w:tcMar>
          </w:tcPr>
          <w:p>
            <w:pPr>
              <w:spacing w:before="26" w:after="26"/>
            </w:pPr>
            <w:r>
              <w:rPr>
                <w:color w:val="232733"/>
                <w:sz w:val="16"/>
                <w:szCs w:val="16"/>
              </w:rPr>
              <w:t xml:space="preserve">Cash flow: operating-lease payment</w:t>
            </w:r>
          </w:p>
        </w:tc>
        <w:tc>
          <w:tcPr>
            <w:tcW w:type="pct" w:w="1420"/>
            <w:tcMar>
              <w:top w:type="dxa" w:w="50"/>
              <w:left w:type="dxa" w:w="110"/>
              <w:bottom w:type="dxa" w:w="50"/>
              <w:right w:type="dxa" w:w="110"/>
            </w:tcMar>
          </w:tcPr>
          <w:p>
            <w:pPr>
              <w:spacing w:before="26" w:after="26"/>
            </w:pPr>
            <w:r>
              <w:rPr>
                <w:color w:val="232733"/>
                <w:sz w:val="16"/>
                <w:szCs w:val="16"/>
              </w:rPr>
              <w:t xml:space="preserve">Operating</w:t>
            </w:r>
          </w:p>
        </w:tc>
        <w:tc>
          <w:tcPr>
            <w:tcW w:type="pct" w:w="1924"/>
            <w:tcMar>
              <w:top w:type="dxa" w:w="50"/>
              <w:left w:type="dxa" w:w="110"/>
              <w:bottom w:type="dxa" w:w="50"/>
              <w:right w:type="dxa" w:w="110"/>
            </w:tcMar>
          </w:tcPr>
          <w:p>
            <w:pPr>
              <w:spacing w:before="26" w:after="26"/>
            </w:pPr>
            <w:r>
              <w:rPr>
                <w:color w:val="232733"/>
                <w:sz w:val="16"/>
                <w:szCs w:val="16"/>
              </w:rPr>
              <w:t xml:space="preserve">Principal: financing; interest: by policy</w:t>
            </w:r>
          </w:p>
        </w:tc>
      </w:tr>
      <w:tr>
        <w:tc>
          <w:tcPr>
            <w:tcW w:type="pct" w:w="1656"/>
            <w:shd w:fill="FBFAF6" w:val="clear"/>
            <w:tcMar>
              <w:top w:type="dxa" w:w="50"/>
              <w:left w:type="dxa" w:w="110"/>
              <w:bottom w:type="dxa" w:w="50"/>
              <w:right w:type="dxa" w:w="110"/>
            </w:tcMar>
          </w:tcPr>
          <w:p>
            <w:pPr>
              <w:spacing w:before="26" w:after="26"/>
            </w:pPr>
            <w:r>
              <w:rPr>
                <w:color w:val="232733"/>
                <w:sz w:val="16"/>
                <w:szCs w:val="16"/>
              </w:rPr>
              <w:t xml:space="preserve">Sale and leaseback gain</w:t>
            </w:r>
          </w:p>
        </w:tc>
        <w:tc>
          <w:tcPr>
            <w:tcW w:type="pct" w:w="1420"/>
            <w:shd w:fill="FBFAF6" w:val="clear"/>
            <w:tcMar>
              <w:top w:type="dxa" w:w="50"/>
              <w:left w:type="dxa" w:w="110"/>
              <w:bottom w:type="dxa" w:w="50"/>
              <w:right w:type="dxa" w:w="110"/>
            </w:tcMar>
          </w:tcPr>
          <w:p>
            <w:pPr>
              <w:spacing w:before="26" w:after="26"/>
            </w:pPr>
            <w:r>
              <w:rPr>
                <w:color w:val="232733"/>
                <w:sz w:val="16"/>
                <w:szCs w:val="16"/>
              </w:rPr>
              <w:t xml:space="preserve">Full gain if a sale</w:t>
            </w:r>
          </w:p>
        </w:tc>
        <w:tc>
          <w:tcPr>
            <w:tcW w:type="pct" w:w="1924"/>
            <w:shd w:fill="FBFAF6" w:val="clear"/>
            <w:tcMar>
              <w:top w:type="dxa" w:w="50"/>
              <w:left w:type="dxa" w:w="110"/>
              <w:bottom w:type="dxa" w:w="50"/>
              <w:right w:type="dxa" w:w="110"/>
            </w:tcMar>
          </w:tcPr>
          <w:p>
            <w:pPr>
              <w:spacing w:before="26" w:after="26"/>
            </w:pPr>
            <w:r>
              <w:rPr>
                <w:color w:val="232733"/>
                <w:sz w:val="16"/>
                <w:szCs w:val="16"/>
              </w:rPr>
              <w:t xml:space="preserve">Gain only on the rights transferred</w:t>
            </w:r>
          </w:p>
        </w:tc>
      </w:tr>
    </w:tbl>
    <w:p/>
    <w:p>
      <w:pPr>
        <w:spacing w:before="40" w:after="16"/>
        <w:ind w:left="300" w:hanging="300"/>
      </w:pPr>
      <w:r>
        <w:rPr>
          <w:b/>
          <w:bCs/>
          <w:color w:val="353A7C"/>
          <w:sz w:val="19"/>
          <w:szCs w:val="19"/>
        </w:rPr>
        <w:t xml:space="preserve">12.  </w:t>
      </w:r>
      <w:r>
        <w:rPr>
          <w:sz w:val="19"/>
          <w:szCs w:val="19"/>
        </w:rPr>
        <w:t xml:space="preserve">The extract for this question is printed with it. What is the warehouse lease expense for 2026 under IFRS 16 (whole USD)?</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25,274</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100,000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84,247</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109,521</w:t>
            </w:r>
          </w:p>
        </w:tc>
      </w:tr>
    </w:tbl>
    <w:p>
      <w:pPr>
        <w:spacing w:before="40" w:after="16"/>
        <w:ind w:left="300" w:hanging="300"/>
      </w:pPr>
      <w:r>
        <w:rPr>
          <w:b/>
          <w:bCs/>
          <w:color w:val="353A7C"/>
          <w:sz w:val="19"/>
          <w:szCs w:val="19"/>
        </w:rPr>
        <w:t xml:space="preserve">13.  </w:t>
      </w:r>
      <w:r>
        <w:rPr>
          <w:sz w:val="19"/>
          <w:szCs w:val="19"/>
        </w:rPr>
        <w:t xml:space="preserve">Which lessee rule exists under IFRS 16 but NOT under ASC 842?</w:t>
      </w:r>
    </w:p>
    <w:p>
      <w:pPr>
        <w:spacing w:after="18"/>
        <w:ind w:left="560" w:hanging="260"/>
      </w:pPr>
      <w:r>
        <w:rPr>
          <w:b/>
          <w:bCs/>
          <w:color w:val="8186EF"/>
          <w:sz w:val="18"/>
          <w:szCs w:val="18"/>
        </w:rPr>
        <w:t xml:space="preserve">A. </w:t>
      </w:r>
      <w:r>
        <w:rPr>
          <w:sz w:val="18"/>
          <w:szCs w:val="18"/>
        </w:rPr>
        <w:t xml:space="preserve">An exemption for leases of 12 months or less</w:t>
      </w:r>
    </w:p>
    <w:p>
      <w:pPr>
        <w:spacing w:after="18"/>
        <w:ind w:left="560" w:hanging="260"/>
      </w:pPr>
      <w:r>
        <w:rPr>
          <w:b/>
          <w:bCs/>
          <w:color w:val="8186EF"/>
          <w:sz w:val="18"/>
          <w:szCs w:val="18"/>
        </w:rPr>
        <w:t xml:space="preserve">B. </w:t>
      </w:r>
      <w:r>
        <w:rPr>
          <w:sz w:val="18"/>
          <w:szCs w:val="18"/>
        </w:rPr>
        <w:t xml:space="preserve">A right-of-use asset for most leases</w:t>
      </w:r>
    </w:p>
    <w:p>
      <w:pPr>
        <w:spacing w:after="18"/>
        <w:ind w:left="560" w:hanging="260"/>
      </w:pPr>
      <w:r>
        <w:rPr>
          <w:b/>
          <w:bCs/>
          <w:color w:val="8186EF"/>
          <w:sz w:val="18"/>
          <w:szCs w:val="18"/>
        </w:rPr>
        <w:t xml:space="preserve">C. </w:t>
      </w:r>
      <w:r>
        <w:rPr>
          <w:sz w:val="18"/>
          <w:szCs w:val="18"/>
        </w:rPr>
        <w:t xml:space="preserve">An exemption for leases of low-value assets</w:t>
      </w:r>
    </w:p>
    <w:p>
      <w:pPr>
        <w:spacing w:after="18"/>
        <w:ind w:left="560" w:hanging="260"/>
      </w:pPr>
      <w:r>
        <w:rPr>
          <w:b/>
          <w:bCs/>
          <w:color w:val="8186EF"/>
          <w:sz w:val="18"/>
          <w:szCs w:val="18"/>
        </w:rPr>
        <w:t xml:space="preserve">D. </w:t>
      </w:r>
      <w:r>
        <w:rPr>
          <w:sz w:val="18"/>
          <w:szCs w:val="18"/>
        </w:rPr>
        <w:t xml:space="preserve">Discounting the lease payments</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3111"/>
        <w:gridCol w:w="3125"/>
        <w:gridCol w:w="3364"/>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Topic — the extract for the question that follows</w:t>
            </w:r>
          </w:p>
        </w:tc>
      </w:tr>
      <w:tr>
        <w:tc>
          <w:tcPr>
            <w:tcW w:type="pct" w:w="1620"/>
            <w:tcMar>
              <w:top w:type="dxa" w:w="50"/>
              <w:left w:type="dxa" w:w="110"/>
              <w:bottom w:type="dxa" w:w="50"/>
              <w:right w:type="dxa" w:w="110"/>
            </w:tcMar>
          </w:tcPr>
          <w:p>
            <w:pPr>
              <w:spacing w:before="26" w:after="26"/>
            </w:pPr>
            <w:r>
              <w:rPr>
                <w:b/>
                <w:bCs/>
                <w:color w:val="353A7C"/>
                <w:sz w:val="15"/>
                <w:szCs w:val="15"/>
              </w:rPr>
              <w:t xml:space="preserve">Topic</w:t>
            </w:r>
          </w:p>
        </w:tc>
        <w:tc>
          <w:tcPr>
            <w:tcW w:type="pct" w:w="1628"/>
            <w:tcMar>
              <w:top w:type="dxa" w:w="50"/>
              <w:left w:type="dxa" w:w="110"/>
              <w:bottom w:type="dxa" w:w="50"/>
              <w:right w:type="dxa" w:w="110"/>
            </w:tcMar>
          </w:tcPr>
          <w:p>
            <w:pPr>
              <w:spacing w:before="26" w:after="26"/>
            </w:pPr>
            <w:r>
              <w:rPr>
                <w:b/>
                <w:bCs/>
                <w:color w:val="353A7C"/>
                <w:sz w:val="15"/>
                <w:szCs w:val="15"/>
              </w:rPr>
              <w:t xml:space="preserve">U.S. GAAP (ASC 360, 835)</w:t>
            </w:r>
          </w:p>
        </w:tc>
        <w:tc>
          <w:tcPr>
            <w:tcW w:type="pct" w:w="1752"/>
            <w:tcMar>
              <w:top w:type="dxa" w:w="50"/>
              <w:left w:type="dxa" w:w="110"/>
              <w:bottom w:type="dxa" w:w="50"/>
              <w:right w:type="dxa" w:w="110"/>
            </w:tcMar>
          </w:tcPr>
          <w:p>
            <w:pPr>
              <w:spacing w:before="26" w:after="26"/>
            </w:pPr>
            <w:r>
              <w:rPr>
                <w:b/>
                <w:bCs/>
                <w:color w:val="353A7C"/>
                <w:sz w:val="15"/>
                <w:szCs w:val="15"/>
              </w:rPr>
              <w:t xml:space="preserve">IFRS (IAS 16, 23, 40)</w:t>
            </w:r>
          </w:p>
        </w:tc>
      </w:tr>
      <w:tr>
        <w:tc>
          <w:tcPr>
            <w:tcW w:type="pct" w:w="1620"/>
            <w:tcMar>
              <w:top w:type="dxa" w:w="50"/>
              <w:left w:type="dxa" w:w="110"/>
              <w:bottom w:type="dxa" w:w="50"/>
              <w:right w:type="dxa" w:w="110"/>
            </w:tcMar>
          </w:tcPr>
          <w:p>
            <w:pPr>
              <w:spacing w:before="26" w:after="26"/>
            </w:pPr>
            <w:r>
              <w:rPr>
                <w:color w:val="232733"/>
                <w:sz w:val="16"/>
                <w:szCs w:val="16"/>
              </w:rPr>
              <w:t xml:space="preserve">Land in Amman: cost 2,000,000, fair value 2,600,000</w:t>
            </w:r>
          </w:p>
        </w:tc>
        <w:tc>
          <w:tcPr>
            <w:tcW w:type="pct" w:w="1628"/>
            <w:tcMar>
              <w:top w:type="dxa" w:w="50"/>
              <w:left w:type="dxa" w:w="110"/>
              <w:bottom w:type="dxa" w:w="50"/>
              <w:right w:type="dxa" w:w="110"/>
            </w:tcMar>
          </w:tcPr>
          <w:p>
            <w:pPr>
              <w:spacing w:before="26" w:after="26"/>
            </w:pPr>
            <w:r>
              <w:rPr>
                <w:color w:val="232733"/>
                <w:sz w:val="16"/>
                <w:szCs w:val="16"/>
              </w:rPr>
              <w:t xml:space="preserve">Stays at 2,000,000</w:t>
            </w:r>
          </w:p>
        </w:tc>
        <w:tc>
          <w:tcPr>
            <w:tcW w:type="pct" w:w="1752"/>
            <w:tcMar>
              <w:top w:type="dxa" w:w="50"/>
              <w:left w:type="dxa" w:w="110"/>
              <w:bottom w:type="dxa" w:w="50"/>
              <w:right w:type="dxa" w:w="110"/>
            </w:tcMar>
          </w:tcPr>
          <w:p>
            <w:pPr>
              <w:spacing w:before="26" w:after="26"/>
            </w:pPr>
            <w:r>
              <w:rPr>
                <w:color w:val="232733"/>
                <w:sz w:val="16"/>
                <w:szCs w:val="16"/>
              </w:rPr>
              <w:t xml:space="preserve">Revaluation model: 2,600,000; surplus 600,000 in OCI</w:t>
            </w:r>
          </w:p>
        </w:tc>
      </w:tr>
      <w:tr>
        <w:tc>
          <w:tcPr>
            <w:tcW w:type="pct" w:w="1620"/>
            <w:shd w:fill="FBFAF6" w:val="clear"/>
            <w:tcMar>
              <w:top w:type="dxa" w:w="50"/>
              <w:left w:type="dxa" w:w="110"/>
              <w:bottom w:type="dxa" w:w="50"/>
              <w:right w:type="dxa" w:w="110"/>
            </w:tcMar>
          </w:tcPr>
          <w:p>
            <w:pPr>
              <w:spacing w:before="26" w:after="26"/>
            </w:pPr>
            <w:r>
              <w:rPr>
                <w:color w:val="232733"/>
                <w:sz w:val="16"/>
                <w:szCs w:val="16"/>
              </w:rPr>
              <w:t xml:space="preserve">Component depreciation</w:t>
            </w:r>
          </w:p>
        </w:tc>
        <w:tc>
          <w:tcPr>
            <w:tcW w:type="pct" w:w="1628"/>
            <w:shd w:fill="FBFAF6" w:val="clear"/>
            <w:tcMar>
              <w:top w:type="dxa" w:w="50"/>
              <w:left w:type="dxa" w:w="110"/>
              <w:bottom w:type="dxa" w:w="50"/>
              <w:right w:type="dxa" w:w="110"/>
            </w:tcMar>
          </w:tcPr>
          <w:p>
            <w:pPr>
              <w:spacing w:before="26" w:after="26"/>
            </w:pPr>
            <w:r>
              <w:rPr>
                <w:color w:val="232733"/>
                <w:sz w:val="16"/>
                <w:szCs w:val="16"/>
              </w:rPr>
              <w:t xml:space="preserve">Allowed, not required</w:t>
            </w:r>
          </w:p>
        </w:tc>
        <w:tc>
          <w:tcPr>
            <w:tcW w:type="pct" w:w="1752"/>
            <w:shd w:fill="FBFAF6" w:val="clear"/>
            <w:tcMar>
              <w:top w:type="dxa" w:w="50"/>
              <w:left w:type="dxa" w:w="110"/>
              <w:bottom w:type="dxa" w:w="50"/>
              <w:right w:type="dxa" w:w="110"/>
            </w:tcMar>
          </w:tcPr>
          <w:p>
            <w:pPr>
              <w:spacing w:before="26" w:after="26"/>
            </w:pPr>
            <w:r>
              <w:rPr>
                <w:color w:val="232733"/>
                <w:sz w:val="16"/>
                <w:szCs w:val="16"/>
              </w:rPr>
              <w:t xml:space="preserve">Required for significant parts</w:t>
            </w:r>
          </w:p>
        </w:tc>
      </w:tr>
      <w:tr>
        <w:tc>
          <w:tcPr>
            <w:tcW w:type="pct" w:w="1620"/>
            <w:tcMar>
              <w:top w:type="dxa" w:w="50"/>
              <w:left w:type="dxa" w:w="110"/>
              <w:bottom w:type="dxa" w:w="50"/>
              <w:right w:type="dxa" w:w="110"/>
            </w:tcMar>
          </w:tcPr>
          <w:p>
            <w:pPr>
              <w:spacing w:before="26" w:after="26"/>
            </w:pPr>
            <w:r>
              <w:rPr>
                <w:color w:val="232733"/>
                <w:sz w:val="16"/>
                <w:szCs w:val="16"/>
              </w:rPr>
              <w:t xml:space="preserve">Review of lives and residual values</w:t>
            </w:r>
          </w:p>
        </w:tc>
        <w:tc>
          <w:tcPr>
            <w:tcW w:type="pct" w:w="1628"/>
            <w:tcMar>
              <w:top w:type="dxa" w:w="50"/>
              <w:left w:type="dxa" w:w="110"/>
              <w:bottom w:type="dxa" w:w="50"/>
              <w:right w:type="dxa" w:w="110"/>
            </w:tcMar>
          </w:tcPr>
          <w:p>
            <w:pPr>
              <w:spacing w:before="26" w:after="26"/>
            </w:pPr>
            <w:r>
              <w:rPr>
                <w:color w:val="232733"/>
                <w:sz w:val="16"/>
                <w:szCs w:val="16"/>
              </w:rPr>
              <w:t xml:space="preserve">When events suggest a change</w:t>
            </w:r>
          </w:p>
        </w:tc>
        <w:tc>
          <w:tcPr>
            <w:tcW w:type="pct" w:w="1752"/>
            <w:tcMar>
              <w:top w:type="dxa" w:w="50"/>
              <w:left w:type="dxa" w:w="110"/>
              <w:bottom w:type="dxa" w:w="50"/>
              <w:right w:type="dxa" w:w="110"/>
            </w:tcMar>
          </w:tcPr>
          <w:p>
            <w:pPr>
              <w:spacing w:before="26" w:after="26"/>
            </w:pPr>
            <w:r>
              <w:rPr>
                <w:color w:val="232733"/>
                <w:sz w:val="16"/>
                <w:szCs w:val="16"/>
              </w:rPr>
              <w:t xml:space="preserve">At least every year</w:t>
            </w:r>
          </w:p>
        </w:tc>
      </w:tr>
      <w:tr>
        <w:tc>
          <w:tcPr>
            <w:tcW w:type="pct" w:w="1620"/>
            <w:shd w:fill="FBFAF6" w:val="clear"/>
            <w:tcMar>
              <w:top w:type="dxa" w:w="50"/>
              <w:left w:type="dxa" w:w="110"/>
              <w:bottom w:type="dxa" w:w="50"/>
              <w:right w:type="dxa" w:w="110"/>
            </w:tcMar>
          </w:tcPr>
          <w:p>
            <w:pPr>
              <w:spacing w:before="26" w:after="26"/>
            </w:pPr>
            <w:r>
              <w:rPr>
                <w:color w:val="232733"/>
                <w:sz w:val="16"/>
                <w:szCs w:val="16"/>
              </w:rPr>
              <w:t xml:space="preserve">Borrowing costs on a new plant</w:t>
            </w:r>
          </w:p>
        </w:tc>
        <w:tc>
          <w:tcPr>
            <w:tcW w:type="pct" w:w="1628"/>
            <w:shd w:fill="FBFAF6" w:val="clear"/>
            <w:tcMar>
              <w:top w:type="dxa" w:w="50"/>
              <w:left w:type="dxa" w:w="110"/>
              <w:bottom w:type="dxa" w:w="50"/>
              <w:right w:type="dxa" w:w="110"/>
            </w:tcMar>
          </w:tcPr>
          <w:p>
            <w:pPr>
              <w:spacing w:before="26" w:after="26"/>
            </w:pPr>
            <w:r>
              <w:rPr>
                <w:color w:val="232733"/>
                <w:sz w:val="16"/>
                <w:szCs w:val="16"/>
              </w:rPr>
              <w:t xml:space="preserve">Capitalized; investment income generally not offset</w:t>
            </w:r>
          </w:p>
        </w:tc>
        <w:tc>
          <w:tcPr>
            <w:tcW w:type="pct" w:w="1752"/>
            <w:shd w:fill="FBFAF6" w:val="clear"/>
            <w:tcMar>
              <w:top w:type="dxa" w:w="50"/>
              <w:left w:type="dxa" w:w="110"/>
              <w:bottom w:type="dxa" w:w="50"/>
              <w:right w:type="dxa" w:w="110"/>
            </w:tcMar>
          </w:tcPr>
          <w:p>
            <w:pPr>
              <w:spacing w:before="26" w:after="26"/>
            </w:pPr>
            <w:r>
              <w:rPr>
                <w:color w:val="232733"/>
                <w:sz w:val="16"/>
                <w:szCs w:val="16"/>
              </w:rPr>
              <w:t xml:space="preserve">Capitalized; income on specific borrowings deducted</w:t>
            </w:r>
          </w:p>
        </w:tc>
      </w:tr>
      <w:tr>
        <w:tc>
          <w:tcPr>
            <w:tcW w:type="pct" w:w="1620"/>
            <w:tcMar>
              <w:top w:type="dxa" w:w="50"/>
              <w:left w:type="dxa" w:w="110"/>
              <w:bottom w:type="dxa" w:w="50"/>
              <w:right w:type="dxa" w:w="110"/>
            </w:tcMar>
          </w:tcPr>
          <w:p>
            <w:pPr>
              <w:spacing w:before="26" w:after="26"/>
            </w:pPr>
            <w:r>
              <w:rPr>
                <w:color w:val="232733"/>
                <w:sz w:val="16"/>
                <w:szCs w:val="16"/>
              </w:rPr>
              <w:t xml:space="preserve">Investment property</w:t>
            </w:r>
          </w:p>
        </w:tc>
        <w:tc>
          <w:tcPr>
            <w:tcW w:type="pct" w:w="1628"/>
            <w:tcMar>
              <w:top w:type="dxa" w:w="50"/>
              <w:left w:type="dxa" w:w="110"/>
              <w:bottom w:type="dxa" w:w="50"/>
              <w:right w:type="dxa" w:w="110"/>
            </w:tcMar>
          </w:tcPr>
          <w:p>
            <w:pPr>
              <w:spacing w:before="26" w:after="26"/>
            </w:pPr>
            <w:r>
              <w:rPr>
                <w:color w:val="232733"/>
                <w:sz w:val="16"/>
                <w:szCs w:val="16"/>
              </w:rPr>
              <w:t xml:space="preserve">No separate category: cost model</w:t>
            </w:r>
          </w:p>
        </w:tc>
        <w:tc>
          <w:tcPr>
            <w:tcW w:type="pct" w:w="1752"/>
            <w:tcMar>
              <w:top w:type="dxa" w:w="50"/>
              <w:left w:type="dxa" w:w="110"/>
              <w:bottom w:type="dxa" w:w="50"/>
              <w:right w:type="dxa" w:w="110"/>
            </w:tcMar>
          </w:tcPr>
          <w:p>
            <w:pPr>
              <w:spacing w:before="26" w:after="26"/>
            </w:pPr>
            <w:r>
              <w:rPr>
                <w:color w:val="232733"/>
                <w:sz w:val="16"/>
                <w:szCs w:val="16"/>
              </w:rPr>
              <w:t xml:space="preserve">Fair value or cost model (IAS 40)</w:t>
            </w:r>
          </w:p>
        </w:tc>
      </w:tr>
    </w:tbl>
    <w:p/>
    <w:p>
      <w:pPr>
        <w:spacing w:before="40" w:after="16"/>
        <w:ind w:left="300" w:hanging="300"/>
      </w:pPr>
      <w:r>
        <w:rPr>
          <w:b/>
          <w:bCs/>
          <w:color w:val="353A7C"/>
          <w:sz w:val="19"/>
          <w:szCs w:val="19"/>
        </w:rPr>
        <w:t xml:space="preserve">14.  </w:t>
      </w:r>
      <w:r>
        <w:rPr>
          <w:sz w:val="19"/>
          <w:szCs w:val="19"/>
        </w:rPr>
        <w:t xml:space="preserve">The extract for this question is printed with it. Under IFRS with the revaluation model, where does the $600,000 increase in the land's value go?</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To net income as a gain</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To retained earnings directly</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Nowhere; land stays at cost</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To OCI, as a revaluation surplus</w:t>
            </w:r>
          </w:p>
        </w:tc>
      </w:tr>
    </w:tbl>
    <w:p>
      <w:pPr>
        <w:spacing w:before="40" w:after="16"/>
        <w:ind w:left="300" w:hanging="300"/>
      </w:pPr>
      <w:r>
        <w:rPr>
          <w:b/>
          <w:bCs/>
          <w:color w:val="353A7C"/>
          <w:sz w:val="19"/>
          <w:szCs w:val="19"/>
        </w:rPr>
        <w:t xml:space="preserve">15.  </w:t>
      </w:r>
      <w:r>
        <w:rPr>
          <w:sz w:val="19"/>
          <w:szCs w:val="19"/>
        </w:rPr>
        <w:t xml:space="preserve">An aircraft has an engine that lasts 5 years and a body that lasts 25 years. Which statement is correct?</w:t>
      </w:r>
    </w:p>
    <w:p>
      <w:pPr>
        <w:spacing w:after="18"/>
        <w:ind w:left="560" w:hanging="260"/>
      </w:pPr>
      <w:r>
        <w:rPr>
          <w:b/>
          <w:bCs/>
          <w:color w:val="8186EF"/>
          <w:sz w:val="18"/>
          <w:szCs w:val="18"/>
        </w:rPr>
        <w:t xml:space="preserve">A. </w:t>
      </w:r>
      <w:r>
        <w:rPr>
          <w:sz w:val="18"/>
          <w:szCs w:val="18"/>
        </w:rPr>
        <w:t xml:space="preserve">IFRS requires the parts to be depreciated separately; U.S. GAAP allows but does not require it</w:t>
      </w:r>
    </w:p>
    <w:p>
      <w:pPr>
        <w:spacing w:after="18"/>
        <w:ind w:left="560" w:hanging="260"/>
      </w:pPr>
      <w:r>
        <w:rPr>
          <w:b/>
          <w:bCs/>
          <w:color w:val="8186EF"/>
          <w:sz w:val="18"/>
          <w:szCs w:val="18"/>
        </w:rPr>
        <w:t xml:space="preserve">B. </w:t>
      </w:r>
      <w:r>
        <w:rPr>
          <w:sz w:val="18"/>
          <w:szCs w:val="18"/>
        </w:rPr>
        <w:t xml:space="preserve">U.S. GAAP requires component depreciation; IFRS does not</w:t>
      </w:r>
    </w:p>
    <w:p>
      <w:pPr>
        <w:spacing w:after="18"/>
        <w:ind w:left="560" w:hanging="260"/>
      </w:pPr>
      <w:r>
        <w:rPr>
          <w:b/>
          <w:bCs/>
          <w:color w:val="8186EF"/>
          <w:sz w:val="18"/>
          <w:szCs w:val="18"/>
        </w:rPr>
        <w:t xml:space="preserve">C. </w:t>
      </w:r>
      <w:r>
        <w:rPr>
          <w:sz w:val="18"/>
          <w:szCs w:val="18"/>
        </w:rPr>
        <w:t xml:space="preserve">Both prohibit component depreciation</w:t>
      </w:r>
    </w:p>
    <w:p>
      <w:pPr>
        <w:spacing w:after="18"/>
        <w:ind w:left="560" w:hanging="260"/>
      </w:pPr>
      <w:r>
        <w:rPr>
          <w:b/>
          <w:bCs/>
          <w:color w:val="8186EF"/>
          <w:sz w:val="18"/>
          <w:szCs w:val="18"/>
        </w:rPr>
        <w:t xml:space="preserve">D. </w:t>
      </w:r>
      <w:r>
        <w:rPr>
          <w:sz w:val="18"/>
          <w:szCs w:val="18"/>
        </w:rPr>
        <w:t xml:space="preserve">Only the body is depreciated</w:t>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with your partner first.</w:t>
            </w:r>
          </w:p>
        </w:tc>
      </w:tr>
    </w:tbl>
    <w:p>
      <w:pPr>
        <w:spacing w:before="20" w:after="50"/>
      </w:pPr>
      <w:r>
        <w:rPr>
          <w:b/>
          <w:bCs/>
          <w:color w:val="1F7A6A"/>
          <w:sz w:val="16"/>
          <w:szCs w:val="16"/>
        </w:rPr>
        <w:t xml:space="preserve">If you disagree: </w:t>
      </w:r>
      <w:r>
        <w:rPr>
          <w:color w:val="6B7280"/>
          <w:sz w:val="16"/>
          <w:szCs w:val="16"/>
        </w:rPr>
        <w:t xml:space="preserve">name the section each question belongs to. Most disagreements turn out to be about the section, not the answer.</w:t>
      </w:r>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3191"/>
        <w:gridCol w:w="4198"/>
        <w:gridCol w:w="2211"/>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Topic — the extract for the question that follows</w:t>
            </w:r>
          </w:p>
        </w:tc>
      </w:tr>
      <w:tr>
        <w:tc>
          <w:tcPr>
            <w:tcW w:type="pct" w:w="1662"/>
            <w:tcMar>
              <w:top w:type="dxa" w:w="50"/>
              <w:left w:type="dxa" w:w="110"/>
              <w:bottom w:type="dxa" w:w="50"/>
              <w:right w:type="dxa" w:w="110"/>
            </w:tcMar>
          </w:tcPr>
          <w:p>
            <w:pPr>
              <w:spacing w:before="26" w:after="26"/>
            </w:pPr>
            <w:r>
              <w:rPr>
                <w:b/>
                <w:bCs/>
                <w:color w:val="353A7C"/>
                <w:sz w:val="15"/>
                <w:szCs w:val="15"/>
              </w:rPr>
              <w:t xml:space="preserve">Topic</w:t>
            </w:r>
          </w:p>
        </w:tc>
        <w:tc>
          <w:tcPr>
            <w:tcW w:type="pct" w:w="2186"/>
            <w:tcMar>
              <w:top w:type="dxa" w:w="50"/>
              <w:left w:type="dxa" w:w="110"/>
              <w:bottom w:type="dxa" w:w="50"/>
              <w:right w:type="dxa" w:w="110"/>
            </w:tcMar>
          </w:tcPr>
          <w:p>
            <w:pPr>
              <w:spacing w:before="26" w:after="26"/>
            </w:pPr>
            <w:r>
              <w:rPr>
                <w:b/>
                <w:bCs/>
                <w:color w:val="353A7C"/>
                <w:sz w:val="15"/>
                <w:szCs w:val="15"/>
              </w:rPr>
              <w:t xml:space="preserve">U.S. GAAP (ASC 718, 715)</w:t>
            </w:r>
          </w:p>
        </w:tc>
        <w:tc>
          <w:tcPr>
            <w:tcW w:type="pct" w:w="1152"/>
            <w:tcMar>
              <w:top w:type="dxa" w:w="50"/>
              <w:left w:type="dxa" w:w="110"/>
              <w:bottom w:type="dxa" w:w="50"/>
              <w:right w:type="dxa" w:w="110"/>
            </w:tcMar>
          </w:tcPr>
          <w:p>
            <w:pPr>
              <w:spacing w:before="26" w:after="26"/>
            </w:pPr>
            <w:r>
              <w:rPr>
                <w:b/>
                <w:bCs/>
                <w:color w:val="353A7C"/>
                <w:sz w:val="15"/>
                <w:szCs w:val="15"/>
              </w:rPr>
              <w:t xml:space="preserve">IFRS (IFRS 2, IAS 19)</w:t>
            </w:r>
          </w:p>
        </w:tc>
      </w:tr>
      <w:tr>
        <w:tc>
          <w:tcPr>
            <w:tcW w:type="pct" w:w="1662"/>
            <w:tcMar>
              <w:top w:type="dxa" w:w="50"/>
              <w:left w:type="dxa" w:w="110"/>
              <w:bottom w:type="dxa" w:w="50"/>
              <w:right w:type="dxa" w:w="110"/>
            </w:tcMar>
          </w:tcPr>
          <w:p>
            <w:pPr>
              <w:spacing w:before="26" w:after="26"/>
            </w:pPr>
            <w:r>
              <w:rPr>
                <w:color w:val="232733"/>
                <w:sz w:val="16"/>
                <w:szCs w:val="16"/>
              </w:rPr>
              <w:t xml:space="preserve">Graded vesting (service condition)</w:t>
            </w:r>
          </w:p>
        </w:tc>
        <w:tc>
          <w:tcPr>
            <w:tcW w:type="pct" w:w="2186"/>
            <w:tcMar>
              <w:top w:type="dxa" w:w="50"/>
              <w:left w:type="dxa" w:w="110"/>
              <w:bottom w:type="dxa" w:w="50"/>
              <w:right w:type="dxa" w:w="110"/>
            </w:tcMar>
          </w:tcPr>
          <w:p>
            <w:pPr>
              <w:spacing w:before="26" w:after="26"/>
            </w:pPr>
            <w:r>
              <w:rPr>
                <w:color w:val="232733"/>
                <w:sz w:val="16"/>
                <w:szCs w:val="16"/>
              </w:rPr>
              <w:t xml:space="preserve">Choice: straight-line over the whole period or tranche by tranche</w:t>
            </w:r>
          </w:p>
        </w:tc>
        <w:tc>
          <w:tcPr>
            <w:tcW w:type="pct" w:w="1152"/>
            <w:tcMar>
              <w:top w:type="dxa" w:w="50"/>
              <w:left w:type="dxa" w:w="110"/>
              <w:bottom w:type="dxa" w:w="50"/>
              <w:right w:type="dxa" w:w="110"/>
            </w:tcMar>
          </w:tcPr>
          <w:p>
            <w:pPr>
              <w:spacing w:before="26" w:after="26"/>
            </w:pPr>
            <w:r>
              <w:rPr>
                <w:color w:val="232733"/>
                <w:sz w:val="16"/>
                <w:szCs w:val="16"/>
              </w:rPr>
              <w:t xml:space="preserve">Tranche by tranche</w:t>
            </w:r>
          </w:p>
        </w:tc>
      </w:tr>
      <w:tr>
        <w:tc>
          <w:tcPr>
            <w:tcW w:type="pct" w:w="1662"/>
            <w:shd w:fill="FBFAF6" w:val="clear"/>
            <w:tcMar>
              <w:top w:type="dxa" w:w="50"/>
              <w:left w:type="dxa" w:w="110"/>
              <w:bottom w:type="dxa" w:w="50"/>
              <w:right w:type="dxa" w:w="110"/>
            </w:tcMar>
          </w:tcPr>
          <w:p>
            <w:pPr>
              <w:spacing w:before="26" w:after="26"/>
            </w:pPr>
            <w:r>
              <w:rPr>
                <w:color w:val="232733"/>
                <w:sz w:val="16"/>
                <w:szCs w:val="16"/>
              </w:rPr>
              <w:t xml:space="preserve">Forfeitures</w:t>
            </w:r>
          </w:p>
        </w:tc>
        <w:tc>
          <w:tcPr>
            <w:tcW w:type="pct" w:w="2186"/>
            <w:shd w:fill="FBFAF6" w:val="clear"/>
            <w:tcMar>
              <w:top w:type="dxa" w:w="50"/>
              <w:left w:type="dxa" w:w="110"/>
              <w:bottom w:type="dxa" w:w="50"/>
              <w:right w:type="dxa" w:w="110"/>
            </w:tcMar>
          </w:tcPr>
          <w:p>
            <w:pPr>
              <w:spacing w:before="26" w:after="26"/>
            </w:pPr>
            <w:r>
              <w:rPr>
                <w:color w:val="232733"/>
                <w:sz w:val="16"/>
                <w:szCs w:val="16"/>
              </w:rPr>
              <w:t xml:space="preserve">Policy choice: estimate or record as they occur</w:t>
            </w:r>
          </w:p>
        </w:tc>
        <w:tc>
          <w:tcPr>
            <w:tcW w:type="pct" w:w="1152"/>
            <w:shd w:fill="FBFAF6" w:val="clear"/>
            <w:tcMar>
              <w:top w:type="dxa" w:w="50"/>
              <w:left w:type="dxa" w:w="110"/>
              <w:bottom w:type="dxa" w:w="50"/>
              <w:right w:type="dxa" w:w="110"/>
            </w:tcMar>
          </w:tcPr>
          <w:p>
            <w:pPr>
              <w:spacing w:before="26" w:after="26"/>
            </w:pPr>
            <w:r>
              <w:rPr>
                <w:color w:val="232733"/>
                <w:sz w:val="16"/>
                <w:szCs w:val="16"/>
              </w:rPr>
              <w:t xml:space="preserve">Estimate</w:t>
            </w:r>
          </w:p>
        </w:tc>
      </w:tr>
      <w:tr>
        <w:tc>
          <w:tcPr>
            <w:tcW w:type="pct" w:w="1662"/>
            <w:tcMar>
              <w:top w:type="dxa" w:w="50"/>
              <w:left w:type="dxa" w:w="110"/>
              <w:bottom w:type="dxa" w:w="50"/>
              <w:right w:type="dxa" w:w="110"/>
            </w:tcMar>
          </w:tcPr>
          <w:p>
            <w:pPr>
              <w:spacing w:before="26" w:after="26"/>
            </w:pPr>
            <w:r>
              <w:rPr>
                <w:color w:val="232733"/>
                <w:sz w:val="16"/>
                <w:szCs w:val="16"/>
              </w:rPr>
              <w:t xml:space="preserve">Employer payroll taxes on awards</w:t>
            </w:r>
          </w:p>
        </w:tc>
        <w:tc>
          <w:tcPr>
            <w:tcW w:type="pct" w:w="2186"/>
            <w:tcMar>
              <w:top w:type="dxa" w:w="50"/>
              <w:left w:type="dxa" w:w="110"/>
              <w:bottom w:type="dxa" w:w="50"/>
              <w:right w:type="dxa" w:w="110"/>
            </w:tcMar>
          </w:tcPr>
          <w:p>
            <w:pPr>
              <w:spacing w:before="26" w:after="26"/>
            </w:pPr>
            <w:r>
              <w:rPr>
                <w:color w:val="232733"/>
                <w:sz w:val="16"/>
                <w:szCs w:val="16"/>
              </w:rPr>
              <w:t xml:space="preserve">When the tax obligation arises (exercise or vesting)</w:t>
            </w:r>
          </w:p>
        </w:tc>
        <w:tc>
          <w:tcPr>
            <w:tcW w:type="pct" w:w="1152"/>
            <w:tcMar>
              <w:top w:type="dxa" w:w="50"/>
              <w:left w:type="dxa" w:w="110"/>
              <w:bottom w:type="dxa" w:w="50"/>
              <w:right w:type="dxa" w:w="110"/>
            </w:tcMar>
          </w:tcPr>
          <w:p>
            <w:pPr>
              <w:spacing w:before="26" w:after="26"/>
            </w:pPr>
            <w:r>
              <w:rPr>
                <w:color w:val="232733"/>
                <w:sz w:val="16"/>
                <w:szCs w:val="16"/>
              </w:rPr>
              <w:t xml:space="preserve">Accrued over the vesting period</w:t>
            </w:r>
          </w:p>
        </w:tc>
      </w:tr>
      <w:tr>
        <w:tc>
          <w:tcPr>
            <w:tcW w:type="pct" w:w="1662"/>
            <w:shd w:fill="FBFAF6" w:val="clear"/>
            <w:tcMar>
              <w:top w:type="dxa" w:w="50"/>
              <w:left w:type="dxa" w:w="110"/>
              <w:bottom w:type="dxa" w:w="50"/>
              <w:right w:type="dxa" w:w="110"/>
            </w:tcMar>
          </w:tcPr>
          <w:p>
            <w:pPr>
              <w:spacing w:before="26" w:after="26"/>
            </w:pPr>
            <w:r>
              <w:rPr>
                <w:color w:val="232733"/>
                <w:sz w:val="16"/>
                <w:szCs w:val="16"/>
              </w:rPr>
              <w:t xml:space="preserve">Pension remeasurements (actuarial gains and losses)</w:t>
            </w:r>
          </w:p>
        </w:tc>
        <w:tc>
          <w:tcPr>
            <w:tcW w:type="pct" w:w="2186"/>
            <w:shd w:fill="FBFAF6" w:val="clear"/>
            <w:tcMar>
              <w:top w:type="dxa" w:w="50"/>
              <w:left w:type="dxa" w:w="110"/>
              <w:bottom w:type="dxa" w:w="50"/>
              <w:right w:type="dxa" w:w="110"/>
            </w:tcMar>
          </w:tcPr>
          <w:p>
            <w:pPr>
              <w:spacing w:before="26" w:after="26"/>
            </w:pPr>
            <w:r>
              <w:rPr>
                <w:color w:val="232733"/>
                <w:sz w:val="16"/>
                <w:szCs w:val="16"/>
              </w:rPr>
              <w:t xml:space="preserve">OCI, then amortized into net income (corridor)</w:t>
            </w:r>
          </w:p>
        </w:tc>
        <w:tc>
          <w:tcPr>
            <w:tcW w:type="pct" w:w="1152"/>
            <w:shd w:fill="FBFAF6" w:val="clear"/>
            <w:tcMar>
              <w:top w:type="dxa" w:w="50"/>
              <w:left w:type="dxa" w:w="110"/>
              <w:bottom w:type="dxa" w:w="50"/>
              <w:right w:type="dxa" w:w="110"/>
            </w:tcMar>
          </w:tcPr>
          <w:p>
            <w:pPr>
              <w:spacing w:before="26" w:after="26"/>
            </w:pPr>
            <w:r>
              <w:rPr>
                <w:color w:val="232733"/>
                <w:sz w:val="16"/>
                <w:szCs w:val="16"/>
              </w:rPr>
              <w:t xml:space="preserve">OCI, never reclassified to profit</w:t>
            </w:r>
          </w:p>
        </w:tc>
      </w:tr>
      <w:tr>
        <w:tc>
          <w:tcPr>
            <w:tcW w:type="pct" w:w="1662"/>
            <w:tcMar>
              <w:top w:type="dxa" w:w="50"/>
              <w:left w:type="dxa" w:w="110"/>
              <w:bottom w:type="dxa" w:w="50"/>
              <w:right w:type="dxa" w:w="110"/>
            </w:tcMar>
          </w:tcPr>
          <w:p>
            <w:pPr>
              <w:spacing w:before="26" w:after="26"/>
            </w:pPr>
            <w:r>
              <w:rPr>
                <w:color w:val="232733"/>
                <w:sz w:val="16"/>
                <w:szCs w:val="16"/>
              </w:rPr>
              <w:t xml:space="preserve">Return on plan assets</w:t>
            </w:r>
          </w:p>
        </w:tc>
        <w:tc>
          <w:tcPr>
            <w:tcW w:type="pct" w:w="2186"/>
            <w:tcMar>
              <w:top w:type="dxa" w:w="50"/>
              <w:left w:type="dxa" w:w="110"/>
              <w:bottom w:type="dxa" w:w="50"/>
              <w:right w:type="dxa" w:w="110"/>
            </w:tcMar>
          </w:tcPr>
          <w:p>
            <w:pPr>
              <w:spacing w:before="26" w:after="26"/>
            </w:pPr>
            <w:r>
              <w:rPr>
                <w:color w:val="232733"/>
                <w:sz w:val="16"/>
                <w:szCs w:val="16"/>
              </w:rPr>
              <w:t xml:space="preserve">Expected return</w:t>
            </w:r>
          </w:p>
        </w:tc>
        <w:tc>
          <w:tcPr>
            <w:tcW w:type="pct" w:w="1152"/>
            <w:tcMar>
              <w:top w:type="dxa" w:w="50"/>
              <w:left w:type="dxa" w:w="110"/>
              <w:bottom w:type="dxa" w:w="50"/>
              <w:right w:type="dxa" w:w="110"/>
            </w:tcMar>
          </w:tcPr>
          <w:p>
            <w:pPr>
              <w:spacing w:before="26" w:after="26"/>
            </w:pPr>
            <w:r>
              <w:rPr>
                <w:color w:val="232733"/>
                <w:sz w:val="16"/>
                <w:szCs w:val="16"/>
              </w:rPr>
              <w:t xml:space="preserve">Net interest at the discount rate</w:t>
            </w:r>
          </w:p>
        </w:tc>
      </w:tr>
      <w:tr>
        <w:tc>
          <w:tcPr>
            <w:tcW w:type="pct" w:w="1662"/>
            <w:shd w:fill="FBFAF6" w:val="clear"/>
            <w:tcMar>
              <w:top w:type="dxa" w:w="50"/>
              <w:left w:type="dxa" w:w="110"/>
              <w:bottom w:type="dxa" w:w="50"/>
              <w:right w:type="dxa" w:w="110"/>
            </w:tcMar>
          </w:tcPr>
          <w:p>
            <w:pPr>
              <w:spacing w:before="26" w:after="26"/>
            </w:pPr>
            <w:r>
              <w:rPr>
                <w:color w:val="232733"/>
                <w:sz w:val="16"/>
                <w:szCs w:val="16"/>
              </w:rPr>
              <w:t xml:space="preserve">Prior service cost: Orontes amendment of 50,000</w:t>
            </w:r>
          </w:p>
        </w:tc>
        <w:tc>
          <w:tcPr>
            <w:tcW w:type="pct" w:w="2186"/>
            <w:shd w:fill="FBFAF6" w:val="clear"/>
            <w:tcMar>
              <w:top w:type="dxa" w:w="50"/>
              <w:left w:type="dxa" w:w="110"/>
              <w:bottom w:type="dxa" w:w="50"/>
              <w:right w:type="dxa" w:w="110"/>
            </w:tcMar>
          </w:tcPr>
          <w:p>
            <w:pPr>
              <w:spacing w:before="26" w:after="26"/>
            </w:pPr>
            <w:r>
              <w:rPr>
                <w:color w:val="232733"/>
                <w:sz w:val="16"/>
                <w:szCs w:val="16"/>
              </w:rPr>
              <w:t xml:space="preserve">OCI, amortized over 10 years: 5,000 a year</w:t>
            </w:r>
          </w:p>
        </w:tc>
        <w:tc>
          <w:tcPr>
            <w:tcW w:type="pct" w:w="1152"/>
            <w:shd w:fill="FBFAF6" w:val="clear"/>
            <w:tcMar>
              <w:top w:type="dxa" w:w="50"/>
              <w:left w:type="dxa" w:w="110"/>
              <w:bottom w:type="dxa" w:w="50"/>
              <w:right w:type="dxa" w:w="110"/>
            </w:tcMar>
          </w:tcPr>
          <w:p>
            <w:pPr>
              <w:spacing w:before="26" w:after="26"/>
            </w:pPr>
            <w:r>
              <w:rPr>
                <w:color w:val="232733"/>
                <w:sz w:val="16"/>
                <w:szCs w:val="16"/>
              </w:rPr>
              <w:t xml:space="preserve">Expensed at once: 50,000</w:t>
            </w:r>
          </w:p>
        </w:tc>
      </w:tr>
    </w:tbl>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16.  </w:t>
            </w:r>
            <w:r>
              <w:rPr>
                <w:sz w:val="19"/>
                <w:szCs w:val="19"/>
              </w:rPr>
              <w:t xml:space="preserve">The extract for this question is printed with it. How much of Orontes's prior service cost is recognized in 2027 net income under IAS 19 and under U.S. GAAP (whole USD)?</w:t>
            </w:r>
          </w:p>
          <w:p>
            <w:pPr>
              <w:spacing w:after="16"/>
              <w:ind w:left="500" w:hanging="200"/>
            </w:pPr>
            <w:r>
              <w:rPr>
                <w:b/>
                <w:bCs/>
                <w:color w:val="8186EF"/>
                <w:sz w:val="18"/>
                <w:szCs w:val="18"/>
              </w:rPr>
              <w:t xml:space="preserve">A. </w:t>
            </w:r>
            <w:r>
              <w:rPr>
                <w:sz w:val="18"/>
                <w:szCs w:val="18"/>
              </w:rPr>
              <w:t xml:space="preserve">IFRS 5,000; U.S. 50,000</w:t>
            </w:r>
          </w:p>
          <w:p>
            <w:pPr>
              <w:spacing w:after="16"/>
              <w:ind w:left="500" w:hanging="200"/>
            </w:pPr>
            <w:r>
              <w:rPr>
                <w:b/>
                <w:bCs/>
                <w:color w:val="8186EF"/>
                <w:sz w:val="18"/>
                <w:szCs w:val="18"/>
              </w:rPr>
              <w:t xml:space="preserve">B. </w:t>
            </w:r>
            <w:r>
              <w:rPr>
                <w:sz w:val="18"/>
                <w:szCs w:val="18"/>
              </w:rPr>
              <w:t xml:space="preserve">Both 50,000</w:t>
            </w:r>
          </w:p>
          <w:p>
            <w:pPr>
              <w:spacing w:after="16"/>
              <w:ind w:left="500" w:hanging="200"/>
            </w:pPr>
            <w:r>
              <w:rPr>
                <w:b/>
                <w:bCs/>
                <w:color w:val="8186EF"/>
                <w:sz w:val="18"/>
                <w:szCs w:val="18"/>
              </w:rPr>
              <w:t xml:space="preserve">C. </w:t>
            </w:r>
            <w:r>
              <w:rPr>
                <w:sz w:val="18"/>
                <w:szCs w:val="18"/>
              </w:rPr>
              <w:t xml:space="preserve">Both 5,000</w:t>
            </w:r>
          </w:p>
          <w:p>
            <w:pPr>
              <w:spacing w:after="16"/>
              <w:ind w:left="500" w:hanging="200"/>
            </w:pPr>
            <w:r>
              <w:rPr>
                <w:b/>
                <w:bCs/>
                <w:color w:val="8186EF"/>
                <w:sz w:val="18"/>
                <w:szCs w:val="18"/>
              </w:rPr>
              <w:t xml:space="preserve">D. </w:t>
            </w:r>
            <w:r>
              <w:rPr>
                <w:sz w:val="18"/>
                <w:szCs w:val="18"/>
              </w:rPr>
              <w:t xml:space="preserve">IFRS 50,000; U.S. 5,000</w:t>
            </w:r>
          </w:p>
          <w:p>
            <w:pPr>
              <w:spacing w:before="20" w:after="50"/>
            </w:pPr>
            <w:r>
              <w:rPr>
                <w:color w:val="C0483F"/>
                <w:sz w:val="17"/>
                <w:szCs w:val="17"/>
              </w:rPr>
              <w:t xml:space="preserve">If you got it wrong: go back to the MODEL move of cycle A and find the section this question belongs to.</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chapter’s case set</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17.  </w:t>
      </w:r>
      <w:r>
        <w:rPr>
          <w:sz w:val="19"/>
          <w:szCs w:val="19"/>
        </w:rPr>
        <w:t xml:space="preserve">In a case question, the exhibit has to be read and adjusted before any figure is worked out.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3956"/>
        <w:gridCol w:w="5644"/>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chapter’s case set, item by item</w:t>
            </w:r>
          </w:p>
        </w:tc>
      </w:tr>
      <w:tr>
        <w:tc>
          <w:tcPr>
            <w:tcW w:type="pct" w:w="2061"/>
            <w:tcMar>
              <w:top w:type="dxa" w:w="50"/>
              <w:left w:type="dxa" w:w="110"/>
              <w:bottom w:type="dxa" w:w="50"/>
              <w:right w:type="dxa" w:w="110"/>
            </w:tcMar>
          </w:tcPr>
          <w:p>
            <w:pPr>
              <w:spacing w:before="26" w:after="26"/>
            </w:pPr>
            <w:r>
              <w:rPr>
                <w:b/>
                <w:bCs/>
                <w:color w:val="353A7C"/>
                <w:sz w:val="15"/>
                <w:szCs w:val="15"/>
              </w:rPr>
              <w:t xml:space="preserve">Item</w:t>
            </w:r>
          </w:p>
        </w:tc>
        <w:tc>
          <w:tcPr>
            <w:tcW w:type="pct" w:w="2939"/>
            <w:tcMar>
              <w:top w:type="dxa" w:w="50"/>
              <w:left w:type="dxa" w:w="110"/>
              <w:bottom w:type="dxa" w:w="50"/>
              <w:right w:type="dxa" w:w="110"/>
            </w:tcMar>
          </w:tcPr>
          <w:p>
            <w:pPr>
              <w:spacing w:before="26" w:after="26"/>
            </w:pPr>
            <w:r>
              <w:rPr>
                <w:b/>
                <w:bCs/>
                <w:color w:val="353A7C"/>
                <w:sz w:val="15"/>
                <w:szCs w:val="15"/>
              </w:rPr>
              <w:t xml:space="preserve">What it asks</w:t>
            </w:r>
          </w:p>
        </w:tc>
      </w:tr>
      <w:tr>
        <w:tc>
          <w:tcPr>
            <w:tcW w:type="pct" w:w="2061"/>
            <w:tcMar>
              <w:top w:type="dxa" w:w="50"/>
              <w:left w:type="dxa" w:w="110"/>
              <w:bottom w:type="dxa" w:w="50"/>
              <w:right w:type="dxa" w:w="110"/>
            </w:tcMar>
          </w:tcPr>
          <w:p>
            <w:pPr>
              <w:spacing w:before="26" w:after="26"/>
            </w:pPr>
            <w:r>
              <w:rPr>
                <w:color w:val="232733"/>
                <w:sz w:val="16"/>
                <w:szCs w:val="16"/>
              </w:rPr>
              <w:t xml:space="preserve">C17-1</w:t>
            </w:r>
          </w:p>
        </w:tc>
        <w:tc>
          <w:tcPr>
            <w:tcW w:type="pct" w:w="2939"/>
            <w:tcMar>
              <w:top w:type="dxa" w:w="50"/>
              <w:left w:type="dxa" w:w="110"/>
              <w:bottom w:type="dxa" w:w="50"/>
              <w:right w:type="dxa" w:w="110"/>
            </w:tcMar>
          </w:tcPr>
          <w:p>
            <w:pPr>
              <w:spacing w:before="26" w:after="26"/>
            </w:pPr>
            <w:r>
              <w:rPr>
                <w:color w:val="232733"/>
                <w:sz w:val="16"/>
                <w:szCs w:val="16"/>
              </w:rPr>
              <w:t xml:space="preserve">How does each item change Levant's net income when it is converted to U.S. GAAP? (On the exam screen you would drag each</w:t>
            </w:r>
          </w:p>
        </w:tc>
      </w:tr>
      <w:tr>
        <w:tc>
          <w:tcPr>
            <w:tcW w:type="pct" w:w="2061"/>
            <w:shd w:fill="FBFAF6" w:val="clear"/>
            <w:tcMar>
              <w:top w:type="dxa" w:w="50"/>
              <w:left w:type="dxa" w:w="110"/>
              <w:bottom w:type="dxa" w:w="50"/>
              <w:right w:type="dxa" w:w="110"/>
            </w:tcMar>
          </w:tcPr>
          <w:p>
            <w:pPr>
              <w:spacing w:before="26" w:after="26"/>
            </w:pPr>
            <w:r>
              <w:rPr>
                <w:color w:val="232733"/>
                <w:sz w:val="16"/>
                <w:szCs w:val="16"/>
              </w:rPr>
              <w:t xml:space="preserve">C17-2</w:t>
            </w:r>
          </w:p>
        </w:tc>
        <w:tc>
          <w:tcPr>
            <w:tcW w:type="pct" w:w="2939"/>
            <w:shd w:fill="FBFAF6" w:val="clear"/>
            <w:tcMar>
              <w:top w:type="dxa" w:w="50"/>
              <w:left w:type="dxa" w:w="110"/>
              <w:bottom w:type="dxa" w:w="50"/>
              <w:right w:type="dxa" w:w="110"/>
            </w:tcMar>
          </w:tcPr>
          <w:p>
            <w:pPr>
              <w:spacing w:before="26" w:after="26"/>
            </w:pPr>
            <w:r>
              <w:rPr>
                <w:color w:val="232733"/>
                <w:sz w:val="16"/>
                <w:szCs w:val="16"/>
              </w:rPr>
              <w:t xml:space="preserve">Enter the net decrease in Levant's 2027 net income on conversion to U.S. GAAP.</w:t>
            </w:r>
          </w:p>
        </w:tc>
      </w:tr>
      <w:tr>
        <w:tc>
          <w:tcPr>
            <w:tcW w:type="pct" w:w="2061"/>
            <w:tcMar>
              <w:top w:type="dxa" w:w="50"/>
              <w:left w:type="dxa" w:w="110"/>
              <w:bottom w:type="dxa" w:w="50"/>
              <w:right w:type="dxa" w:w="110"/>
            </w:tcMar>
          </w:tcPr>
          <w:p>
            <w:pPr>
              <w:spacing w:before="26" w:after="26"/>
            </w:pPr>
            <w:r>
              <w:rPr>
                <w:color w:val="232733"/>
                <w:sz w:val="16"/>
                <w:szCs w:val="16"/>
              </w:rPr>
              <w:t xml:space="preserve">C17-3</w:t>
            </w:r>
          </w:p>
        </w:tc>
        <w:tc>
          <w:tcPr>
            <w:tcW w:type="pct" w:w="2939"/>
            <w:tcMar>
              <w:top w:type="dxa" w:w="50"/>
              <w:left w:type="dxa" w:w="110"/>
              <w:bottom w:type="dxa" w:w="50"/>
              <w:right w:type="dxa" w:w="110"/>
            </w:tcMar>
          </w:tcPr>
          <w:p>
            <w:pPr>
              <w:spacing w:before="26" w:after="26"/>
            </w:pPr>
            <w:r>
              <w:rPr>
                <w:color w:val="232733"/>
                <w:sz w:val="16"/>
                <w:szCs w:val="16"/>
              </w:rPr>
              <w:t xml:space="preserve">Enter Levant's 2027 net income under U.S. GAAP.</w:t>
            </w:r>
          </w:p>
        </w:tc>
      </w:tr>
      <w:tr>
        <w:tc>
          <w:tcPr>
            <w:tcW w:type="pct" w:w="2061"/>
            <w:shd w:fill="FBFAF6" w:val="clear"/>
            <w:tcMar>
              <w:top w:type="dxa" w:w="50"/>
              <w:left w:type="dxa" w:w="110"/>
              <w:bottom w:type="dxa" w:w="50"/>
              <w:right w:type="dxa" w:w="110"/>
            </w:tcMar>
          </w:tcPr>
          <w:p>
            <w:pPr>
              <w:spacing w:before="26" w:after="26"/>
            </w:pPr>
            <w:r>
              <w:rPr>
                <w:color w:val="232733"/>
                <w:sz w:val="16"/>
                <w:szCs w:val="16"/>
              </w:rPr>
              <w:t xml:space="preserve">C17-4</w:t>
            </w:r>
          </w:p>
        </w:tc>
        <w:tc>
          <w:tcPr>
            <w:tcW w:type="pct" w:w="2939"/>
            <w:shd w:fill="FBFAF6" w:val="clear"/>
            <w:tcMar>
              <w:top w:type="dxa" w:w="50"/>
              <w:left w:type="dxa" w:w="110"/>
              <w:bottom w:type="dxa" w:w="50"/>
              <w:right w:type="dxa" w:w="110"/>
            </w:tcMar>
          </w:tcPr>
          <w:p>
            <w:pPr>
              <w:spacing w:before="26" w:after="26"/>
            </w:pPr>
            <w:r>
              <w:rPr>
                <w:color w:val="232733"/>
                <w:sz w:val="16"/>
                <w:szCs w:val="16"/>
              </w:rPr>
              <w:t xml:space="preserve">Enter the carrying amount of the delivery fleet under U.S. GAAP.</w:t>
            </w:r>
          </w:p>
        </w:tc>
      </w:tr>
      <w:tr>
        <w:tc>
          <w:tcPr>
            <w:tcW w:type="pct" w:w="2061"/>
            <w:tcMar>
              <w:top w:type="dxa" w:w="50"/>
              <w:left w:type="dxa" w:w="110"/>
              <w:bottom w:type="dxa" w:w="50"/>
              <w:right w:type="dxa" w:w="110"/>
            </w:tcMar>
          </w:tcPr>
          <w:p>
            <w:pPr>
              <w:spacing w:before="26" w:after="26"/>
            </w:pPr>
            <w:r>
              <w:rPr>
                <w:color w:val="232733"/>
                <w:sz w:val="16"/>
                <w:szCs w:val="16"/>
              </w:rPr>
              <w:t xml:space="preserve">C17-5</w:t>
            </w:r>
          </w:p>
        </w:tc>
        <w:tc>
          <w:tcPr>
            <w:tcW w:type="pct" w:w="2939"/>
            <w:tcMar>
              <w:top w:type="dxa" w:w="50"/>
              <w:left w:type="dxa" w:w="110"/>
              <w:bottom w:type="dxa" w:w="50"/>
              <w:right w:type="dxa" w:w="110"/>
            </w:tcMar>
          </w:tcPr>
          <w:p>
            <w:pPr>
              <w:spacing w:before="26" w:after="26"/>
            </w:pPr>
            <w:r>
              <w:rPr>
                <w:color w:val="232733"/>
                <w:sz w:val="16"/>
                <w:szCs w:val="16"/>
              </w:rPr>
              <w:t xml:space="preserve">By how much is Levant's equity lower under U.S. GAAP than under IFRS?</w:t>
            </w:r>
          </w:p>
        </w:tc>
      </w:tr>
      <w:tr>
        <w:tc>
          <w:tcPr>
            <w:tcW w:type="pct" w:w="2061"/>
            <w:shd w:fill="FBFAF6" w:val="clear"/>
            <w:tcMar>
              <w:top w:type="dxa" w:w="50"/>
              <w:left w:type="dxa" w:w="110"/>
              <w:bottom w:type="dxa" w:w="50"/>
              <w:right w:type="dxa" w:w="110"/>
            </w:tcMar>
          </w:tcPr>
          <w:p>
            <w:pPr>
              <w:spacing w:before="26" w:after="26"/>
            </w:pPr>
            <w:r>
              <w:rPr>
                <w:color w:val="232733"/>
                <w:sz w:val="16"/>
                <w:szCs w:val="16"/>
              </w:rPr>
              <w:t xml:space="preserve">C17-6</w:t>
            </w:r>
          </w:p>
        </w:tc>
        <w:tc>
          <w:tcPr>
            <w:tcW w:type="pct" w:w="2939"/>
            <w:shd w:fill="FBFAF6" w:val="clear"/>
            <w:tcMar>
              <w:top w:type="dxa" w:w="50"/>
              <w:left w:type="dxa" w:w="110"/>
              <w:bottom w:type="dxa" w:w="50"/>
              <w:right w:type="dxa" w:w="110"/>
            </w:tcMar>
          </w:tcPr>
          <w:p>
            <w:pPr>
              <w:spacing w:before="26" w:after="26"/>
            </w:pPr>
            <w:r>
              <w:rPr>
                <w:color w:val="232733"/>
                <w:sz w:val="16"/>
                <w:szCs w:val="16"/>
              </w:rPr>
              <w:t xml:space="preserve">Under U.S. GAAP, Levant's 2027 inventory write-down reversal is: [select]</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24"/>
      </w:pPr>
      <w:r>
        <w:rPr>
          <w:sz w:val="19"/>
          <w:szCs w:val="19"/>
        </w:rPr>
        <w:t xml:space="preserve">The tasks of a case set have to be worked in one order, because each one uses the result of the one before it. Write the letter of its place beside each task.</w:t>
      </w:r>
    </w:p>
    <w:tbl>
      <w:tblPr>
        <w:tblW w:type="pct" w:w="100%"/>
        <w:tblLayout w:type="fixed"/>
        <w:tblBorders>
          <w:top w:val="single" w:color="8186EF" w:sz="4"/>
          <w:left w:val="single" w:color="8186EF" w:sz="4"/>
          <w:bottom w:val="single" w:color="8186EF" w:sz="4"/>
          <w:right w:val="single" w:color="8186EF" w:sz="4"/>
          <w:insideH w:val="single" w:color="8186EF" w:sz="4"/>
          <w:insideV w:val="single" w:color="8186EF" w:sz="4"/>
        </w:tblBorders>
      </w:tblPr>
      <w:tblGrid>
        <w:gridCol w:w="4800"/>
        <w:gridCol w:w="4800"/>
      </w:tblGrid>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A  </w:t>
            </w:r>
            <w:r>
              <w:rPr>
                <w:sz w:val="16"/>
                <w:szCs w:val="16"/>
              </w:rPr>
              <w:t xml:space="preserve">first</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D  </w:t>
            </w:r>
            <w:r>
              <w:rPr>
                <w:sz w:val="16"/>
                <w:szCs w:val="16"/>
              </w:rPr>
              <w:t xml:space="preserve">fourth</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B  </w:t>
            </w:r>
            <w:r>
              <w:rPr>
                <w:sz w:val="16"/>
                <w:szCs w:val="16"/>
              </w:rPr>
              <w:t xml:space="preserve">second</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E  </w:t>
            </w:r>
            <w:r>
              <w:rPr>
                <w:sz w:val="16"/>
                <w:szCs w:val="16"/>
              </w:rPr>
              <w:t xml:space="preserve">fifth</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C  </w:t>
            </w:r>
            <w:r>
              <w:rPr>
                <w:sz w:val="16"/>
                <w:szCs w:val="16"/>
              </w:rPr>
              <w:t xml:space="preserve">third</w:t>
            </w:r>
          </w:p>
        </w:tc>
        <w:tc>
          <w:tcPr>
            <w:tcW w:type="pct" w:w="2500"/>
            <w:shd w:fill="FBFAF6" w:val="clear"/>
            <w:tcMar>
              <w:top w:type="dxa" w:w="40"/>
              <w:left w:type="dxa" w:w="100"/>
              <w:bottom w:type="dxa" w:w="40"/>
              <w:right w:type="dxa" w:w="100"/>
            </w:tcMar>
          </w:tcPr>
          <w:p>
            <w:pPr>
              <w:spacing w:before="24" w:after="24"/>
            </w:pPr>
            <w:r>
              <w:rPr>
                <w:sz w:val="16"/>
                <w:szCs w:val="16"/>
              </w:rPr>
              <w:t xml:space="preserve"/>
            </w:r>
          </w:p>
        </w:tc>
      </w:tr>
    </w:tbl>
    <w:p/>
    <w:p>
      <w:pPr>
        <w:spacing w:before="24" w:after="24"/>
        <w:ind w:left="300" w:hanging="300"/>
      </w:pPr>
      <w:r>
        <w:rPr>
          <w:b/>
          <w:bCs/>
          <w:color w:val="353A7C"/>
          <w:sz w:val="18"/>
          <w:szCs w:val="18"/>
        </w:rPr>
        <w:t xml:space="preserve">18.  </w:t>
      </w:r>
      <w:r>
        <w:rPr>
          <w:sz w:val="18"/>
          <w:szCs w:val="18"/>
        </w:rPr>
        <w:t xml:space="preserve">Under U.S. GAAP, Levant's 2027 inventory write-down reversal is: [select]</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19.  </w:t>
      </w:r>
      <w:r>
        <w:rPr>
          <w:sz w:val="18"/>
          <w:szCs w:val="18"/>
        </w:rPr>
        <w:t xml:space="preserve">By how much is Levant's equity lower under U.S. GAAP than under IFRS?</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20.  </w:t>
      </w:r>
      <w:r>
        <w:rPr>
          <w:sz w:val="18"/>
          <w:szCs w:val="18"/>
        </w:rPr>
        <w:t xml:space="preserve">Enter Levant's 2027 net income under U.S. GAAP.</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21.  </w:t>
      </w:r>
      <w:r>
        <w:rPr>
          <w:sz w:val="18"/>
          <w:szCs w:val="18"/>
        </w:rPr>
        <w:t xml:space="preserve">Enter the carrying amount of the delivery fleet under U.S. GAAP.</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22.  </w:t>
      </w:r>
      <w:r>
        <w:rPr>
          <w:sz w:val="18"/>
          <w:szCs w:val="18"/>
        </w:rPr>
        <w:t xml:space="preserve">Enter the net decrease in Levant's 2027 net income on conversion to U.S. GAAP.</w:t>
      </w:r>
      <w:r>
        <w:rPr>
          <w:sz w:val="18"/>
          <w:szCs w:val="18"/>
        </w:rPr>
        <w:t xml:space="preserve">      </w:t>
      </w:r>
      <w:r>
        <w:rPr>
          <w:u w:val="single"/>
          <w:sz w:val="18"/>
          <w:szCs w:val="18"/>
        </w:rPr>
        <w:t xml:space="preserve">        </w:t>
      </w:r>
    </w:p>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3191"/>
        <w:gridCol w:w="4198"/>
        <w:gridCol w:w="2211"/>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Topic — the extract for the question that follows</w:t>
            </w:r>
          </w:p>
        </w:tc>
      </w:tr>
      <w:tr>
        <w:tc>
          <w:tcPr>
            <w:tcW w:type="pct" w:w="1662"/>
            <w:tcMar>
              <w:top w:type="dxa" w:w="50"/>
              <w:left w:type="dxa" w:w="110"/>
              <w:bottom w:type="dxa" w:w="50"/>
              <w:right w:type="dxa" w:w="110"/>
            </w:tcMar>
          </w:tcPr>
          <w:p>
            <w:pPr>
              <w:spacing w:before="26" w:after="26"/>
            </w:pPr>
            <w:r>
              <w:rPr>
                <w:b/>
                <w:bCs/>
                <w:color w:val="353A7C"/>
                <w:sz w:val="15"/>
                <w:szCs w:val="15"/>
              </w:rPr>
              <w:t xml:space="preserve">Topic</w:t>
            </w:r>
          </w:p>
        </w:tc>
        <w:tc>
          <w:tcPr>
            <w:tcW w:type="pct" w:w="2186"/>
            <w:tcMar>
              <w:top w:type="dxa" w:w="50"/>
              <w:left w:type="dxa" w:w="110"/>
              <w:bottom w:type="dxa" w:w="50"/>
              <w:right w:type="dxa" w:w="110"/>
            </w:tcMar>
          </w:tcPr>
          <w:p>
            <w:pPr>
              <w:spacing w:before="26" w:after="26"/>
            </w:pPr>
            <w:r>
              <w:rPr>
                <w:b/>
                <w:bCs/>
                <w:color w:val="353A7C"/>
                <w:sz w:val="15"/>
                <w:szCs w:val="15"/>
              </w:rPr>
              <w:t xml:space="preserve">U.S. GAAP (ASC 718, 715)</w:t>
            </w:r>
          </w:p>
        </w:tc>
        <w:tc>
          <w:tcPr>
            <w:tcW w:type="pct" w:w="1152"/>
            <w:tcMar>
              <w:top w:type="dxa" w:w="50"/>
              <w:left w:type="dxa" w:w="110"/>
              <w:bottom w:type="dxa" w:w="50"/>
              <w:right w:type="dxa" w:w="110"/>
            </w:tcMar>
          </w:tcPr>
          <w:p>
            <w:pPr>
              <w:spacing w:before="26" w:after="26"/>
            </w:pPr>
            <w:r>
              <w:rPr>
                <w:b/>
                <w:bCs/>
                <w:color w:val="353A7C"/>
                <w:sz w:val="15"/>
                <w:szCs w:val="15"/>
              </w:rPr>
              <w:t xml:space="preserve">IFRS (IFRS 2, IAS 19)</w:t>
            </w:r>
          </w:p>
        </w:tc>
      </w:tr>
      <w:tr>
        <w:tc>
          <w:tcPr>
            <w:tcW w:type="pct" w:w="1662"/>
            <w:tcMar>
              <w:top w:type="dxa" w:w="50"/>
              <w:left w:type="dxa" w:w="110"/>
              <w:bottom w:type="dxa" w:w="50"/>
              <w:right w:type="dxa" w:w="110"/>
            </w:tcMar>
          </w:tcPr>
          <w:p>
            <w:pPr>
              <w:spacing w:before="26" w:after="26"/>
            </w:pPr>
            <w:r>
              <w:rPr>
                <w:color w:val="232733"/>
                <w:sz w:val="16"/>
                <w:szCs w:val="16"/>
              </w:rPr>
              <w:t xml:space="preserve">Graded vesting (service condition)</w:t>
            </w:r>
          </w:p>
        </w:tc>
        <w:tc>
          <w:tcPr>
            <w:tcW w:type="pct" w:w="2186"/>
            <w:tcMar>
              <w:top w:type="dxa" w:w="50"/>
              <w:left w:type="dxa" w:w="110"/>
              <w:bottom w:type="dxa" w:w="50"/>
              <w:right w:type="dxa" w:w="110"/>
            </w:tcMar>
          </w:tcPr>
          <w:p>
            <w:pPr>
              <w:spacing w:before="26" w:after="26"/>
            </w:pPr>
            <w:r>
              <w:rPr>
                <w:color w:val="232733"/>
                <w:sz w:val="16"/>
                <w:szCs w:val="16"/>
              </w:rPr>
              <w:t xml:space="preserve">Choice: straight-line over the whole period or tranche by tranche</w:t>
            </w:r>
          </w:p>
        </w:tc>
        <w:tc>
          <w:tcPr>
            <w:tcW w:type="pct" w:w="1152"/>
            <w:tcMar>
              <w:top w:type="dxa" w:w="50"/>
              <w:left w:type="dxa" w:w="110"/>
              <w:bottom w:type="dxa" w:w="50"/>
              <w:right w:type="dxa" w:w="110"/>
            </w:tcMar>
          </w:tcPr>
          <w:p>
            <w:pPr>
              <w:spacing w:before="26" w:after="26"/>
            </w:pPr>
            <w:r>
              <w:rPr>
                <w:color w:val="232733"/>
                <w:sz w:val="16"/>
                <w:szCs w:val="16"/>
              </w:rPr>
              <w:t xml:space="preserve">Tranche by tranche</w:t>
            </w:r>
          </w:p>
        </w:tc>
      </w:tr>
      <w:tr>
        <w:tc>
          <w:tcPr>
            <w:tcW w:type="pct" w:w="1662"/>
            <w:shd w:fill="FBFAF6" w:val="clear"/>
            <w:tcMar>
              <w:top w:type="dxa" w:w="50"/>
              <w:left w:type="dxa" w:w="110"/>
              <w:bottom w:type="dxa" w:w="50"/>
              <w:right w:type="dxa" w:w="110"/>
            </w:tcMar>
          </w:tcPr>
          <w:p>
            <w:pPr>
              <w:spacing w:before="26" w:after="26"/>
            </w:pPr>
            <w:r>
              <w:rPr>
                <w:color w:val="232733"/>
                <w:sz w:val="16"/>
                <w:szCs w:val="16"/>
              </w:rPr>
              <w:t xml:space="preserve">Forfeitures</w:t>
            </w:r>
          </w:p>
        </w:tc>
        <w:tc>
          <w:tcPr>
            <w:tcW w:type="pct" w:w="2186"/>
            <w:shd w:fill="FBFAF6" w:val="clear"/>
            <w:tcMar>
              <w:top w:type="dxa" w:w="50"/>
              <w:left w:type="dxa" w:w="110"/>
              <w:bottom w:type="dxa" w:w="50"/>
              <w:right w:type="dxa" w:w="110"/>
            </w:tcMar>
          </w:tcPr>
          <w:p>
            <w:pPr>
              <w:spacing w:before="26" w:after="26"/>
            </w:pPr>
            <w:r>
              <w:rPr>
                <w:color w:val="232733"/>
                <w:sz w:val="16"/>
                <w:szCs w:val="16"/>
              </w:rPr>
              <w:t xml:space="preserve">Policy choice: estimate or record as they occur</w:t>
            </w:r>
          </w:p>
        </w:tc>
        <w:tc>
          <w:tcPr>
            <w:tcW w:type="pct" w:w="1152"/>
            <w:shd w:fill="FBFAF6" w:val="clear"/>
            <w:tcMar>
              <w:top w:type="dxa" w:w="50"/>
              <w:left w:type="dxa" w:w="110"/>
              <w:bottom w:type="dxa" w:w="50"/>
              <w:right w:type="dxa" w:w="110"/>
            </w:tcMar>
          </w:tcPr>
          <w:p>
            <w:pPr>
              <w:spacing w:before="26" w:after="26"/>
            </w:pPr>
            <w:r>
              <w:rPr>
                <w:color w:val="232733"/>
                <w:sz w:val="16"/>
                <w:szCs w:val="16"/>
              </w:rPr>
              <w:t xml:space="preserve">Estimate</w:t>
            </w:r>
          </w:p>
        </w:tc>
      </w:tr>
      <w:tr>
        <w:tc>
          <w:tcPr>
            <w:tcW w:type="pct" w:w="1662"/>
            <w:tcMar>
              <w:top w:type="dxa" w:w="50"/>
              <w:left w:type="dxa" w:w="110"/>
              <w:bottom w:type="dxa" w:w="50"/>
              <w:right w:type="dxa" w:w="110"/>
            </w:tcMar>
          </w:tcPr>
          <w:p>
            <w:pPr>
              <w:spacing w:before="26" w:after="26"/>
            </w:pPr>
            <w:r>
              <w:rPr>
                <w:color w:val="232733"/>
                <w:sz w:val="16"/>
                <w:szCs w:val="16"/>
              </w:rPr>
              <w:t xml:space="preserve">Employer payroll taxes on awards</w:t>
            </w:r>
          </w:p>
        </w:tc>
        <w:tc>
          <w:tcPr>
            <w:tcW w:type="pct" w:w="2186"/>
            <w:tcMar>
              <w:top w:type="dxa" w:w="50"/>
              <w:left w:type="dxa" w:w="110"/>
              <w:bottom w:type="dxa" w:w="50"/>
              <w:right w:type="dxa" w:w="110"/>
            </w:tcMar>
          </w:tcPr>
          <w:p>
            <w:pPr>
              <w:spacing w:before="26" w:after="26"/>
            </w:pPr>
            <w:r>
              <w:rPr>
                <w:color w:val="232733"/>
                <w:sz w:val="16"/>
                <w:szCs w:val="16"/>
              </w:rPr>
              <w:t xml:space="preserve">When the tax obligation arises (exercise or vesting)</w:t>
            </w:r>
          </w:p>
        </w:tc>
        <w:tc>
          <w:tcPr>
            <w:tcW w:type="pct" w:w="1152"/>
            <w:tcMar>
              <w:top w:type="dxa" w:w="50"/>
              <w:left w:type="dxa" w:w="110"/>
              <w:bottom w:type="dxa" w:w="50"/>
              <w:right w:type="dxa" w:w="110"/>
            </w:tcMar>
          </w:tcPr>
          <w:p>
            <w:pPr>
              <w:spacing w:before="26" w:after="26"/>
            </w:pPr>
            <w:r>
              <w:rPr>
                <w:color w:val="232733"/>
                <w:sz w:val="16"/>
                <w:szCs w:val="16"/>
              </w:rPr>
              <w:t xml:space="preserve">Accrued over the vesting period</w:t>
            </w:r>
          </w:p>
        </w:tc>
      </w:tr>
      <w:tr>
        <w:tc>
          <w:tcPr>
            <w:tcW w:type="pct" w:w="1662"/>
            <w:shd w:fill="FBFAF6" w:val="clear"/>
            <w:tcMar>
              <w:top w:type="dxa" w:w="50"/>
              <w:left w:type="dxa" w:w="110"/>
              <w:bottom w:type="dxa" w:w="50"/>
              <w:right w:type="dxa" w:w="110"/>
            </w:tcMar>
          </w:tcPr>
          <w:p>
            <w:pPr>
              <w:spacing w:before="26" w:after="26"/>
            </w:pPr>
            <w:r>
              <w:rPr>
                <w:color w:val="232733"/>
                <w:sz w:val="16"/>
                <w:szCs w:val="16"/>
              </w:rPr>
              <w:t xml:space="preserve">Pension remeasurements (actuarial gains and losses)</w:t>
            </w:r>
          </w:p>
        </w:tc>
        <w:tc>
          <w:tcPr>
            <w:tcW w:type="pct" w:w="2186"/>
            <w:shd w:fill="FBFAF6" w:val="clear"/>
            <w:tcMar>
              <w:top w:type="dxa" w:w="50"/>
              <w:left w:type="dxa" w:w="110"/>
              <w:bottom w:type="dxa" w:w="50"/>
              <w:right w:type="dxa" w:w="110"/>
            </w:tcMar>
          </w:tcPr>
          <w:p>
            <w:pPr>
              <w:spacing w:before="26" w:after="26"/>
            </w:pPr>
            <w:r>
              <w:rPr>
                <w:color w:val="232733"/>
                <w:sz w:val="16"/>
                <w:szCs w:val="16"/>
              </w:rPr>
              <w:t xml:space="preserve">OCI, then amortized into net income (corridor)</w:t>
            </w:r>
          </w:p>
        </w:tc>
        <w:tc>
          <w:tcPr>
            <w:tcW w:type="pct" w:w="1152"/>
            <w:shd w:fill="FBFAF6" w:val="clear"/>
            <w:tcMar>
              <w:top w:type="dxa" w:w="50"/>
              <w:left w:type="dxa" w:w="110"/>
              <w:bottom w:type="dxa" w:w="50"/>
              <w:right w:type="dxa" w:w="110"/>
            </w:tcMar>
          </w:tcPr>
          <w:p>
            <w:pPr>
              <w:spacing w:before="26" w:after="26"/>
            </w:pPr>
            <w:r>
              <w:rPr>
                <w:color w:val="232733"/>
                <w:sz w:val="16"/>
                <w:szCs w:val="16"/>
              </w:rPr>
              <w:t xml:space="preserve">OCI, never reclassified to profit</w:t>
            </w:r>
          </w:p>
        </w:tc>
      </w:tr>
      <w:tr>
        <w:tc>
          <w:tcPr>
            <w:tcW w:type="pct" w:w="1662"/>
            <w:tcMar>
              <w:top w:type="dxa" w:w="50"/>
              <w:left w:type="dxa" w:w="110"/>
              <w:bottom w:type="dxa" w:w="50"/>
              <w:right w:type="dxa" w:w="110"/>
            </w:tcMar>
          </w:tcPr>
          <w:p>
            <w:pPr>
              <w:spacing w:before="26" w:after="26"/>
            </w:pPr>
            <w:r>
              <w:rPr>
                <w:color w:val="232733"/>
                <w:sz w:val="16"/>
                <w:szCs w:val="16"/>
              </w:rPr>
              <w:t xml:space="preserve">Return on plan assets</w:t>
            </w:r>
          </w:p>
        </w:tc>
        <w:tc>
          <w:tcPr>
            <w:tcW w:type="pct" w:w="2186"/>
            <w:tcMar>
              <w:top w:type="dxa" w:w="50"/>
              <w:left w:type="dxa" w:w="110"/>
              <w:bottom w:type="dxa" w:w="50"/>
              <w:right w:type="dxa" w:w="110"/>
            </w:tcMar>
          </w:tcPr>
          <w:p>
            <w:pPr>
              <w:spacing w:before="26" w:after="26"/>
            </w:pPr>
            <w:r>
              <w:rPr>
                <w:color w:val="232733"/>
                <w:sz w:val="16"/>
                <w:szCs w:val="16"/>
              </w:rPr>
              <w:t xml:space="preserve">Expected return</w:t>
            </w:r>
          </w:p>
        </w:tc>
        <w:tc>
          <w:tcPr>
            <w:tcW w:type="pct" w:w="1152"/>
            <w:tcMar>
              <w:top w:type="dxa" w:w="50"/>
              <w:left w:type="dxa" w:w="110"/>
              <w:bottom w:type="dxa" w:w="50"/>
              <w:right w:type="dxa" w:w="110"/>
            </w:tcMar>
          </w:tcPr>
          <w:p>
            <w:pPr>
              <w:spacing w:before="26" w:after="26"/>
            </w:pPr>
            <w:r>
              <w:rPr>
                <w:color w:val="232733"/>
                <w:sz w:val="16"/>
                <w:szCs w:val="16"/>
              </w:rPr>
              <w:t xml:space="preserve">Net interest at the discount rate</w:t>
            </w:r>
          </w:p>
        </w:tc>
      </w:tr>
      <w:tr>
        <w:tc>
          <w:tcPr>
            <w:tcW w:type="pct" w:w="1662"/>
            <w:shd w:fill="FBFAF6" w:val="clear"/>
            <w:tcMar>
              <w:top w:type="dxa" w:w="50"/>
              <w:left w:type="dxa" w:w="110"/>
              <w:bottom w:type="dxa" w:w="50"/>
              <w:right w:type="dxa" w:w="110"/>
            </w:tcMar>
          </w:tcPr>
          <w:p>
            <w:pPr>
              <w:spacing w:before="26" w:after="26"/>
            </w:pPr>
            <w:r>
              <w:rPr>
                <w:color w:val="232733"/>
                <w:sz w:val="16"/>
                <w:szCs w:val="16"/>
              </w:rPr>
              <w:t xml:space="preserve">Prior service cost: Orontes amendment of 50,000</w:t>
            </w:r>
          </w:p>
        </w:tc>
        <w:tc>
          <w:tcPr>
            <w:tcW w:type="pct" w:w="2186"/>
            <w:shd w:fill="FBFAF6" w:val="clear"/>
            <w:tcMar>
              <w:top w:type="dxa" w:w="50"/>
              <w:left w:type="dxa" w:w="110"/>
              <w:bottom w:type="dxa" w:w="50"/>
              <w:right w:type="dxa" w:w="110"/>
            </w:tcMar>
          </w:tcPr>
          <w:p>
            <w:pPr>
              <w:spacing w:before="26" w:after="26"/>
            </w:pPr>
            <w:r>
              <w:rPr>
                <w:color w:val="232733"/>
                <w:sz w:val="16"/>
                <w:szCs w:val="16"/>
              </w:rPr>
              <w:t xml:space="preserve">OCI, amortized over 10 years: 5,000 a year</w:t>
            </w:r>
          </w:p>
        </w:tc>
        <w:tc>
          <w:tcPr>
            <w:tcW w:type="pct" w:w="1152"/>
            <w:shd w:fill="FBFAF6" w:val="clear"/>
            <w:tcMar>
              <w:top w:type="dxa" w:w="50"/>
              <w:left w:type="dxa" w:w="110"/>
              <w:bottom w:type="dxa" w:w="50"/>
              <w:right w:type="dxa" w:w="110"/>
            </w:tcMar>
          </w:tcPr>
          <w:p>
            <w:pPr>
              <w:spacing w:before="26" w:after="26"/>
            </w:pPr>
            <w:r>
              <w:rPr>
                <w:color w:val="232733"/>
                <w:sz w:val="16"/>
                <w:szCs w:val="16"/>
              </w:rPr>
              <w:t xml:space="preserve">Expensed at once: 50,000</w:t>
            </w:r>
          </w:p>
        </w:tc>
      </w:tr>
    </w:tbl>
    <w:p/>
    <w:p>
      <w:pPr>
        <w:spacing w:before="40" w:after="16"/>
        <w:ind w:left="300" w:hanging="300"/>
      </w:pPr>
      <w:r>
        <w:rPr>
          <w:b/>
          <w:bCs/>
          <w:color w:val="353A7C"/>
          <w:sz w:val="19"/>
          <w:szCs w:val="19"/>
        </w:rPr>
        <w:t xml:space="preserve">23.  </w:t>
      </w:r>
      <w:r>
        <w:rPr>
          <w:sz w:val="19"/>
          <w:szCs w:val="19"/>
        </w:rPr>
        <w:t xml:space="preserve">A company grants share options that vest one third each year for three years (service condition only). Which statement is correct?</w:t>
      </w:r>
    </w:p>
    <w:p>
      <w:pPr>
        <w:spacing w:after="18"/>
        <w:ind w:left="560" w:hanging="260"/>
      </w:pPr>
      <w:r>
        <w:rPr>
          <w:b/>
          <w:bCs/>
          <w:color w:val="8186EF"/>
          <w:sz w:val="18"/>
          <w:szCs w:val="18"/>
        </w:rPr>
        <w:t xml:space="preserve">A. </w:t>
      </w:r>
      <w:r>
        <w:rPr>
          <w:sz w:val="18"/>
          <w:szCs w:val="18"/>
        </w:rPr>
        <w:t xml:space="preserve">Both frameworks require straight-line recognition</w:t>
      </w:r>
    </w:p>
    <w:p>
      <w:pPr>
        <w:spacing w:after="18"/>
        <w:ind w:left="560" w:hanging="260"/>
      </w:pPr>
      <w:r>
        <w:rPr>
          <w:b/>
          <w:bCs/>
          <w:color w:val="8186EF"/>
          <w:sz w:val="18"/>
          <w:szCs w:val="18"/>
        </w:rPr>
        <w:t xml:space="preserve">B. </w:t>
      </w:r>
      <w:r>
        <w:rPr>
          <w:sz w:val="18"/>
          <w:szCs w:val="18"/>
        </w:rPr>
        <w:t xml:space="preserve">U.S. GAAP allows straight-line or tranche-by-tranche recognition; IFRS 2 requires tranche by tranche</w:t>
      </w:r>
    </w:p>
    <w:p>
      <w:pPr>
        <w:spacing w:after="18"/>
        <w:ind w:left="560" w:hanging="260"/>
      </w:pPr>
      <w:r>
        <w:rPr>
          <w:b/>
          <w:bCs/>
          <w:color w:val="8186EF"/>
          <w:sz w:val="18"/>
          <w:szCs w:val="18"/>
        </w:rPr>
        <w:t xml:space="preserve">C. </w:t>
      </w:r>
      <w:r>
        <w:rPr>
          <w:sz w:val="18"/>
          <w:szCs w:val="18"/>
        </w:rPr>
        <w:t xml:space="preserve">U.S. GAAP requires tranche by tranche; IFRS allows a choice</w:t>
      </w:r>
    </w:p>
    <w:p>
      <w:pPr>
        <w:spacing w:after="18"/>
        <w:ind w:left="560" w:hanging="260"/>
      </w:pPr>
      <w:r>
        <w:rPr>
          <w:b/>
          <w:bCs/>
          <w:color w:val="8186EF"/>
          <w:sz w:val="18"/>
          <w:szCs w:val="18"/>
        </w:rPr>
        <w:t xml:space="preserve">D. </w:t>
      </w:r>
      <w:r>
        <w:rPr>
          <w:sz w:val="18"/>
          <w:szCs w:val="18"/>
        </w:rPr>
        <w:t xml:space="preserve">Neither framework recognizes expense until vesting</w:t>
      </w:r>
    </w:p>
    <w:p>
      <w:pPr>
        <w:pageBreakBefore w:val="true"/>
        <w:spacing w:after="0"/>
      </w:pPr>
      <w:r>
        <w:rPr>
          <w:sz w:val="2"/>
        </w:rPr>
        <w:t xml:space="preserve"> </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24.  </w:t>
            </w:r>
            <w:r>
              <w:rPr>
                <w:sz w:val="19"/>
                <w:szCs w:val="19"/>
              </w:rPr>
              <w:t xml:space="preserve">What has to be settled before any figure in a case set is worked out?</w:t>
            </w:r>
          </w:p>
          <w:p>
            <w:pPr>
              <w:spacing w:after="16"/>
              <w:ind w:left="500" w:hanging="200"/>
            </w:pPr>
            <w:r>
              <w:rPr>
                <w:b/>
                <w:bCs/>
                <w:color w:val="8186EF"/>
                <w:sz w:val="18"/>
                <w:szCs w:val="18"/>
              </w:rPr>
              <w:t xml:space="preserve">A. </w:t>
            </w:r>
            <w:r>
              <w:rPr>
                <w:sz w:val="18"/>
                <w:szCs w:val="18"/>
              </w:rPr>
              <w:t xml:space="preserve">the exhibit, adjusted for every note that goes with it</w:t>
            </w:r>
          </w:p>
          <w:p>
            <w:pPr>
              <w:spacing w:after="16"/>
              <w:ind w:left="500" w:hanging="200"/>
            </w:pPr>
            <w:r>
              <w:rPr>
                <w:b/>
                <w:bCs/>
                <w:color w:val="8186EF"/>
                <w:sz w:val="18"/>
                <w:szCs w:val="18"/>
              </w:rPr>
              <w:t xml:space="preserve">B. </w:t>
            </w:r>
            <w:r>
              <w:rPr>
                <w:sz w:val="18"/>
                <w:szCs w:val="18"/>
              </w:rPr>
              <w:t xml:space="preserve">the method the company uses</w:t>
            </w:r>
          </w:p>
          <w:p>
            <w:pPr>
              <w:spacing w:after="16"/>
              <w:ind w:left="500" w:hanging="200"/>
            </w:pPr>
            <w:r>
              <w:rPr>
                <w:b/>
                <w:bCs/>
                <w:color w:val="8186EF"/>
                <w:sz w:val="18"/>
                <w:szCs w:val="18"/>
              </w:rPr>
              <w:t xml:space="preserve">C. </w:t>
            </w:r>
            <w:r>
              <w:rPr>
                <w:sz w:val="18"/>
                <w:szCs w:val="18"/>
              </w:rPr>
              <w:t xml:space="preserve">the tax rate</w:t>
            </w:r>
          </w:p>
          <w:p>
            <w:pPr>
              <w:spacing w:after="16"/>
              <w:ind w:left="500" w:hanging="200"/>
            </w:pPr>
            <w:r>
              <w:rPr>
                <w:b/>
                <w:bCs/>
                <w:color w:val="8186EF"/>
                <w:sz w:val="18"/>
                <w:szCs w:val="18"/>
              </w:rPr>
              <w:t xml:space="preserve">D. </w:t>
            </w:r>
            <w:r>
              <w:rPr>
                <w:sz w:val="18"/>
                <w:szCs w:val="18"/>
              </w:rPr>
              <w:t xml:space="preserve">the order of the items</w:t>
            </w:r>
          </w:p>
          <w:p>
            <w:pPr>
              <w:spacing w:before="20" w:after="50"/>
            </w:pPr>
            <w:r>
              <w:rPr>
                <w:color w:val="C0483F"/>
                <w:sz w:val="17"/>
                <w:szCs w:val="17"/>
              </w:rPr>
              <w:t xml:space="preserve">If you got it wrong: reread the case panel in the MODEL move of cycle B.</w:t>
            </w:r>
          </w:p>
        </w:tc>
      </w:tr>
    </w:tbl>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25.  </w:t>
      </w:r>
      <w:r>
        <w:rPr>
          <w:sz w:val="19"/>
          <w:szCs w:val="19"/>
        </w:rPr>
        <w:t xml:space="preserve">Rebuild the chapter map. Write every section in order and what each one settles.</w:t>
      </w:r>
    </w:p>
    <w:p>
      <w:pPr>
        <w:spacing w:after="40" w:before="90"/>
        <w:jc w:val="center"/>
      </w:pPr>
      <w:r>
        <w:drawing>
          <wp:inline distT="0" distB="0" distL="0" distR="0">
            <wp:extent cx="5734050" cy="444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5734050" cy="4443900"/>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student starting this chapter tomorrow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26.  </w:t>
            </w:r>
            <w:r>
              <w:rPr>
                <w:sz w:val="19"/>
                <w:szCs w:val="19"/>
              </w:rPr>
              <w:t xml:space="preserve">In four or five sentences, write what the whole chapter settles, section by section.</w:t>
            </w:r>
          </w:p>
          <w:p>
            <w:pPr>
              <w:spacing w:after="36"/>
            </w:pPr>
            <w:r>
              <w:rPr>
                <w:color w:val="6B7280"/>
                <w:sz w:val="16"/>
                <w:szCs w:val="16"/>
              </w:rPr>
              <w:t xml:space="preserve">every one of these words must appear:  </w:t>
            </w:r>
            <w:r>
              <w:rPr>
                <w:b/>
                <w:bCs/>
                <w:color w:val="1F7A6A"/>
                <w:sz w:val="16"/>
                <w:szCs w:val="16"/>
              </w:rPr>
              <w:t xml:space="preserve">revaluation model  ·  revaluation surplus  ·  development costs  ·  value in use</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7"/>
          <w:pgSz w:w="11906" w:h="16838" w:orient="portrait"/>
          <w:pgMar w:top="1180" w:right="1000" w:bottom="900" w:left="1000" w:header="708" w:footer="708" w:gutter="0"/>
          <w:docGrid w:linePitch="360"/>
          <w:pgNumType w:start="1"/>
        </w:sectPr>
      </w:pPr>
    </w:p>
    <w:sectPr>
      <w:headerReference w:type="default" r:id="rIdHdr7"/>
      <w:pgSz w:w="11906" w:h="16838" w:orient="portrait"/>
      <w:pgMar w:top="1180" w:right="1000" w:bottom="900" w:left="1000" w:header="708" w:footer="708" w:gutter="0"/>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17.1 · (i) Share-based payments and employee benefits</w:t>
          </w:r>
        </w:p>
      </w:tc>
      <w:tc>
        <w:tcPr>
          <w:tcW w:type="pct" w:w="1400"/>
          <w:tcMar>
            <w:top w:type="dxa" w:w="-30"/>
            <w:left w:type="dxa" w:w="30"/>
            <w:bottom w:type="dxa" w:w="-30"/>
            <w:right w:type="dxa" w:w="30"/>
          </w:tcMar>
        </w:tcPr>
        <w:p>
          <w:pPr>
            <w:jc w:val="right"/>
          </w:pPr>
          <w:r>
            <w:rPr>
              <w:color w:val="6B7280"/>
              <w:sz w:val="16"/>
              <w:szCs w:val="16"/>
            </w:rPr>
            <w:t xml:space="preserve">Handout 17.1 — Page </w:t>
          </w:r>
          <w:fldSimple w:instr=" PAGE ">
            <w:r>
              <w:rPr>
                <w:b/>
                <w:bCs/>
                <w:color w:val="23265A"/>
                <w:sz w:val="16"/>
                <w:szCs w:val="16"/>
              </w:rPr>
              <w:t xml:space="preserve">1</w:t>
            </w:r>
          </w:fldSimple>
          <w:r>
            <w:rPr>
              <w:color w:val="6B7280"/>
              <w:sz w:val="16"/>
              <w:szCs w:val="16"/>
            </w:rPr>
            <w:t xml:space="preserve"> of 6</w:t>
          </w:r>
        </w:p>
      </w:tc>
    </w:tr>
  </w:tbl>
  <w:p>
    <w:pP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17.2 · (ii) Intangible assets</w:t>
          </w:r>
        </w:p>
      </w:tc>
      <w:tc>
        <w:tcPr>
          <w:tcW w:type="pct" w:w="1400"/>
          <w:tcMar>
            <w:top w:type="dxa" w:w="-30"/>
            <w:left w:type="dxa" w:w="30"/>
            <w:bottom w:type="dxa" w:w="-30"/>
            <w:right w:type="dxa" w:w="30"/>
          </w:tcMar>
        </w:tcPr>
        <w:p>
          <w:pPr>
            <w:jc w:val="right"/>
          </w:pPr>
          <w:r>
            <w:rPr>
              <w:color w:val="6B7280"/>
              <w:sz w:val="16"/>
              <w:szCs w:val="16"/>
            </w:rPr>
            <w:t xml:space="preserve">Handout 17.2 — Page </w:t>
          </w:r>
          <w:fldSimple w:instr=" PAGE ">
            <w:r>
              <w:rPr>
                <w:b/>
                <w:bCs/>
                <w:color w:val="23265A"/>
                <w:sz w:val="16"/>
                <w:szCs w:val="16"/>
              </w:rPr>
              <w:t xml:space="preserve">1</w:t>
            </w:r>
          </w:fldSimple>
          <w:r>
            <w:rPr>
              <w:color w:val="6B7280"/>
              <w:sz w:val="16"/>
              <w:szCs w:val="16"/>
            </w:rPr>
            <w:t xml:space="preserve"> of 5</w:t>
          </w:r>
        </w:p>
      </w:tc>
    </w:tr>
  </w:tbl>
  <w:p>
    <w:pPr>
      <w:spacing w:after="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17.3 · (iii) Inventories</w:t>
          </w:r>
        </w:p>
      </w:tc>
      <w:tc>
        <w:tcPr>
          <w:tcW w:type="pct" w:w="1400"/>
          <w:tcMar>
            <w:top w:type="dxa" w:w="-30"/>
            <w:left w:type="dxa" w:w="30"/>
            <w:bottom w:type="dxa" w:w="-30"/>
            <w:right w:type="dxa" w:w="30"/>
          </w:tcMar>
        </w:tcPr>
        <w:p>
          <w:pPr>
            <w:jc w:val="right"/>
          </w:pPr>
          <w:r>
            <w:rPr>
              <w:color w:val="6B7280"/>
              <w:sz w:val="16"/>
              <w:szCs w:val="16"/>
            </w:rPr>
            <w:t xml:space="preserve">Handout 17.3 — Page </w:t>
          </w:r>
          <w:fldSimple w:instr=" PAGE ">
            <w:r>
              <w:rPr>
                <w:b/>
                <w:bCs/>
                <w:color w:val="23265A"/>
                <w:sz w:val="16"/>
                <w:szCs w:val="16"/>
              </w:rPr>
              <w:t xml:space="preserve">1</w:t>
            </w:r>
          </w:fldSimple>
          <w:r>
            <w:rPr>
              <w:color w:val="6B7280"/>
              <w:sz w:val="16"/>
              <w:szCs w:val="16"/>
            </w:rPr>
            <w:t xml:space="preserve"> of 4</w:t>
          </w:r>
        </w:p>
      </w:tc>
    </w:tr>
  </w:tbl>
  <w:p>
    <w:pPr>
      <w:spacing w:after="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17.4 · (iv) Leases: the lessee</w:t>
          </w:r>
        </w:p>
      </w:tc>
      <w:tc>
        <w:tcPr>
          <w:tcW w:type="pct" w:w="1400"/>
          <w:tcMar>
            <w:top w:type="dxa" w:w="-30"/>
            <w:left w:type="dxa" w:w="30"/>
            <w:bottom w:type="dxa" w:w="-30"/>
            <w:right w:type="dxa" w:w="30"/>
          </w:tcMar>
        </w:tcPr>
        <w:p>
          <w:pPr>
            <w:jc w:val="right"/>
          </w:pPr>
          <w:r>
            <w:rPr>
              <w:color w:val="6B7280"/>
              <w:sz w:val="16"/>
              <w:szCs w:val="16"/>
            </w:rPr>
            <w:t xml:space="preserve">Handout 17.4 — Page </w:t>
          </w:r>
          <w:fldSimple w:instr=" PAGE ">
            <w:r>
              <w:rPr>
                <w:b/>
                <w:bCs/>
                <w:color w:val="23265A"/>
                <w:sz w:val="16"/>
                <w:szCs w:val="16"/>
              </w:rPr>
              <w:t xml:space="preserve">1</w:t>
            </w:r>
          </w:fldSimple>
          <w:r>
            <w:rPr>
              <w:color w:val="6B7280"/>
              <w:sz w:val="16"/>
              <w:szCs w:val="16"/>
            </w:rPr>
            <w:t xml:space="preserve"> of 4</w:t>
          </w:r>
        </w:p>
      </w:tc>
    </w:tr>
  </w:tbl>
  <w:p>
    <w:pPr>
      <w:spacing w:after="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17.5 · (v) Long-lived assets</w:t>
          </w:r>
        </w:p>
      </w:tc>
      <w:tc>
        <w:tcPr>
          <w:tcW w:type="pct" w:w="1400"/>
          <w:tcMar>
            <w:top w:type="dxa" w:w="-30"/>
            <w:left w:type="dxa" w:w="30"/>
            <w:bottom w:type="dxa" w:w="-30"/>
            <w:right w:type="dxa" w:w="30"/>
          </w:tcMar>
        </w:tcPr>
        <w:p>
          <w:pPr>
            <w:jc w:val="right"/>
          </w:pPr>
          <w:r>
            <w:rPr>
              <w:color w:val="6B7280"/>
              <w:sz w:val="16"/>
              <w:szCs w:val="16"/>
            </w:rPr>
            <w:t xml:space="preserve">Handout 17.5 — Page </w:t>
          </w:r>
          <w:fldSimple w:instr=" PAGE ">
            <w:r>
              <w:rPr>
                <w:b/>
                <w:bCs/>
                <w:color w:val="23265A"/>
                <w:sz w:val="16"/>
                <w:szCs w:val="16"/>
              </w:rPr>
              <w:t xml:space="preserve">1</w:t>
            </w:r>
          </w:fldSimple>
          <w:r>
            <w:rPr>
              <w:color w:val="6B7280"/>
              <w:sz w:val="16"/>
              <w:szCs w:val="16"/>
            </w:rPr>
            <w:t xml:space="preserve"> of 5</w:t>
          </w:r>
        </w:p>
      </w:tc>
    </w:tr>
  </w:tbl>
  <w:p>
    <w:pPr>
      <w:spacing w:after="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17.6 · (vi) Impairment</w:t>
          </w:r>
        </w:p>
      </w:tc>
      <w:tc>
        <w:tcPr>
          <w:tcW w:type="pct" w:w="1400"/>
          <w:tcMar>
            <w:top w:type="dxa" w:w="-30"/>
            <w:left w:type="dxa" w:w="30"/>
            <w:bottom w:type="dxa" w:w="-30"/>
            <w:right w:type="dxa" w:w="30"/>
          </w:tcMar>
        </w:tcPr>
        <w:p>
          <w:pPr>
            <w:jc w:val="right"/>
          </w:pPr>
          <w:r>
            <w:rPr>
              <w:color w:val="6B7280"/>
              <w:sz w:val="16"/>
              <w:szCs w:val="16"/>
            </w:rPr>
            <w:t xml:space="preserve">Handout 17.6 — Page </w:t>
          </w:r>
          <w:fldSimple w:instr=" PAGE ">
            <w:r>
              <w:rPr>
                <w:b/>
                <w:bCs/>
                <w:color w:val="23265A"/>
                <w:sz w:val="16"/>
                <w:szCs w:val="16"/>
              </w:rPr>
              <w:t xml:space="preserve">1</w:t>
            </w:r>
          </w:fldSimple>
          <w:r>
            <w:rPr>
              <w:color w:val="6B7280"/>
              <w:sz w:val="16"/>
              <w:szCs w:val="16"/>
            </w:rPr>
            <w:t xml:space="preserve"> of 5</w:t>
          </w:r>
        </w:p>
      </w:tc>
    </w:tr>
  </w:tbl>
  <w:p>
    <w:pPr>
      <w:spacing w:after="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17.7 · The whole chapter</w:t>
          </w:r>
        </w:p>
      </w:tc>
      <w:tc>
        <w:tcPr>
          <w:tcW w:type="pct" w:w="1400"/>
          <w:tcMar>
            <w:top w:type="dxa" w:w="-30"/>
            <w:left w:type="dxa" w:w="30"/>
            <w:bottom w:type="dxa" w:w="-30"/>
            <w:right w:type="dxa" w:w="30"/>
          </w:tcMar>
        </w:tcPr>
        <w:p>
          <w:pPr>
            <w:jc w:val="right"/>
          </w:pPr>
          <w:r>
            <w:rPr>
              <w:color w:val="6B7280"/>
              <w:sz w:val="16"/>
              <w:szCs w:val="16"/>
            </w:rPr>
            <w:t xml:space="preserve">Handout 17.7 — Page </w:t>
          </w:r>
          <w:fldSimple w:instr=" PAGE ">
            <w:r>
              <w:rPr>
                <w:b/>
                <w:bCs/>
                <w:color w:val="23265A"/>
                <w:sz w:val="16"/>
                <w:szCs w:val="16"/>
              </w:rPr>
              <w:t xml:space="preserve">1</w:t>
            </w:r>
          </w:fldSimple>
          <w:r>
            <w:rPr>
              <w:color w:val="6B7280"/>
              <w:sz w:val="16"/>
              <w:szCs w:val="16"/>
            </w:rPr>
            <w:t xml:space="preserve"> of 6</w:t>
          </w:r>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styles" Target="styles.xml" Type="http://schemas.openxmlformats.org/officeDocument/2006/relationships/styles"/><Relationship Id="rIdnumbering" Target="numbering.xml" Type="http://schemas.openxmlformats.org/officeDocument/2006/relationships/numbering"/><Relationship Id="rIdfontTable" Target="fontTable.xml" Type="http://schemas.openxmlformats.org/officeDocument/2006/relationships/fontTable"/><Relationship Id="rIdsettings" Target="settings.xml" Type="http://schemas.openxmlformats.org/officeDocument/2006/relationships/settings"/><Relationship Id="rId101" Target="media/7eda6acff93cdad9d1bb075a357133e0e4bc219c.png" Type="http://schemas.openxmlformats.org/officeDocument/2006/relationships/image"/><Relationship Id="rId102" Target="media/8b420b4ff1d7ca0e9e3757061a56c28e9afa7579.png" Type="http://schemas.openxmlformats.org/officeDocument/2006/relationships/image"/><Relationship Id="rId103" Target="media/6418d759513b0f12cfdf2f5f7b39b54ff0fef705.png" Type="http://schemas.openxmlformats.org/officeDocument/2006/relationships/image"/><Relationship Id="rId104" Target="media/0918bf53efbc29463bba8062aa1ae1766173b17a.png" Type="http://schemas.openxmlformats.org/officeDocument/2006/relationships/image"/><Relationship Id="rId105" Target="media/eb0734ac6f0d9feb6cfd8e47e46b3612e981ddb0.png" Type="http://schemas.openxmlformats.org/officeDocument/2006/relationships/image"/><Relationship Id="rId106" Target="media/6eb8fe013a5b946b762353d89f9de3acba48945e.png" Type="http://schemas.openxmlformats.org/officeDocument/2006/relationships/image"/><Relationship Id="rId107" Target="media/6c5b3e24a182d23ce3e6d09f3d99ac280dc460cf.png" Type="http://schemas.openxmlformats.org/officeDocument/2006/relationships/image"/><Relationship Id="rId108" Target="media/d610ae231da98f9ee85d0ef9fa28cee5340a378c.png" Type="http://schemas.openxmlformats.org/officeDocument/2006/relationships/image"/><Relationship Id="rId109" Target="media/f499c900f3cabe770c71e1b5feffdd7bff882f80.png" Type="http://schemas.openxmlformats.org/officeDocument/2006/relationships/image"/><Relationship Id="rId110" Target="media/87b60d9a87c3c06813cc964d684aff4570226d2b.png" Type="http://schemas.openxmlformats.org/officeDocument/2006/relationships/image"/><Relationship Id="rId111" Target="media/4bc7748fe918928c0650008c3ac53f5f307d460b.png" Type="http://schemas.openxmlformats.org/officeDocument/2006/relationships/image"/><Relationship Id="rId112" Target="media/4cb6b6e38c4fd4095ba1e41dae75f028fa4063df.png" Type="http://schemas.openxmlformats.org/officeDocument/2006/relationships/image"/><Relationship Id="rId113" Target="media/74323f5a8ab9c37668a01e8a78e9ba2c11ee0f64.png" Type="http://schemas.openxmlformats.org/officeDocument/2006/relationships/image"/><Relationship Id="rId114" Target="media/e08958518f9f6224da67ed3788daa6329d531a45.png" Type="http://schemas.openxmlformats.org/officeDocument/2006/relationships/image"/><Relationship Id="rId115" Target="media/ff3609cfcece54d8d031200af470101ccd461a4b.png" Type="http://schemas.openxmlformats.org/officeDocument/2006/relationships/image"/><Relationship Id="rId116" Target="media/30e037f8bcc16b8ac699eb81ecbffd91598d3d00.png" Type="http://schemas.openxmlformats.org/officeDocument/2006/relationships/image"/><Relationship Id="rIdHdr1" Target="header1.xml" Type="http://schemas.openxmlformats.org/officeDocument/2006/relationships/header"/><Relationship Id="rIdHdr2" Target="header2.xml" Type="http://schemas.openxmlformats.org/officeDocument/2006/relationships/header"/><Relationship Id="rIdHdr3" Target="header3.xml" Type="http://schemas.openxmlformats.org/officeDocument/2006/relationships/header"/><Relationship Id="rIdHdr4" Target="header4.xml" Type="http://schemas.openxmlformats.org/officeDocument/2006/relationships/header"/><Relationship Id="rIdHdr5" Target="header5.xml" Type="http://schemas.openxmlformats.org/officeDocument/2006/relationships/header"/><Relationship Id="rIdHdr6" Target="header6.xml" Type="http://schemas.openxmlformats.org/officeDocument/2006/relationships/header"/><Relationship Id="rIdHdr7" Target="header7.xml" Type="http://schemas.openxmlformats.org/officeDocument/2006/relationships/header"/></Relationships>
</file>

<file path=docProps/core.xml><?xml version="1.0" encoding="utf-8"?>
<cp:coreProperties xmlns:cp="http://schemas.openxmlformats.org/package/2006/metadata/core-properties" xmlns:dc="http://purl.org/dc/elements/1.1/" xmlns:dcterms="http://purl.org/dc/terms/" xmlns:xsi="http://www.w3.org/2001/XMLSchema-instance">
  <dc:title>CMA Part 1 · Book 1 · Chapter 17</dc:title>
  <dc:subject>U.S. GAAP and IFRS: The Six Tested Differences</dc:subject>
  <cp:category>Student Book</cp:category>
</cp:coreProperties>
</file>