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Normal costing · sections 5.3, 5.5, 5.6 · 52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allocation base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applied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standard costing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costing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costing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0.08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$0.48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$6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0.20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 cost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$6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Normal costing mixes actual direct costs with applied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Measurement and accumulation are separate choices.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Total fixed overhead stays about the same while output falls.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Actual overhead is known only at period end.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Actual machine hours × predetermined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It is set before the year from budgets.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Materials per case do not change with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45   </w:t>
      </w:r>
      <w:r>
        <w:rPr>
          <w:sz w:val="15"/>
          <w:szCs w:val="15"/>
        </w:rPr>
        <w:t xml:space="preserve">section 5.6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46   </w:t>
      </w:r>
      <w:r>
        <w:rPr>
          <w:sz w:val="15"/>
          <w:szCs w:val="15"/>
        </w:rPr>
        <w:t xml:space="preserve">section 5.6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section 5.6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Actual, Normal and Standard Costing: the figures and the schedules · Actual, Normal and Standard Costing · 48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99,000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costing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standard quantity allowed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Every input is valued at standard quantity allowed × standard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Repetitive work makes standards meaningful.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Power rises with machine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Rate × machine hours per case.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$12.75  Normal cost ÷ cases.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Differences arise.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Actual overhead is not known in advance.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Actual overhead is known only after the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Actual direct costs + actual hours × predetermined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Actual direct costs + actual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Standard hours allowed (10,000) ×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Standards are set in advance.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An annual predetermined rate smooths seasonal swings.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That is an actual rate.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5 · Answer Keys</dc:title>
  <dc:subject>Actual, Normal and Standard Costing</dc:subject>
  <cp:category>Student Book</cp:category>
</cp:coreProperties>
</file>