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Job Order Costing: worked example · section 6.7 · 51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Overhead Control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Overhead Control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Work-in-Process Inventory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Finished Goods Inventory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T-0303 (finished, not sold)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346,000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346,000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T-0215 and T-0302 (sold)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234,000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Each private-label order is different and can be identified from start to finish.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Costs are collected for each separate job.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Open job sheets are the subsidiary ledger for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Indirect materials are actual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Supervision is indirect labor.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Actual machine hours × predetermined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entry is reversed.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COGS is the job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Job costing needs more records.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Revenue and cost are recorded separately.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FG does not explain a WIP difference.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Applied overhead is added to the jobs.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Completed jobs move to finished goods.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41   </w:t>
      </w:r>
      <w:r>
        <w:rPr>
          <w:sz w:val="15"/>
          <w:szCs w:val="15"/>
        </w:rPr>
        <w:t xml:space="preserve">$380,000  COGS is the job cost.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Job Order Costing: the figures and the schedules · Job Order Costing · 44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346,000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 of goods sold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Direct materials + direct labor + applied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Overhead is still applied with a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Indirect materials do not go to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Differences still arise.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Each client case is a separate job.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requisition names the job that uses the materials.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Delivery is a selling cost, not a manufacturing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Only open jobs are in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Beginning WIP + costs added − ending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Beginning FG + COGM − ending FG.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Factory depreciation is actual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The rate gives timely job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Normal costing uses actual direct costs and a predetermined overhead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Actual is higher than applied.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6 · Answer Keys</dc:title>
  <dc:subject>Job Order Costing</dc:subject>
  <cp:category>Student Book</cp:category>
</cp:coreProperties>
</file>