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officedocument.wordprocessingml.numbering+xml" PartName="/word/numbering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package.core-properties+xml" PartName="/docProps/cor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header+xml" PartName="/word/header3.xml"/>
  <Override ContentType="application/vnd.openxmlformats-officedocument.wordprocessingml.header+xml" PartName="/word/header4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8.1 · Answer Key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The allocation base and the denominator · sections 8.1, 8.3, 8.6 · 28 items · keep this sheet separate from the handout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5"/>
        <w:gridCol w:w="28"/>
        <w:gridCol w:w="5"/>
        <w:gridCol w:w="28"/>
        <w:gridCol w:w="5"/>
        <w:gridCol w:w="29"/>
      </w:tblGrid>
      <w:tr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master-budget capacity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N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G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normal capacity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 rate and base for each department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Better when departments differ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Most accurate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H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Costly to design and maintain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V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fixed overhead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/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denominator level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V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/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/>
            </w:r>
          </w:p>
        </w:tc>
      </w:tr>
    </w:tbl>
    <w:p/>
    <w:p>
      <w:pPr>
        <w:spacing w:before="110" w:after="50"/>
        <w:pBdr>
          <w:top w:val="single" w:sz="8" w:space="5" w:color="1F7A6A"/>
        </w:pBdr>
      </w:pPr>
      <w:r>
        <w:rPr>
          <w:b/>
          <w:bCs/>
          <w:color w:val="1F7A6A"/>
          <w:sz w:val="17"/>
          <w:szCs w:val="17"/>
        </w:rPr>
        <w:t xml:space="preserve">Why, where it is worth saying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9   </w:t>
      </w:r>
      <w:r>
        <w:rPr>
          <w:sz w:val="15"/>
          <w:szCs w:val="15"/>
        </w:rPr>
        <w:t xml:space="preserve">section 8.3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10   </w:t>
      </w:r>
      <w:r>
        <w:rPr>
          <w:sz w:val="15"/>
          <w:szCs w:val="15"/>
        </w:rPr>
        <w:t xml:space="preserve">section 8.3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11   </w:t>
      </w:r>
      <w:r>
        <w:rPr>
          <w:sz w:val="15"/>
          <w:szCs w:val="15"/>
        </w:rPr>
        <w:t xml:space="preserve">section 8.3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12   </w:t>
      </w:r>
      <w:r>
        <w:rPr>
          <w:sz w:val="15"/>
          <w:szCs w:val="15"/>
        </w:rPr>
        <w:t xml:space="preserve">section 8.3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23   </w:t>
      </w:r>
      <w:r>
        <w:rPr>
          <w:sz w:val="15"/>
          <w:szCs w:val="15"/>
        </w:rPr>
        <w:t xml:space="preserve">It is also called a corporate-wide rate.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24   </w:t>
      </w:r>
      <w:r>
        <w:rPr>
          <w:sz w:val="15"/>
          <w:szCs w:val="15"/>
        </w:rPr>
        <w:t xml:space="preserve">Straight-line depreciation does not change with activity.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25   </w:t>
      </w:r>
      <w:r>
        <w:rPr>
          <w:sz w:val="15"/>
          <w:szCs w:val="15"/>
        </w:rPr>
        <w:t xml:space="preserve">Budgeted fixed overhead ÷ practical capacity.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26   </w:t>
      </w:r>
      <w:r>
        <w:rPr>
          <w:sz w:val="15"/>
          <w:szCs w:val="15"/>
        </w:rPr>
        <w:t xml:space="preserve">Machine hours measure how products use the capacity.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27   </w:t>
      </w:r>
      <w:r>
        <w:rPr>
          <w:sz w:val="15"/>
          <w:szCs w:val="15"/>
        </w:rPr>
        <w:t xml:space="preserve">Too little was applied to production.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28   </w:t>
      </w:r>
      <w:r>
        <w:rPr>
          <w:sz w:val="15"/>
          <w:szCs w:val="15"/>
        </w:rPr>
        <w:t xml:space="preserve">Fewer hours carry the rate, so less fixed overhead is applied.</w:t>
      </w:r>
    </w:p>
    <w:p/>
    <w:p>
      <w:pPr>
        <w:sectPr>
          <w:headerReference w:type="default" r:id="rIdHdr1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8.2 · Answer Key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Why overhead is over- or under-applied · sections 8.4, 8.5 · 30 items · keep this sheet separate from the handout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5"/>
        <w:gridCol w:w="28"/>
        <w:gridCol w:w="5"/>
        <w:gridCol w:w="28"/>
        <w:gridCol w:w="5"/>
        <w:gridCol w:w="29"/>
      </w:tblGrid>
      <w:tr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552,000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20%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J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1,932,000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H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70%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2,760,000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100%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G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230,000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underapplied overhead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overapplied overhead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I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fixed overhead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</w:tr>
    </w:tbl>
    <w:p/>
    <w:p>
      <w:pPr>
        <w:spacing w:before="110" w:after="50"/>
        <w:pBdr>
          <w:top w:val="single" w:sz="8" w:space="5" w:color="1F7A6A"/>
        </w:pBdr>
      </w:pPr>
      <w:r>
        <w:rPr>
          <w:b/>
          <w:bCs/>
          <w:color w:val="1F7A6A"/>
          <w:sz w:val="17"/>
          <w:szCs w:val="17"/>
        </w:rPr>
        <w:t xml:space="preserve">Why, where it is worth saying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   </w:t>
      </w:r>
      <w:r>
        <w:rPr>
          <w:sz w:val="15"/>
          <w:szCs w:val="15"/>
        </w:rPr>
        <w:t xml:space="preserve">Ease alone does not give accurate costs.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5   </w:t>
      </w:r>
      <w:r>
        <w:rPr>
          <w:sz w:val="15"/>
          <w:szCs w:val="15"/>
        </w:rPr>
        <w:t xml:space="preserve">The bases can differ.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7   </w:t>
      </w:r>
      <w:r>
        <w:rPr>
          <w:sz w:val="15"/>
          <w:szCs w:val="15"/>
        </w:rPr>
        <w:t xml:space="preserve">Power is variable overhead.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18   </w:t>
      </w:r>
      <w:r>
        <w:rPr>
          <w:sz w:val="15"/>
          <w:szCs w:val="15"/>
        </w:rPr>
        <w:t xml:space="preserve">section 8.4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19   </w:t>
      </w:r>
      <w:r>
        <w:rPr>
          <w:sz w:val="15"/>
          <w:szCs w:val="15"/>
        </w:rPr>
        <w:t xml:space="preserve">section 8.4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20   </w:t>
      </w:r>
      <w:r>
        <w:rPr>
          <w:sz w:val="15"/>
          <w:szCs w:val="15"/>
        </w:rPr>
        <w:t xml:space="preserve">section 8.4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28   </w:t>
      </w:r>
      <w:r>
        <w:rPr>
          <w:sz w:val="15"/>
          <w:szCs w:val="15"/>
        </w:rPr>
        <w:t xml:space="preserve">Proration brings the balances nearer to actual cost.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29   </w:t>
      </w:r>
      <w:r>
        <w:rPr>
          <w:sz w:val="15"/>
          <w:szCs w:val="15"/>
        </w:rPr>
        <w:t xml:space="preserve">The difference relates to this year's applied overhead.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30   </w:t>
      </w:r>
      <w:r>
        <w:rPr>
          <w:sz w:val="15"/>
          <w:szCs w:val="15"/>
        </w:rPr>
        <w:t xml:space="preserve">Finished goods hold 20% of applied overhead.</w:t>
      </w:r>
    </w:p>
    <w:p/>
    <w:p>
      <w:pPr>
        <w:sectPr>
          <w:headerReference w:type="default" r:id="rIdHdr2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8.3 · Answer Key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Overhead Rates and Over- or Under-Applied Overhead: worked example · section 8.6 · 35 items · keep this sheet separate from the handout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5"/>
        <w:gridCol w:w="28"/>
        <w:gridCol w:w="5"/>
        <w:gridCol w:w="28"/>
        <w:gridCol w:w="5"/>
        <w:gridCol w:w="29"/>
      </w:tblGrid>
      <w:tr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J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Not overhead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H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Fixed overhead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G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underapplied overhead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proration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normal capacity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fixed overhead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I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Variable overhead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Fixed overhead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Variable overhead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/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/>
            </w:r>
          </w:p>
        </w:tc>
      </w:tr>
    </w:tbl>
    <w:p/>
    <w:p>
      <w:pPr>
        <w:spacing w:before="110" w:after="50"/>
        <w:pBdr>
          <w:top w:val="single" w:sz="8" w:space="5" w:color="1F7A6A"/>
        </w:pBdr>
      </w:pPr>
      <w:r>
        <w:rPr>
          <w:b/>
          <w:bCs/>
          <w:color w:val="1F7A6A"/>
          <w:sz w:val="17"/>
          <w:szCs w:val="17"/>
        </w:rPr>
        <w:t xml:space="preserve">Why, where it is worth saying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   </w:t>
      </w:r>
      <w:r>
        <w:rPr>
          <w:sz w:val="15"/>
          <w:szCs w:val="15"/>
        </w:rPr>
        <w:t xml:space="preserve">That is overapplied.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4   </w:t>
      </w:r>
      <w:r>
        <w:rPr>
          <w:sz w:val="15"/>
          <w:szCs w:val="15"/>
        </w:rPr>
        <w:t xml:space="preserve">Abnormal idle capacity is not inventoried.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5   </w:t>
      </w:r>
      <w:r>
        <w:rPr>
          <w:sz w:val="15"/>
          <w:szCs w:val="15"/>
        </w:rPr>
        <w:t xml:space="preserve">Balances include materials and labor.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6   </w:t>
      </w:r>
      <w:r>
        <w:rPr>
          <w:sz w:val="15"/>
          <w:szCs w:val="15"/>
        </w:rPr>
        <w:t xml:space="preserve">The rate is the lowest possible.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18   </w:t>
      </w:r>
      <w:r>
        <w:rPr>
          <w:sz w:val="15"/>
          <w:szCs w:val="15"/>
        </w:rPr>
        <w:t xml:space="preserve">section 8.6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19   </w:t>
      </w:r>
      <w:r>
        <w:rPr>
          <w:sz w:val="15"/>
          <w:szCs w:val="15"/>
        </w:rPr>
        <w:t xml:space="preserve">section 8.6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20   </w:t>
      </w:r>
      <w:r>
        <w:rPr>
          <w:sz w:val="15"/>
          <w:szCs w:val="15"/>
        </w:rPr>
        <w:t xml:space="preserve">section 8.6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21   </w:t>
      </w:r>
      <w:r>
        <w:rPr>
          <w:sz w:val="15"/>
          <w:szCs w:val="15"/>
        </w:rPr>
        <w:t xml:space="preserve">section 8.6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27   </w:t>
      </w:r>
      <w:r>
        <w:rPr>
          <w:sz w:val="15"/>
          <w:szCs w:val="15"/>
        </w:rPr>
        <w:t xml:space="preserve">Grinding MH × grinding rate + packing labor hours × packing rate.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28   </w:t>
      </w:r>
      <w:r>
        <w:rPr>
          <w:sz w:val="15"/>
          <w:szCs w:val="15"/>
        </w:rPr>
        <w:t xml:space="preserve">Budgeted service charges are fixed for the division.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34   </w:t>
      </w:r>
      <w:r>
        <w:rPr>
          <w:sz w:val="15"/>
          <w:szCs w:val="15"/>
        </w:rPr>
        <w:t xml:space="preserve">That is a departmental rate.</w:t>
      </w:r>
    </w:p>
    <w:p/>
    <w:p>
      <w:pPr>
        <w:sectPr>
          <w:headerReference w:type="default" r:id="rIdHdr3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8.4 · Answer Key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Overhead Rates and Over- or Under-Applied Overhead: the figures and the schedules · Overhead Rates and Over- or Under-Applied Overhead · 20 items · keep this sheet separate from the handout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5"/>
        <w:gridCol w:w="28"/>
        <w:gridCol w:w="5"/>
        <w:gridCol w:w="28"/>
        <w:gridCol w:w="5"/>
        <w:gridCol w:w="29"/>
      </w:tblGrid>
      <w:tr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2,400,000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80,000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12,000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cost of goods sold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/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/>
            </w:r>
          </w:p>
        </w:tc>
      </w:tr>
    </w:tbl>
    <w:p/>
    <w:p>
      <w:pPr>
        <w:spacing w:before="110" w:after="50"/>
        <w:pBdr>
          <w:top w:val="single" w:sz="8" w:space="5" w:color="1F7A6A"/>
        </w:pBdr>
      </w:pPr>
      <w:r>
        <w:rPr>
          <w:b/>
          <w:bCs/>
          <w:color w:val="1F7A6A"/>
          <w:sz w:val="17"/>
          <w:szCs w:val="17"/>
        </w:rPr>
        <w:t xml:space="preserve">Why, where it is worth saying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5   </w:t>
      </w:r>
      <w:r>
        <w:rPr>
          <w:sz w:val="15"/>
          <w:szCs w:val="15"/>
        </w:rPr>
        <w:t xml:space="preserve">Different drivers need different rates.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6   </w:t>
      </w:r>
      <w:r>
        <w:rPr>
          <w:sz w:val="15"/>
          <w:szCs w:val="15"/>
        </w:rPr>
        <w:t xml:space="preserve">It spreads all overhead on one base.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7   </w:t>
      </w:r>
      <w:r>
        <w:rPr>
          <w:sz w:val="15"/>
          <w:szCs w:val="15"/>
        </w:rPr>
        <w:t xml:space="preserve">Budgeted fixed overhead ÷ normal capacity.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8   </w:t>
      </w:r>
      <w:r>
        <w:rPr>
          <w:sz w:val="15"/>
          <w:szCs w:val="15"/>
        </w:rPr>
        <w:t xml:space="preserve">Fixed overhead is the cost of capacity.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9   </w:t>
      </w:r>
      <w:r>
        <w:rPr>
          <w:sz w:val="15"/>
          <w:szCs w:val="15"/>
        </w:rPr>
        <w:t xml:space="preserve">Insurance does not change with activity.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10   </w:t>
      </w:r>
      <w:r>
        <w:rPr>
          <w:sz w:val="15"/>
          <w:szCs w:val="15"/>
        </w:rPr>
        <w:t xml:space="preserve">overapplied by $30,000  Applied exceeds actual.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11   </w:t>
      </w:r>
      <w:r>
        <w:rPr>
          <w:sz w:val="15"/>
          <w:szCs w:val="15"/>
        </w:rPr>
        <w:t xml:space="preserve">Underapplied overhead adds to COGS.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12   </w:t>
      </w:r>
      <w:r>
        <w:rPr>
          <w:sz w:val="15"/>
          <w:szCs w:val="15"/>
        </w:rPr>
        <w:t xml:space="preserve">150,000 ÷ 1,000,000 = 15% of 50,000.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13   </w:t>
      </w:r>
      <w:r>
        <w:rPr>
          <w:sz w:val="15"/>
          <w:szCs w:val="15"/>
        </w:rPr>
        <w:t xml:space="preserve">The whole amount hits COGS this year.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14   </w:t>
      </w:r>
      <w:r>
        <w:rPr>
          <w:sz w:val="15"/>
          <w:szCs w:val="15"/>
        </w:rPr>
        <w:t xml:space="preserve">The same cost divided by fewer hours gives a higher rate.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15   </w:t>
      </w:r>
      <w:r>
        <w:rPr>
          <w:sz w:val="15"/>
          <w:szCs w:val="15"/>
        </w:rPr>
        <w:t xml:space="preserve">Fixed overhead per unit is not increased for abnormally low production.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16   </w:t>
      </w:r>
      <w:r>
        <w:rPr>
          <w:sz w:val="15"/>
          <w:szCs w:val="15"/>
        </w:rPr>
        <w:t xml:space="preserve">Individual cost-driver rates are the basis of ABC.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17   </w:t>
      </w:r>
      <w:r>
        <w:rPr>
          <w:sz w:val="15"/>
          <w:szCs w:val="15"/>
        </w:rPr>
        <w:t xml:space="preserve">Machine hours × combined rate.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18   </w:t>
      </w:r>
      <w:r>
        <w:rPr>
          <w:sz w:val="15"/>
          <w:szCs w:val="15"/>
        </w:rPr>
        <w:t xml:space="preserve">Too much overhead was charged, so COGS is reduced.</w:t>
      </w:r>
    </w:p>
    <w:p/>
    <w:p>
      <w:pPr>
        <w:sectPr>
          <w:headerReference w:type="default" r:id="rIdHdr4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sectPr>
      <w:headerReference w:type="default" r:id="rIdHdr4"/>
      <w:pgSz w:w="11906" w:h="16838" w:orient="portrait"/>
      <w:pgMar w:top="1180" w:right="1000" w:bottom="900" w:left="1000" w:header="708" w:footer="708" w:gutter="0"/>
      <w:docGrid w:linePitch="360"/>
      <w:pgNumTyp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8.1 · Answer Key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Answer Key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/>
          </w:r>
        </w:p>
      </w:tc>
    </w:tr>
  </w:tbl>
  <w:p>
    <w:pPr>
      <w:spacing w:after="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8.2 · Answer Key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Answer Key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/>
          </w:r>
        </w:p>
      </w:tc>
    </w:tr>
  </w:tbl>
  <w:p>
    <w:pPr>
      <w:spacing w:after="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8.3 · Answer Key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Answer Key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/>
          </w:r>
        </w:p>
      </w:tc>
    </w:tr>
  </w:tbl>
  <w:p>
    <w:pPr>
      <w:spacing w:after="0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8.4 · Answer Key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Answer Key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/>
          </w:r>
        </w:p>
      </w:tc>
    </w:tr>
  </w:tbl>
  <w:p>
    <w:pPr>
      <w:spacing w:after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defaultTabStop w:val="720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 standalone="yes"?><Relationships xmlns="http://schemas.openxmlformats.org/package/2006/relationships"><Relationship Id="rIdstyles" Target="styles.xml" Type="http://schemas.openxmlformats.org/officeDocument/2006/relationships/styles"/><Relationship Id="rIdnumbering" Target="numbering.xml" Type="http://schemas.openxmlformats.org/officeDocument/2006/relationships/numbering"/><Relationship Id="rIdfontTable" Target="fontTable.xml" Type="http://schemas.openxmlformats.org/officeDocument/2006/relationships/fontTable"/><Relationship Id="rIdsettings" Target="settings.xml" Type="http://schemas.openxmlformats.org/officeDocument/2006/relationships/settings"/><Relationship Id="rIdHdr1" Target="header1.xml" Type="http://schemas.openxmlformats.org/officeDocument/2006/relationships/header"/><Relationship Id="rIdHdr2" Target="header2.xml" Type="http://schemas.openxmlformats.org/officeDocument/2006/relationships/header"/><Relationship Id="rIdHdr3" Target="header3.xml" Type="http://schemas.openxmlformats.org/officeDocument/2006/relationships/header"/><Relationship Id="rIdHdr4" Target="header4.xml" Type="http://schemas.openxmlformats.org/officeDocument/2006/relationships/header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CMA Part 1 · Book 2 · Cost Management · Chapter 8 · Answer Keys</dc:title>
  <dc:subject>Overhead Rates and Over- or Under-Applied Overhead</dc:subject>
  <cp:category>Student Book</cp:category>
</cp:coreProperties>
</file>