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Two income statements for the same year · sections 9.1, 9.3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production-volume variance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 (period cost)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absorption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Variable costing treats fixed manufacturing overhead as a period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is fixed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Price minus all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Contribution margin ÷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Variable costs first, then contribution margin, then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Some fixed overhead is deferred in ending inventory.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Practical capacity and capacity management · sections 9.6, 9.7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practical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unused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absorption only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absorption only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Charging it to products can start a demand spiral.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is a manufacturing cost, not a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Published statements use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Change in units × fixed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smallest denominator spreads fixed overhead over the fewest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ASC 330 uses normal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Products carry only the capacity they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Idle cases × practical-capacity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Ending cases × variable manufacturing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GAAP does not allow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That is gross margin.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Variable and Absorption Costing; Capacity: worked example · section 9.7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645,000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production-volume variance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absorption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Standard COGS plus the unfavorable volume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a weakness of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is a management report.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rate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cost still exists.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is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All manufacturing costs are in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2,000 units × ($5 + $4 fixed).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$10,000  2,000 units × $5.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2,000 units × $4 fixed overhead deferred.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9 · Answer Keys</dc:title>
  <dc:subject>Variable and Absorption Costing; Capacity</dc:subject>
  <cp:category>Student Book</cp:category>
</cp:coreProperties>
</file>