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officedocument.wordprocessingml.numbering+xml" PartName="/word/numbering.xml"/>
  <Override ContentType="application/vnd.openxmlformats-officedocument.wordprocessingml.fontTable+xml" PartName="/word/fontTable.xml"/>
  <Override ContentType="application/vnd.openxmlformats-officedocument.wordprocessingml.settings+xml" PartName="/word/settings.xml"/>
  <Override ContentType="application/vnd.openxmlformats-package.core-properties+xml" PartName="/docProps/core.xml"/>
  <Override ContentType="application/vnd.openxmlformats-officedocument.wordprocessingml.header+xml" PartName="/word/header1.xml"/>
  <Override ContentType="application/vnd.openxmlformats-officedocument.wordprocessingml.header+xml" PartName="/word/header2.xml"/>
  <Override ContentType="application/vnd.openxmlformats-officedocument.wordprocessingml.header+xml" PartName="/word/header3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openxmlformats.org/wordprocessingml/2006/main" xmlns:w15="http://schemas.openxmlformats.org/wordprocessingml/2006/main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body>
    <w:p>
      <w:pPr>
        <w:spacing w:after="20" w:before="60"/>
      </w:pPr>
      <w:r>
        <w:rPr>
          <w:b/>
          <w:bCs/>
          <w:color w:val="353A7C"/>
          <w:sz w:val="40"/>
          <w:szCs w:val="40"/>
        </w:rPr>
        <w:t xml:space="preserve">Handout 9.1 · Two income statements for the same year</w:t>
      </w:r>
    </w:p>
    <w:p>
      <w:pPr>
        <w:spacing w:after="130"/>
      </w:pPr>
      <w:r>
        <w:rPr>
          <w:color w:val="6B7280"/>
          <w:sz w:val="20"/>
          <w:szCs w:val="20"/>
        </w:rPr>
        <w:t xml:space="preserve">CMA Part 1 · Book 2 · Cost Management · Chapter 9 · from section sections 9.1, 9.3 of the book · 2 pages, answer key on a separate sheet</w:t>
      </w:r>
    </w:p>
    <w:p>
      <w:pPr>
        <w:spacing w:before="120" w:after="55"/>
        <w:pBdr>
          <w:top w:val="single" w:sz="10" w:space="6" w:color="353A7C"/>
        </w:pBdr>
      </w:pPr>
      <w:r>
        <w:rPr>
          <w:b/>
          <w:bCs/>
          <w:color w:val="353A7C"/>
          <w:sz w:val="21"/>
          <w:szCs w:val="21"/>
        </w:rPr>
        <w:t xml:space="preserve">Exercise 1 · matching   </w:t>
      </w:r>
      <w:r>
        <w:rPr>
          <w:b/>
          <w:bCs/>
          <w:sz w:val="19"/>
          <w:szCs w:val="19"/>
        </w:rPr>
        <w:t xml:space="preserve">Write the letter of the Arabic term beside each English one.</w:t>
      </w:r>
    </w:p>
    <w:tbl>
      <w:tblPr>
        <w:tblW w:type="pct" w:w="100%"/>
        <w:tblBorders>
          <w:top w:val="single" w:color="DFE3EE" w:sz="4"/>
          <w:left w:val="single" w:color="DFE3EE" w:sz="4"/>
          <w:bottom w:val="single" w:color="DFE3EE" w:sz="4"/>
          <w:right w:val="single" w:color="DFE3EE" w:sz="4"/>
          <w:insideH w:val="single" w:color="DFE3EE" w:sz="4"/>
          <w:insideV w:val="single" w:color="DFE3EE" w:sz="4"/>
        </w:tblBorders>
      </w:tblPr>
      <w:tblGrid>
        <w:gridCol w:w="4"/>
        <w:gridCol w:w="40"/>
        <w:gridCol w:w="7"/>
        <w:gridCol w:w="4"/>
        <w:gridCol w:w="45"/>
      </w:tblGrid>
      <w:tr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/>
            </w:r>
          </w:p>
        </w:tc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English (exam term)</w:t>
            </w:r>
          </w:p>
        </w:tc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/>
            </w:r>
          </w:p>
        </w:tc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/>
            </w:r>
          </w:p>
        </w:tc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العربية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1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absorption costing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A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الطاقة غير المستغلة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2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variable costing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B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دوامة الطلب الهابطة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3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contribution margin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C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هامش المساهمة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4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contribution margin ratio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D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انحراف حجم الإنتاج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5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production-volume variance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E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التكاليف الكلية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6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practical capacity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F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نسبة هامش المساهمة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7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unused capacity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G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التكاليف المتغيرة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8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downward demand spiral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H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الطاقة العملية</w:t>
            </w:r>
          </w:p>
        </w:tc>
      </w:tr>
    </w:tbl>
    <w:p/>
    <w:p>
      <w:pPr>
        <w:spacing w:before="120" w:after="55"/>
        <w:pBdr>
          <w:top w:val="single" w:sz="10" w:space="6" w:color="353A7C"/>
        </w:pBdr>
      </w:pPr>
      <w:r>
        <w:rPr>
          <w:b/>
          <w:bCs/>
          <w:color w:val="353A7C"/>
          <w:sz w:val="21"/>
          <w:szCs w:val="21"/>
        </w:rPr>
        <w:t xml:space="preserve">Exercise 2 · fill in the spaces   </w:t>
      </w:r>
      <w:r>
        <w:rPr>
          <w:b/>
          <w:bCs/>
          <w:sz w:val="19"/>
          <w:szCs w:val="19"/>
        </w:rPr>
        <w:t xml:space="preserve">Write the missing term in each numbered space. Every sentence is from section 9.3 of the book.</w:t>
      </w:r>
    </w:p>
    <w:tbl>
      <w:tblPr>
        <w:tblW w:type="pct" w:w="100%"/>
        <w:tblBorders>
          <w:top w:val="single" w:color="8186EF" w:sz="4"/>
          <w:left w:val="single" w:color="8186EF" w:sz="4"/>
          <w:bottom w:val="single" w:color="8186EF" w:sz="4"/>
          <w:right w:val="single" w:color="8186EF" w:sz="4"/>
          <w:insideH w:val="single" w:color="8186EF" w:sz="4"/>
          <w:insideV w:val="single" w:color="8186EF" w:sz="4"/>
        </w:tblBorders>
      </w:tblPr>
      <w:tblGrid>
        <w:gridCol w:w="100"/>
      </w:tblGrid>
      <w:tr>
        <w:tc>
          <w:tcPr>
            <w:shd w:fill="FBFAF6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/>
            </w:pPr>
            <w:r>
              <w:rPr>
                <w:b/>
                <w:bCs/>
                <w:color w:val="23265A"/>
                <w:sz w:val="15"/>
                <w:szCs w:val="15"/>
              </w:rPr>
              <w:t xml:space="preserve">WORD BANK</w:t>
            </w:r>
          </w:p>
          <w:p>
            <w:pPr>
              <w:spacing w:after="50" w:line="280" w:lineRule="auto"/>
            </w:pPr>
            <w:r>
              <w:rPr>
                <w:b/>
                <w:bCs/>
                <w:sz w:val="20"/>
                <w:szCs w:val="20"/>
              </w:rPr>
              <w:t xml:space="preserve">absorption costing</w:t>
            </w:r>
            <w:r>
              <w:rPr>
                <w:b/>
                <w:bCs/>
                <w:color w:val="8186EF"/>
                <w:sz w:val="20"/>
                <w:szCs w:val="20"/>
              </w:rPr>
              <w:t xml:space="preserve">   ·   </w:t>
            </w:r>
            <w:r>
              <w:rPr>
                <w:b/>
                <w:bCs/>
                <w:sz w:val="20"/>
                <w:szCs w:val="20"/>
              </w:rPr>
              <w:t xml:space="preserve">contribution margin</w:t>
            </w:r>
            <w:r>
              <w:rPr>
                <w:b/>
                <w:bCs/>
                <w:color w:val="8186EF"/>
                <w:sz w:val="20"/>
                <w:szCs w:val="20"/>
              </w:rPr>
              <w:t xml:space="preserve">   ·   </w:t>
            </w:r>
            <w:r>
              <w:rPr>
                <w:b/>
                <w:bCs/>
                <w:sz w:val="20"/>
                <w:szCs w:val="20"/>
              </w:rPr>
              <w:t xml:space="preserve">normal capacity</w:t>
            </w:r>
            <w:r>
              <w:rPr>
                <w:b/>
                <w:bCs/>
                <w:color w:val="8186EF"/>
                <w:sz w:val="20"/>
                <w:szCs w:val="20"/>
              </w:rPr>
              <w:t xml:space="preserve">   ·   </w:t>
            </w:r>
            <w:r>
              <w:rPr>
                <w:b/>
                <w:bCs/>
                <w:sz w:val="20"/>
                <w:szCs w:val="20"/>
              </w:rPr>
              <w:t xml:space="preserve">practical capacity</w:t>
            </w:r>
            <w:r>
              <w:rPr>
                <w:b/>
                <w:bCs/>
                <w:color w:val="8186EF"/>
                <w:sz w:val="20"/>
                <w:szCs w:val="20"/>
              </w:rPr>
              <w:t xml:space="preserve">   ·   </w:t>
            </w:r>
            <w:r>
              <w:rPr>
                <w:b/>
                <w:bCs/>
                <w:sz w:val="20"/>
                <w:szCs w:val="20"/>
              </w:rPr>
              <w:t xml:space="preserve">production-volume variance</w:t>
            </w:r>
            <w:r>
              <w:rPr>
                <w:b/>
                <w:bCs/>
                <w:color w:val="8186EF"/>
                <w:sz w:val="20"/>
                <w:szCs w:val="20"/>
              </w:rPr>
              <w:t xml:space="preserve">   ·   </w:t>
            </w:r>
            <w:r>
              <w:rPr>
                <w:b/>
                <w:bCs/>
                <w:sz w:val="20"/>
                <w:szCs w:val="20"/>
              </w:rPr>
              <w:t xml:space="preserve">unused capacity</w:t>
            </w:r>
            <w:r>
              <w:rPr>
                <w:b/>
                <w:bCs/>
                <w:color w:val="8186EF"/>
                <w:sz w:val="20"/>
                <w:szCs w:val="20"/>
              </w:rPr>
              <w:t xml:space="preserve">   ·   </w:t>
            </w:r>
            <w:r>
              <w:rPr>
                <w:b/>
                <w:bCs/>
                <w:sz w:val="20"/>
                <w:szCs w:val="20"/>
              </w:rPr>
              <w:t xml:space="preserve">variable costing</w:t>
            </w:r>
          </w:p>
          <w:p>
            <w:r>
              <w:rPr>
                <w:color w:val="6B7280"/>
                <w:sz w:val="17"/>
                <w:szCs w:val="17"/>
              </w:rPr>
              <w:t xml:space="preserve">Not every word is used.</w:t>
            </w:r>
          </w:p>
        </w:tc>
      </w:tr>
    </w:tbl>
    <w:p/>
    <w:p>
      <w:pPr>
        <w:spacing w:before="20" w:after="70" w:line="272" w:lineRule="auto"/>
      </w:pPr>
      <w:r>
        <w:rPr>
          <w:sz w:val="20"/>
          <w:szCs w:val="20"/>
        </w:rPr>
        <w:t xml:space="preserve">Cost of goods sold is at full cost, and the </w:t>
      </w:r>
      <w:r>
        <w:rPr>
          <w:vertAlign w:val="superscript"/>
          <w:color w:val="353A7C"/>
          <w:b/>
          <w:sz w:val="15"/>
        </w:rPr>
        <w:t>9</w:t>
      </w:r>
      <w:r>
        <w:rPr>
          <w:u w:val="single"/>
          <w:sz w:val="20"/>
          <w:szCs w:val="20"/>
        </w:rPr>
        <w:t xml:space="preserve">                                          </w:t>
      </w:r>
      <w:r>
        <w:rPr>
          <w:sz w:val="20"/>
          <w:szCs w:val="20"/>
        </w:rPr>
        <w:t xml:space="preserve"> is added when production falls short of the denominator.</w:t>
      </w:r>
    </w:p>
    <w:p>
      <w:pPr>
        <w:spacing w:before="20" w:after="70" w:line="272" w:lineRule="auto"/>
      </w:pPr>
      <w:r>
        <w:rPr>
          <w:sz w:val="20"/>
          <w:szCs w:val="20"/>
        </w:rPr>
        <w:t xml:space="preserve">The </w:t>
      </w:r>
      <w:r>
        <w:rPr>
          <w:vertAlign w:val="superscript"/>
          <w:color w:val="353A7C"/>
          <w:b/>
          <w:sz w:val="15"/>
        </w:rPr>
        <w:t>10</w:t>
      </w:r>
      <w:r>
        <w:rPr>
          <w:u w:val="single"/>
          <w:sz w:val="20"/>
          <w:szCs w:val="20"/>
        </w:rPr>
        <w:t xml:space="preserve">                           </w:t>
      </w:r>
      <w:r>
        <w:rPr>
          <w:sz w:val="20"/>
          <w:szCs w:val="20"/>
        </w:rPr>
        <w:t xml:space="preserve"> statement uses the contribution format.</w:t>
      </w:r>
    </w:p>
    <w:p>
      <w:pPr>
        <w:spacing w:before="20" w:after="70" w:line="272" w:lineRule="auto"/>
      </w:pPr>
      <w:r>
        <w:rPr>
          <w:sz w:val="20"/>
          <w:szCs w:val="20"/>
        </w:rPr>
        <w:t xml:space="preserve">Variable costs come first, then the </w:t>
      </w:r>
      <w:r>
        <w:rPr>
          <w:vertAlign w:val="superscript"/>
          <w:color w:val="353A7C"/>
          <w:b/>
          <w:sz w:val="15"/>
        </w:rPr>
        <w:t>11</w:t>
      </w:r>
      <w:r>
        <w:rPr>
          <w:u w:val="single"/>
          <w:sz w:val="20"/>
          <w:szCs w:val="20"/>
        </w:rPr>
        <w:t xml:space="preserve">                               </w:t>
      </w:r>
      <w:r>
        <w:rPr>
          <w:sz w:val="20"/>
          <w:szCs w:val="20"/>
        </w:rPr>
        <w:t xml:space="preserve">, then all fixed costs, including the full $1,800,000 of fixed manufacturing overhead.</w:t>
      </w:r>
    </w:p>
    <w:p>
      <w:pPr>
        <w:spacing w:before="20" w:after="70" w:line="272" w:lineRule="auto"/>
      </w:pPr>
      <w:r>
        <w:rPr>
          <w:sz w:val="20"/>
          <w:szCs w:val="20"/>
        </w:rPr>
        <w:t xml:space="preserve">What is total cost of goods sold, including the production-volume variance, under </w:t>
      </w:r>
      <w:r>
        <w:rPr>
          <w:vertAlign w:val="superscript"/>
          <w:color w:val="353A7C"/>
          <w:b/>
          <w:sz w:val="15"/>
        </w:rPr>
        <w:t>12</w:t>
      </w:r>
      <w:r>
        <w:rPr>
          <w:u w:val="single"/>
          <w:sz w:val="20"/>
          <w:szCs w:val="20"/>
        </w:rPr>
        <w:t xml:space="preserve">                              </w:t>
      </w:r>
      <w:r>
        <w:rPr>
          <w:sz w:val="20"/>
          <w:szCs w:val="20"/>
        </w:rPr>
        <w:t xml:space="preserve"> (whole USD)? A.</w:t>
      </w:r>
    </w:p>
    <w:p/>
    <w:p>
      <w:pPr>
        <w:spacing w:before="150" w:after="60"/>
        <w:ind w:left="130" w:right="130"/>
        <w:shd w:fill="23265A" w:val="clear"/>
      </w:pPr>
      <w:r>
        <w:rPr>
          <w:b/>
          <w:bCs/>
          <w:color w:val="FFFFFF"/>
          <w:sz w:val="15"/>
          <w:szCs w:val="15"/>
        </w:rPr>
        <w:t xml:space="preserve">CHECK   </w:t>
      </w:r>
      <w:r>
        <w:rPr>
          <w:b/>
          <w:bCs/>
          <w:color w:val="FFFFFF"/>
          <w:sz w:val="17"/>
          <w:szCs w:val="17"/>
        </w:rPr>
        <w:t xml:space="preserve">Page 1</w:t>
      </w:r>
      <w:r>
        <w:rPr>
          <w:color w:val="FFFFFF"/>
          <w:sz w:val="15"/>
          <w:szCs w:val="15"/>
        </w:rPr>
        <w:t xml:space="preserve">   ·   items 1 to 12   ·   </w:t>
      </w:r>
      <w:r>
        <w:rPr>
          <w:color w:val="FFFFFF"/>
          <w:sz w:val="15"/>
          <w:szCs w:val="15"/>
        </w:rPr>
        <w:t xml:space="preserve">fewer than 9 right: </w:t>
      </w:r>
      <w:r>
        <w:rPr>
          <w:b/>
          <w:bCs/>
          <w:color w:val="FFFFFF"/>
          <w:sz w:val="15"/>
          <w:szCs w:val="15"/>
        </w:rPr>
        <w:t xml:space="preserve">read section 9.1 again before page 2</w:t>
      </w:r>
    </w:p>
    <w:p>
      <w:pPr>
        <w:spacing w:after="0"/>
        <w:pageBreakBefore w:val="true"/>
      </w:pPr>
      <w:r>
        <w:rPr>
          <w:sz w:val="2"/>
          <w:szCs w:val="2"/>
        </w:rPr>
        <w:t xml:space="preserve"> </w:t>
      </w:r>
    </w:p>
    <w:p>
      <w:pPr>
        <w:spacing w:before="120" w:after="55"/>
        <w:pBdr>
          <w:top w:val="single" w:sz="10" w:space="6" w:color="353A7C"/>
        </w:pBdr>
      </w:pPr>
      <w:r>
        <w:rPr>
          <w:b/>
          <w:bCs/>
          <w:color w:val="353A7C"/>
          <w:sz w:val="21"/>
          <w:szCs w:val="21"/>
        </w:rPr>
        <w:t xml:space="preserve">Exercise 3 · fill in the table   </w:t>
      </w:r>
      <w:r>
        <w:rPr>
          <w:b/>
          <w:bCs/>
          <w:sz w:val="19"/>
          <w:szCs w:val="19"/>
        </w:rPr>
        <w:t xml:space="preserve">Complete the table. The first row is done; some cells are a word and some a figure.</w:t>
      </w:r>
    </w:p>
    <w:tbl>
      <w:tblPr>
        <w:tblW w:type="pct" w:w="100%"/>
        <w:tblBorders>
          <w:top w:val="single" w:color="DFE3EE" w:sz="4"/>
          <w:left w:val="single" w:color="DFE3EE" w:sz="4"/>
          <w:bottom w:val="single" w:color="DFE3EE" w:sz="4"/>
          <w:right w:val="single" w:color="DFE3EE" w:sz="4"/>
          <w:insideH w:val="single" w:color="DFE3EE" w:sz="4"/>
          <w:insideV w:val="single" w:color="DFE3EE" w:sz="4"/>
        </w:tblBorders>
      </w:tblPr>
      <w:tblGrid>
        <w:gridCol w:w="46"/>
        <w:gridCol w:w="27"/>
        <w:gridCol w:w="27"/>
      </w:tblGrid>
      <w:tr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Beverages juice case</w:t>
            </w:r>
          </w:p>
        </w:tc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Absorption</w:t>
            </w:r>
          </w:p>
        </w:tc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Variable costing</w:t>
            </w:r>
          </w:p>
        </w:tc>
      </w:tr>
      <w:tr>
        <w:tc>
          <w:tcPr>
            <w:shd w:fill="EFF0FB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sz w:val="17"/>
                <w:szCs w:val="17"/>
              </w:rPr>
              <w:t xml:space="preserve">Direct materials</w:t>
            </w:r>
          </w:p>
        </w:tc>
        <w:tc>
          <w:tcPr>
            <w:shd w:fill="EFF0FB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23265A"/>
                <w:sz w:val="17"/>
                <w:szCs w:val="17"/>
              </w:rPr>
              <w:t xml:space="preserve">$9.00</w:t>
            </w:r>
          </w:p>
        </w:tc>
        <w:tc>
          <w:tcPr>
            <w:shd w:fill="EFF0FB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23265A"/>
                <w:sz w:val="17"/>
                <w:szCs w:val="17"/>
              </w:rPr>
              <w:t xml:space="preserve">$9.00</w:t>
            </w:r>
          </w:p>
        </w:tc>
      </w:tr>
      <w:tr>
        <w:tc>
          <w:tcPr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sz w:val="17"/>
                <w:szCs w:val="17"/>
              </w:rPr>
              <w:t xml:space="preserve">Direct labor</w:t>
            </w:r>
          </w:p>
        </w:tc>
        <w:tc>
          <w:tcPr>
            <w:tcBorders>
              <w:bottom w:val="single" w:sz="6" w:color="8186EF"/>
            </w:tcBorders>
            <w:tcMar>
              <w:top w:type="dxa" w:w="80"/>
              <w:left w:type="dxa" w:w="80"/>
              <w:bottom w:type="dxa" w:w="80"/>
            </w:tcMar>
          </w:tcPr>
          <w:p>
            <w:r>
              <w:rPr>
                <w:b/>
                <w:bCs/>
                <w:color w:val="8186EF"/>
                <w:sz w:val="14"/>
                <w:szCs w:val="14"/>
              </w:rPr>
              <w:t xml:space="preserve">13</w:t>
            </w:r>
          </w:p>
        </w:tc>
        <w:tc>
          <w:tcPr>
            <w:tcBorders>
              <w:bottom w:val="single" w:sz="6" w:color="8186EF"/>
            </w:tcBorders>
            <w:tcMar>
              <w:top w:type="dxa" w:w="80"/>
              <w:left w:type="dxa" w:w="80"/>
              <w:bottom w:type="dxa" w:w="80"/>
            </w:tcMar>
          </w:tcPr>
          <w:p>
            <w:r>
              <w:rPr>
                <w:b/>
                <w:bCs/>
                <w:color w:val="8186EF"/>
                <w:sz w:val="14"/>
                <w:szCs w:val="14"/>
              </w:rPr>
              <w:t xml:space="preserve">14</w:t>
            </w:r>
          </w:p>
        </w:tc>
      </w:tr>
      <w:tr>
        <w:tc>
          <w:tcPr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sz w:val="17"/>
                <w:szCs w:val="17"/>
              </w:rPr>
              <w:t xml:space="preserve">Variable MOH</w:t>
            </w:r>
          </w:p>
        </w:tc>
        <w:tc>
          <w:tcPr>
            <w:tcBorders>
              <w:bottom w:val="single" w:sz="6" w:color="8186EF"/>
            </w:tcBorders>
            <w:tcMar>
              <w:top w:type="dxa" w:w="80"/>
              <w:left w:type="dxa" w:w="80"/>
              <w:bottom w:type="dxa" w:w="80"/>
            </w:tcMar>
          </w:tcPr>
          <w:p>
            <w:r>
              <w:rPr>
                <w:b/>
                <w:bCs/>
                <w:color w:val="8186EF"/>
                <w:sz w:val="14"/>
                <w:szCs w:val="14"/>
              </w:rPr>
              <w:t xml:space="preserve">15</w:t>
            </w:r>
          </w:p>
        </w:tc>
        <w:tc>
          <w:tcPr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sz w:val="17"/>
                <w:szCs w:val="17"/>
              </w:rPr>
              <w:t xml:space="preserve">$1.00</w:t>
            </w:r>
          </w:p>
        </w:tc>
      </w:tr>
      <w:tr>
        <w:tc>
          <w:tcPr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sz w:val="17"/>
                <w:szCs w:val="17"/>
              </w:rPr>
              <w:t xml:space="preserve">Fixed MOH</w:t>
            </w:r>
          </w:p>
        </w:tc>
        <w:tc>
          <w:tcPr>
            <w:tcBorders>
              <w:bottom w:val="single" w:sz="6" w:color="8186EF"/>
            </w:tcBorders>
            <w:tcMar>
              <w:top w:type="dxa" w:w="80"/>
              <w:left w:type="dxa" w:w="80"/>
              <w:bottom w:type="dxa" w:w="80"/>
            </w:tcMar>
          </w:tcPr>
          <w:p>
            <w:r>
              <w:rPr>
                <w:b/>
                <w:bCs/>
                <w:color w:val="8186EF"/>
                <w:sz w:val="14"/>
                <w:szCs w:val="14"/>
              </w:rPr>
              <w:t xml:space="preserve">16</w:t>
            </w:r>
          </w:p>
        </w:tc>
        <w:tc>
          <w:tcPr>
            <w:tcBorders>
              <w:bottom w:val="single" w:sz="6" w:color="8186EF"/>
            </w:tcBorders>
            <w:tcMar>
              <w:top w:type="dxa" w:w="80"/>
              <w:left w:type="dxa" w:w="80"/>
              <w:bottom w:type="dxa" w:w="80"/>
            </w:tcMar>
          </w:tcPr>
          <w:p>
            <w:r>
              <w:rPr>
                <w:b/>
                <w:bCs/>
                <w:color w:val="8186EF"/>
                <w:sz w:val="14"/>
                <w:szCs w:val="14"/>
              </w:rPr>
              <w:t xml:space="preserve">17</w:t>
            </w:r>
          </w:p>
        </w:tc>
      </w:tr>
      <w:tr>
        <w:tc>
          <w:tcPr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sz w:val="17"/>
                <w:szCs w:val="17"/>
              </w:rPr>
              <w:t xml:space="preserve">Product cost per case</w:t>
            </w:r>
          </w:p>
        </w:tc>
        <w:tc>
          <w:tcPr>
            <w:tcBorders>
              <w:bottom w:val="single" w:sz="6" w:color="8186EF"/>
            </w:tcBorders>
            <w:tcMar>
              <w:top w:type="dxa" w:w="80"/>
              <w:left w:type="dxa" w:w="80"/>
              <w:bottom w:type="dxa" w:w="80"/>
            </w:tcMar>
          </w:tcPr>
          <w:p>
            <w:r>
              <w:rPr>
                <w:b/>
                <w:bCs/>
                <w:color w:val="8186EF"/>
                <w:sz w:val="14"/>
                <w:szCs w:val="14"/>
              </w:rPr>
              <w:t xml:space="preserve">18</w:t>
            </w:r>
          </w:p>
        </w:tc>
        <w:tc>
          <w:tcPr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sz w:val="17"/>
                <w:szCs w:val="17"/>
              </w:rPr>
              <w:t xml:space="preserve">$10.60</w:t>
            </w:r>
          </w:p>
        </w:tc>
      </w:tr>
    </w:tbl>
    <w:p/>
    <w:p>
      <w:pPr>
        <w:spacing w:before="120" w:after="55"/>
        <w:pBdr>
          <w:top w:val="single" w:sz="10" w:space="6" w:color="353A7C"/>
        </w:pBdr>
      </w:pPr>
      <w:r>
        <w:rPr>
          <w:b/>
          <w:bCs/>
          <w:color w:val="353A7C"/>
          <w:sz w:val="21"/>
          <w:szCs w:val="21"/>
        </w:rPr>
        <w:t xml:space="preserve">Exercise 4 · multiple choice   </w:t>
      </w:r>
      <w:r>
        <w:rPr>
          <w:b/>
          <w:bCs/>
          <w:sz w:val="19"/>
          <w:szCs w:val="19"/>
        </w:rPr>
        <w:t xml:space="preserve">Ring one letter for each question.</w:t>
      </w:r>
    </w:p>
    <w:p>
      <w:pPr>
        <w:spacing w:before="55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19.  </w:t>
      </w:r>
      <w:r>
        <w:rPr>
          <w:sz w:val="19"/>
          <w:szCs w:val="19"/>
        </w:rPr>
        <w:t xml:space="preserve">Under variable costing, fixed manufacturing overhead is:</w:t>
      </w:r>
    </w:p>
    <w:tbl>
      <w:tblPr>
        <w:tblW w:type="pct" w:w="100%"/>
        <w:tblInd w:type="dxa" w:w="300"/>
      </w:tblPr>
      <w:tblGrid>
        <w:gridCol w:w="50"/>
        <w:gridCol w:w="50"/>
      </w:tblGrid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(A) </w:t>
            </w:r>
            <w:r>
              <w:rPr>
                <w:sz w:val="18"/>
                <w:szCs w:val="18"/>
              </w:rPr>
              <w:t xml:space="preserve">included in finished goods inventory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(B) </w:t>
            </w:r>
            <w:r>
              <w:rPr>
                <w:sz w:val="18"/>
                <w:szCs w:val="18"/>
              </w:rPr>
              <w:t xml:space="preserve">added to selling expenses per unit</w:t>
            </w:r>
          </w:p>
        </w:tc>
      </w:tr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(C) </w:t>
            </w:r>
            <w:r>
              <w:rPr>
                <w:sz w:val="18"/>
                <w:szCs w:val="18"/>
              </w:rPr>
              <w:t xml:space="preserve">expensed in the period it is incurred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(D) </w:t>
            </w:r>
            <w:r>
              <w:rPr>
                <w:sz w:val="18"/>
                <w:szCs w:val="18"/>
              </w:rPr>
              <w:t xml:space="preserve">ignored</w:t>
            </w:r>
          </w:p>
        </w:tc>
      </w:tr>
    </w:tbl>
    <w:p>
      <w:pPr>
        <w:spacing w:before="55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20.  </w:t>
      </w:r>
      <w:r>
        <w:rPr>
          <w:sz w:val="19"/>
          <w:szCs w:val="19"/>
        </w:rPr>
        <w:t xml:space="preserve">Which cost is a product cost under absorption costing but a period cost under variable costing?</w:t>
      </w:r>
    </w:p>
    <w:tbl>
      <w:tblPr>
        <w:tblW w:type="pct" w:w="100%"/>
        <w:tblInd w:type="dxa" w:w="300"/>
      </w:tblPr>
      <w:tblGrid>
        <w:gridCol w:w="50"/>
        <w:gridCol w:w="50"/>
      </w:tblGrid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(A) </w:t>
            </w:r>
            <w:r>
              <w:rPr>
                <w:sz w:val="18"/>
                <w:szCs w:val="18"/>
              </w:rPr>
              <w:t xml:space="preserve">Juice concentrate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(B) </w:t>
            </w:r>
            <w:r>
              <w:rPr>
                <w:sz w:val="18"/>
                <w:szCs w:val="18"/>
              </w:rPr>
              <w:t xml:space="preserve">Depreciation of the bottling line</w:t>
            </w:r>
          </w:p>
        </w:tc>
      </w:tr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(C) </w:t>
            </w:r>
            <w:r>
              <w:rPr>
                <w:sz w:val="18"/>
                <w:szCs w:val="18"/>
              </w:rPr>
              <w:t xml:space="preserve">Variable selling cost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(D) </w:t>
            </w:r>
            <w:r>
              <w:rPr>
                <w:sz w:val="18"/>
                <w:szCs w:val="18"/>
              </w:rPr>
              <w:t xml:space="preserve">Head-office salaries</w:t>
            </w:r>
          </w:p>
        </w:tc>
      </w:tr>
    </w:tbl>
    <w:p>
      <w:pPr>
        <w:spacing w:before="55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21.  </w:t>
      </w:r>
      <w:r>
        <w:rPr>
          <w:sz w:val="19"/>
          <w:szCs w:val="19"/>
        </w:rPr>
        <w:t xml:space="preserve">A case sells for $20.00. Variable manufacturing cost is $10.60, variable selling cost $1.20 and full product cost $12.60. What is the contribution margin per case?</w:t>
      </w:r>
    </w:p>
    <w:tbl>
      <w:tblPr>
        <w:tblW w:type="pct" w:w="100%"/>
        <w:tblInd w:type="dxa" w:w="300"/>
      </w:tblPr>
      <w:tblGrid>
        <w:gridCol w:w="50"/>
        <w:gridCol w:w="50"/>
      </w:tblGrid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(A) </w:t>
            </w:r>
            <w:r>
              <w:rPr>
                <w:sz w:val="18"/>
                <w:szCs w:val="18"/>
              </w:rPr>
              <w:t xml:space="preserve">$7.40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(B) </w:t>
            </w:r>
            <w:r>
              <w:rPr>
                <w:sz w:val="18"/>
                <w:szCs w:val="18"/>
              </w:rPr>
              <w:t xml:space="preserve">$8.20</w:t>
            </w:r>
          </w:p>
        </w:tc>
      </w:tr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(C) </w:t>
            </w:r>
            <w:r>
              <w:rPr>
                <w:sz w:val="18"/>
                <w:szCs w:val="18"/>
              </w:rPr>
              <w:t xml:space="preserve">$9.40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(D) </w:t>
            </w:r>
            <w:r>
              <w:rPr>
                <w:sz w:val="18"/>
                <w:szCs w:val="18"/>
              </w:rPr>
              <w:t xml:space="preserve">$20.00</w:t>
            </w:r>
          </w:p>
        </w:tc>
      </w:tr>
    </w:tbl>
    <w:p>
      <w:pPr>
        <w:spacing w:before="55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22.  </w:t>
      </w:r>
      <w:r>
        <w:rPr>
          <w:sz w:val="19"/>
          <w:szCs w:val="19"/>
        </w:rPr>
        <w:t xml:space="preserve">Using SC209-3, what is the contribution margin ratio?</w:t>
      </w:r>
    </w:p>
    <w:tbl>
      <w:tblPr>
        <w:tblW w:type="pct" w:w="100%"/>
        <w:tblInd w:type="dxa" w:w="300"/>
      </w:tblPr>
      <w:tblGrid>
        <w:gridCol w:w="50"/>
        <w:gridCol w:w="50"/>
      </w:tblGrid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(A) </w:t>
            </w:r>
            <w:r>
              <w:rPr>
                <w:sz w:val="18"/>
                <w:szCs w:val="18"/>
              </w:rPr>
              <w:t xml:space="preserve">41%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(B) </w:t>
            </w:r>
            <w:r>
              <w:rPr>
                <w:sz w:val="18"/>
                <w:szCs w:val="18"/>
              </w:rPr>
              <w:t xml:space="preserve">59%</w:t>
            </w:r>
          </w:p>
        </w:tc>
      </w:tr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(C) </w:t>
            </w:r>
            <w:r>
              <w:rPr>
                <w:sz w:val="18"/>
                <w:szCs w:val="18"/>
              </w:rPr>
              <w:t xml:space="preserve">37%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(D) </w:t>
            </w:r>
            <w:r>
              <w:rPr>
                <w:sz w:val="18"/>
                <w:szCs w:val="18"/>
              </w:rPr>
              <w:t xml:space="preserve">47%</w:t>
            </w:r>
          </w:p>
        </w:tc>
      </w:tr>
    </w:tbl>
    <w:p>
      <w:pPr>
        <w:spacing w:before="55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23.  </w:t>
      </w:r>
      <w:r>
        <w:rPr>
          <w:sz w:val="19"/>
          <w:szCs w:val="19"/>
        </w:rPr>
        <w:t xml:space="preserve">A variable costing income statement is presented in:</w:t>
      </w:r>
    </w:p>
    <w:tbl>
      <w:tblPr>
        <w:tblW w:type="pct" w:w="100%"/>
        <w:tblInd w:type="dxa" w:w="300"/>
      </w:tblPr>
      <w:tblGrid>
        <w:gridCol w:w="50"/>
        <w:gridCol w:w="50"/>
      </w:tblGrid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(A) </w:t>
            </w:r>
            <w:r>
              <w:rPr>
                <w:sz w:val="18"/>
                <w:szCs w:val="18"/>
              </w:rPr>
              <w:t xml:space="preserve">the contribution margin format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(B) </w:t>
            </w:r>
            <w:r>
              <w:rPr>
                <w:sz w:val="18"/>
                <w:szCs w:val="18"/>
              </w:rPr>
              <w:t xml:space="preserve">the gross margin format</w:t>
            </w:r>
          </w:p>
        </w:tc>
      </w:tr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(C) </w:t>
            </w:r>
            <w:r>
              <w:rPr>
                <w:sz w:val="18"/>
                <w:szCs w:val="18"/>
              </w:rPr>
              <w:t xml:space="preserve">the cash flow format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(D) </w:t>
            </w:r>
            <w:r>
              <w:rPr>
                <w:sz w:val="18"/>
                <w:szCs w:val="18"/>
              </w:rPr>
              <w:t xml:space="preserve">the same format as the published statements</w:t>
            </w:r>
          </w:p>
        </w:tc>
      </w:tr>
    </w:tbl>
    <w:p>
      <w:pPr>
        <w:spacing w:before="55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24.  </w:t>
      </w:r>
      <w:r>
        <w:rPr>
          <w:sz w:val="19"/>
          <w:szCs w:val="19"/>
        </w:rPr>
        <w:t xml:space="preserve">Production is greater than sales. Compared with variable costing, absorption costing income is:</w:t>
      </w:r>
    </w:p>
    <w:tbl>
      <w:tblPr>
        <w:tblW w:type="pct" w:w="100%"/>
        <w:tblInd w:type="dxa" w:w="300"/>
      </w:tblPr>
      <w:tblGrid>
        <w:gridCol w:w="50"/>
        <w:gridCol w:w="50"/>
      </w:tblGrid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(A) </w:t>
            </w:r>
            <w:r>
              <w:rPr>
                <w:sz w:val="18"/>
                <w:szCs w:val="18"/>
              </w:rPr>
              <w:t xml:space="preserve">lower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(B) </w:t>
            </w:r>
            <w:r>
              <w:rPr>
                <w:sz w:val="18"/>
                <w:szCs w:val="18"/>
              </w:rPr>
              <w:t xml:space="preserve">higher</w:t>
            </w:r>
          </w:p>
        </w:tc>
      </w:tr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(C) </w:t>
            </w:r>
            <w:r>
              <w:rPr>
                <w:sz w:val="18"/>
                <w:szCs w:val="18"/>
              </w:rPr>
              <w:t xml:space="preserve">the same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(D) </w:t>
            </w:r>
            <w:r>
              <w:rPr>
                <w:sz w:val="18"/>
                <w:szCs w:val="18"/>
              </w:rPr>
              <w:t xml:space="preserve">always zero</w:t>
            </w:r>
          </w:p>
        </w:tc>
      </w:tr>
    </w:tbl>
    <w:p/>
    <w:p>
      <w:pPr>
        <w:spacing w:before="150" w:after="60"/>
        <w:ind w:left="130" w:right="130"/>
        <w:shd w:fill="23265A" w:val="clear"/>
      </w:pPr>
      <w:r>
        <w:rPr>
          <w:b/>
          <w:bCs/>
          <w:color w:val="FFFFFF"/>
          <w:sz w:val="15"/>
          <w:szCs w:val="15"/>
        </w:rPr>
        <w:t xml:space="preserve">CHECK   </w:t>
      </w:r>
      <w:r>
        <w:rPr>
          <w:b/>
          <w:bCs/>
          <w:color w:val="FFFFFF"/>
          <w:sz w:val="17"/>
          <w:szCs w:val="17"/>
        </w:rPr>
        <w:t xml:space="preserve">Page 2</w:t>
      </w:r>
      <w:r>
        <w:rPr>
          <w:color w:val="FFFFFF"/>
          <w:sz w:val="15"/>
          <w:szCs w:val="15"/>
        </w:rPr>
        <w:t xml:space="preserve">   ·   items 13 to 24   ·   </w:t>
      </w:r>
      <w:r>
        <w:rPr>
          <w:color w:val="FFFFFF"/>
          <w:sz w:val="15"/>
          <w:szCs w:val="15"/>
        </w:rPr>
        <w:t xml:space="preserve">fewer than 9 right: </w:t>
      </w:r>
      <w:r>
        <w:rPr>
          <w:b/>
          <w:bCs/>
          <w:color w:val="FFFFFF"/>
          <w:sz w:val="15"/>
          <w:szCs w:val="15"/>
        </w:rPr>
        <w:t xml:space="preserve">redo page 2 before you leave the handout</w:t>
      </w:r>
    </w:p>
    <w:p>
      <w:pPr>
        <w:sectPr>
          <w:headerReference w:type="default" r:id="rIdHdr1"/>
          <w:pgSz w:w="11906" w:h="16838" w:orient="portrait"/>
          <w:pgMar w:top="1180" w:right="1000" w:bottom="900" w:left="1000" w:header="708" w:footer="708" w:gutter="0"/>
          <w:docGrid w:linePitch="360"/>
          <w:pgNumType w:start="1"/>
        </w:sectPr>
      </w:pPr>
    </w:p>
    <w:p>
      <w:pPr>
        <w:spacing w:after="20" w:before="60"/>
      </w:pPr>
      <w:r>
        <w:rPr>
          <w:b/>
          <w:bCs/>
          <w:color w:val="353A7C"/>
          <w:sz w:val="40"/>
          <w:szCs w:val="40"/>
        </w:rPr>
        <w:t xml:space="preserve">Handout 9.2 · Practical capacity and capacity management</w:t>
      </w:r>
    </w:p>
    <w:p>
      <w:pPr>
        <w:spacing w:after="130"/>
      </w:pPr>
      <w:r>
        <w:rPr>
          <w:color w:val="6B7280"/>
          <w:sz w:val="20"/>
          <w:szCs w:val="20"/>
        </w:rPr>
        <w:t xml:space="preserve">CMA Part 1 · Book 2 · Cost Management · Chapter 9 · from section sections 9.6, 9.7 of the book · 3 pages, answer key on a separate sheet</w:t>
      </w:r>
    </w:p>
    <w:p>
      <w:pPr>
        <w:spacing w:before="120" w:after="55"/>
        <w:pBdr>
          <w:top w:val="single" w:sz="10" w:space="6" w:color="353A7C"/>
        </w:pBdr>
      </w:pPr>
      <w:r>
        <w:rPr>
          <w:b/>
          <w:bCs/>
          <w:color w:val="353A7C"/>
          <w:sz w:val="21"/>
          <w:szCs w:val="21"/>
        </w:rPr>
        <w:t xml:space="preserve">Exercise 1 · true or false   </w:t>
      </w:r>
      <w:r>
        <w:rPr>
          <w:b/>
          <w:bCs/>
          <w:sz w:val="19"/>
          <w:szCs w:val="19"/>
        </w:rPr>
        <w:t xml:space="preserve">Ring T or F for each statement.</w:t>
      </w:r>
    </w:p>
    <w:tbl>
      <w:tblPr>
        <w:tblW w:type="pct" w:w="100%"/>
        <w:tblBorders>
          <w:top w:val="single" w:color="DFE3EE" w:sz="4"/>
          <w:left w:val="single" w:color="DFE3EE" w:sz="4"/>
          <w:bottom w:val="single" w:color="DFE3EE" w:sz="4"/>
          <w:right w:val="single" w:color="DFE3EE" w:sz="4"/>
          <w:insideH w:val="single" w:color="DFE3EE" w:sz="4"/>
          <w:insideV w:val="single" w:color="DFE3EE" w:sz="4"/>
        </w:tblBorders>
      </w:tblPr>
      <w:tblGrid>
        <w:gridCol w:w="82"/>
        <w:gridCol w:w="18"/>
      </w:tblGrid>
      <w:tr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Statement</w:t>
            </w:r>
          </w:p>
        </w:tc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True or false?</w:t>
            </w:r>
          </w:p>
        </w:tc>
      </w:tr>
      <w:tr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1.  </w:t>
            </w:r>
            <w:r>
              <w:rPr>
                <w:sz w:val="18"/>
                <w:szCs w:val="18"/>
              </w:rPr>
              <w:t xml:space="preserve">To add it to product prices</w:t>
            </w:r>
          </w:p>
        </w:tc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pPr>
              <w:jc w:val="center"/>
            </w:pPr>
            <w:r>
              <w:rPr>
                <w:b/>
                <w:bCs/>
                <w:color w:val="6B7280"/>
                <w:sz w:val="18"/>
                <w:szCs w:val="18"/>
              </w:rPr>
              <w:t xml:space="preserve">T        F</w:t>
            </w:r>
          </w:p>
        </w:tc>
      </w:tr>
      <w:tr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2.  </w:t>
            </w:r>
            <w:r>
              <w:rPr>
                <w:sz w:val="18"/>
                <w:szCs w:val="18"/>
              </w:rPr>
              <w:t xml:space="preserve">It separates fixed and variable costs.</w:t>
            </w:r>
          </w:p>
        </w:tc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pPr>
              <w:jc w:val="center"/>
            </w:pPr>
            <w:r>
              <w:rPr>
                <w:b/>
                <w:bCs/>
                <w:color w:val="6B7280"/>
                <w:sz w:val="18"/>
                <w:szCs w:val="18"/>
              </w:rPr>
              <w:t xml:space="preserve">T        F</w:t>
            </w:r>
          </w:p>
        </w:tc>
      </w:tr>
      <w:tr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3.  </w:t>
            </w:r>
            <w:r>
              <w:rPr>
                <w:sz w:val="18"/>
                <w:szCs w:val="18"/>
              </w:rPr>
              <w:t xml:space="preserve">Variable costing treats fixed manufacturing overhead as a period cost.</w:t>
            </w:r>
          </w:p>
        </w:tc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pPr>
              <w:jc w:val="center"/>
            </w:pPr>
            <w:r>
              <w:rPr>
                <w:b/>
                <w:bCs/>
                <w:color w:val="6B7280"/>
                <w:sz w:val="18"/>
                <w:szCs w:val="18"/>
              </w:rPr>
              <w:t xml:space="preserve">T        F</w:t>
            </w:r>
          </w:p>
        </w:tc>
      </w:tr>
      <w:tr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4.  </w:t>
            </w:r>
            <w:r>
              <w:rPr>
                <w:sz w:val="18"/>
                <w:szCs w:val="18"/>
              </w:rPr>
              <w:t xml:space="preserve">Products carry only the capacity they use.</w:t>
            </w:r>
          </w:p>
        </w:tc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pPr>
              <w:jc w:val="center"/>
            </w:pPr>
            <w:r>
              <w:rPr>
                <w:b/>
                <w:bCs/>
                <w:color w:val="6B7280"/>
                <w:sz w:val="18"/>
                <w:szCs w:val="18"/>
              </w:rPr>
              <w:t xml:space="preserve">T        F</w:t>
            </w:r>
          </w:p>
        </w:tc>
      </w:tr>
      <w:tr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5.  </w:t>
            </w:r>
            <w:r>
              <w:rPr>
                <w:sz w:val="18"/>
                <w:szCs w:val="18"/>
              </w:rPr>
              <w:t xml:space="preserve">added to selling expenses per unit</w:t>
            </w:r>
          </w:p>
        </w:tc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pPr>
              <w:jc w:val="center"/>
            </w:pPr>
            <w:r>
              <w:rPr>
                <w:b/>
                <w:bCs/>
                <w:color w:val="6B7280"/>
                <w:sz w:val="18"/>
                <w:szCs w:val="18"/>
              </w:rPr>
              <w:t xml:space="preserve">T        F</w:t>
            </w:r>
          </w:p>
        </w:tc>
      </w:tr>
      <w:tr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6.  </w:t>
            </w:r>
            <w:r>
              <w:rPr>
                <w:sz w:val="18"/>
                <w:szCs w:val="18"/>
              </w:rPr>
              <w:t xml:space="preserve">Standard COGS plus the unfavorable volume variance.</w:t>
            </w:r>
          </w:p>
        </w:tc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pPr>
              <w:jc w:val="center"/>
            </w:pPr>
            <w:r>
              <w:rPr>
                <w:b/>
                <w:bCs/>
                <w:color w:val="6B7280"/>
                <w:sz w:val="18"/>
                <w:szCs w:val="18"/>
              </w:rPr>
              <w:t xml:space="preserve">T        F</w:t>
            </w:r>
          </w:p>
        </w:tc>
      </w:tr>
      <w:tr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7.  </w:t>
            </w:r>
            <w:r>
              <w:rPr>
                <w:sz w:val="18"/>
                <w:szCs w:val="18"/>
              </w:rPr>
              <w:t xml:space="preserve">the same format as the published statements</w:t>
            </w:r>
          </w:p>
        </w:tc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pPr>
              <w:jc w:val="center"/>
            </w:pPr>
            <w:r>
              <w:rPr>
                <w:b/>
                <w:bCs/>
                <w:color w:val="6B7280"/>
                <w:sz w:val="18"/>
                <w:szCs w:val="18"/>
              </w:rPr>
              <w:t xml:space="preserve">T        F</w:t>
            </w:r>
          </w:p>
        </w:tc>
      </w:tr>
    </w:tbl>
    <w:p/>
    <w:p>
      <w:pPr>
        <w:spacing w:before="120" w:after="55"/>
        <w:pBdr>
          <w:top w:val="single" w:sz="10" w:space="6" w:color="353A7C"/>
        </w:pBdr>
      </w:pPr>
      <w:r>
        <w:rPr>
          <w:b/>
          <w:bCs/>
          <w:color w:val="353A7C"/>
          <w:sz w:val="21"/>
          <w:szCs w:val="21"/>
        </w:rPr>
        <w:t xml:space="preserve">Exercise 2 · matching   </w:t>
      </w:r>
      <w:r>
        <w:rPr>
          <w:b/>
          <w:bCs/>
          <w:sz w:val="19"/>
          <w:szCs w:val="19"/>
        </w:rPr>
        <w:t xml:space="preserve">Write the letter of the Arabic term beside each English one.</w:t>
      </w:r>
    </w:p>
    <w:tbl>
      <w:tblPr>
        <w:tblW w:type="pct" w:w="100%"/>
        <w:tblBorders>
          <w:top w:val="single" w:color="DFE3EE" w:sz="4"/>
          <w:left w:val="single" w:color="DFE3EE" w:sz="4"/>
          <w:bottom w:val="single" w:color="DFE3EE" w:sz="4"/>
          <w:right w:val="single" w:color="DFE3EE" w:sz="4"/>
          <w:insideH w:val="single" w:color="DFE3EE" w:sz="4"/>
          <w:insideV w:val="single" w:color="DFE3EE" w:sz="4"/>
        </w:tblBorders>
      </w:tblPr>
      <w:tblGrid>
        <w:gridCol w:w="4"/>
        <w:gridCol w:w="40"/>
        <w:gridCol w:w="7"/>
        <w:gridCol w:w="4"/>
        <w:gridCol w:w="45"/>
      </w:tblGrid>
      <w:tr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/>
            </w:r>
          </w:p>
        </w:tc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English (exam term)</w:t>
            </w:r>
          </w:p>
        </w:tc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/>
            </w:r>
          </w:p>
        </w:tc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/>
            </w:r>
          </w:p>
        </w:tc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العربية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1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absorption costing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A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التكاليف المتغيرة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2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variable costing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B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الطاقة غير المستغلة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3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contribution margin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C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دوامة الطلب الهابطة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4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contribution margin ratio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D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انحراف حجم الإنتاج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5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production-volume variance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E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التكاليف الكلية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6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practical capacity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F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الطاقة العادية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7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unused capacity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G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نسبة هامش المساهمة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8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downward demand spiral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H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هامش المساهمة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9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normal capacity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I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الطاقة العملية</w:t>
            </w:r>
          </w:p>
        </w:tc>
      </w:tr>
    </w:tbl>
    <w:p/>
    <w:p>
      <w:pPr>
        <w:spacing w:before="150" w:after="60"/>
        <w:ind w:left="130" w:right="130"/>
        <w:shd w:fill="23265A" w:val="clear"/>
      </w:pPr>
      <w:r>
        <w:rPr>
          <w:b/>
          <w:bCs/>
          <w:color w:val="FFFFFF"/>
          <w:sz w:val="15"/>
          <w:szCs w:val="15"/>
        </w:rPr>
        <w:t xml:space="preserve">CHECK   </w:t>
      </w:r>
      <w:r>
        <w:rPr>
          <w:b/>
          <w:bCs/>
          <w:color w:val="FFFFFF"/>
          <w:sz w:val="17"/>
          <w:szCs w:val="17"/>
        </w:rPr>
        <w:t xml:space="preserve">Page 1</w:t>
      </w:r>
      <w:r>
        <w:rPr>
          <w:color w:val="FFFFFF"/>
          <w:sz w:val="15"/>
          <w:szCs w:val="15"/>
        </w:rPr>
        <w:t xml:space="preserve">   ·   items 1 to 16   ·   </w:t>
      </w:r>
      <w:r>
        <w:rPr>
          <w:color w:val="FFFFFF"/>
          <w:sz w:val="15"/>
          <w:szCs w:val="15"/>
        </w:rPr>
        <w:t xml:space="preserve">fewer than 12 right: </w:t>
      </w:r>
      <w:r>
        <w:rPr>
          <w:b/>
          <w:bCs/>
          <w:color w:val="FFFFFF"/>
          <w:sz w:val="15"/>
          <w:szCs w:val="15"/>
        </w:rPr>
        <w:t xml:space="preserve">read section 9.1 again before page 2</w:t>
      </w:r>
    </w:p>
    <w:p>
      <w:pPr>
        <w:spacing w:after="0"/>
        <w:pageBreakBefore w:val="true"/>
      </w:pPr>
      <w:r>
        <w:rPr>
          <w:sz w:val="2"/>
          <w:szCs w:val="2"/>
        </w:rPr>
        <w:t xml:space="preserve"> </w:t>
      </w:r>
    </w:p>
    <w:p>
      <w:pPr>
        <w:spacing w:before="120" w:after="55"/>
        <w:pBdr>
          <w:top w:val="single" w:sz="10" w:space="6" w:color="353A7C"/>
        </w:pBdr>
      </w:pPr>
      <w:r>
        <w:rPr>
          <w:b/>
          <w:bCs/>
          <w:color w:val="353A7C"/>
          <w:sz w:val="21"/>
          <w:szCs w:val="21"/>
        </w:rPr>
        <w:t xml:space="preserve">Exercise 3 · fill in the spaces   </w:t>
      </w:r>
      <w:r>
        <w:rPr>
          <w:b/>
          <w:bCs/>
          <w:sz w:val="19"/>
          <w:szCs w:val="19"/>
        </w:rPr>
        <w:t xml:space="preserve">Write the missing term in each numbered space. Every sentence is from section 9.6 of the book.</w:t>
      </w:r>
    </w:p>
    <w:tbl>
      <w:tblPr>
        <w:tblW w:type="pct" w:w="100%"/>
        <w:tblBorders>
          <w:top w:val="single" w:color="8186EF" w:sz="4"/>
          <w:left w:val="single" w:color="8186EF" w:sz="4"/>
          <w:bottom w:val="single" w:color="8186EF" w:sz="4"/>
          <w:right w:val="single" w:color="8186EF" w:sz="4"/>
          <w:insideH w:val="single" w:color="8186EF" w:sz="4"/>
          <w:insideV w:val="single" w:color="8186EF" w:sz="4"/>
        </w:tblBorders>
      </w:tblPr>
      <w:tblGrid>
        <w:gridCol w:w="100"/>
      </w:tblGrid>
      <w:tr>
        <w:tc>
          <w:tcPr>
            <w:shd w:fill="FBFAF6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/>
            </w:pPr>
            <w:r>
              <w:rPr>
                <w:b/>
                <w:bCs/>
                <w:color w:val="23265A"/>
                <w:sz w:val="15"/>
                <w:szCs w:val="15"/>
              </w:rPr>
              <w:t xml:space="preserve">WORD BANK</w:t>
            </w:r>
          </w:p>
          <w:p>
            <w:pPr>
              <w:spacing w:after="50" w:line="280" w:lineRule="auto"/>
            </w:pPr>
            <w:r>
              <w:rPr>
                <w:b/>
                <w:bCs/>
                <w:sz w:val="20"/>
                <w:szCs w:val="20"/>
              </w:rPr>
              <w:t xml:space="preserve">absorption costing</w:t>
            </w:r>
            <w:r>
              <w:rPr>
                <w:b/>
                <w:bCs/>
                <w:color w:val="8186EF"/>
                <w:sz w:val="20"/>
                <w:szCs w:val="20"/>
              </w:rPr>
              <w:t xml:space="preserve">   ·   </w:t>
            </w:r>
            <w:r>
              <w:rPr>
                <w:b/>
                <w:bCs/>
                <w:sz w:val="20"/>
                <w:szCs w:val="20"/>
              </w:rPr>
              <w:t xml:space="preserve">contribution margin</w:t>
            </w:r>
            <w:r>
              <w:rPr>
                <w:b/>
                <w:bCs/>
                <w:color w:val="8186EF"/>
                <w:sz w:val="20"/>
                <w:szCs w:val="20"/>
              </w:rPr>
              <w:t xml:space="preserve">   ·   </w:t>
            </w:r>
            <w:r>
              <w:rPr>
                <w:b/>
                <w:bCs/>
                <w:sz w:val="20"/>
                <w:szCs w:val="20"/>
              </w:rPr>
              <w:t xml:space="preserve">normal capacity</w:t>
            </w:r>
            <w:r>
              <w:rPr>
                <w:b/>
                <w:bCs/>
                <w:color w:val="8186EF"/>
                <w:sz w:val="20"/>
                <w:szCs w:val="20"/>
              </w:rPr>
              <w:t xml:space="preserve">   ·   </w:t>
            </w:r>
            <w:r>
              <w:rPr>
                <w:b/>
                <w:bCs/>
                <w:sz w:val="20"/>
                <w:szCs w:val="20"/>
              </w:rPr>
              <w:t xml:space="preserve">practical capacity</w:t>
            </w:r>
            <w:r>
              <w:rPr>
                <w:b/>
                <w:bCs/>
                <w:color w:val="8186EF"/>
                <w:sz w:val="20"/>
                <w:szCs w:val="20"/>
              </w:rPr>
              <w:t xml:space="preserve">   ·   </w:t>
            </w:r>
            <w:r>
              <w:rPr>
                <w:b/>
                <w:bCs/>
                <w:sz w:val="20"/>
                <w:szCs w:val="20"/>
              </w:rPr>
              <w:t xml:space="preserve">production-volume variance</w:t>
            </w:r>
            <w:r>
              <w:rPr>
                <w:b/>
                <w:bCs/>
                <w:color w:val="8186EF"/>
                <w:sz w:val="20"/>
                <w:szCs w:val="20"/>
              </w:rPr>
              <w:t xml:space="preserve">   ·   </w:t>
            </w:r>
            <w:r>
              <w:rPr>
                <w:b/>
                <w:bCs/>
                <w:sz w:val="20"/>
                <w:szCs w:val="20"/>
              </w:rPr>
              <w:t xml:space="preserve">unused capacity</w:t>
            </w:r>
            <w:r>
              <w:rPr>
                <w:b/>
                <w:bCs/>
                <w:color w:val="8186EF"/>
                <w:sz w:val="20"/>
                <w:szCs w:val="20"/>
              </w:rPr>
              <w:t xml:space="preserve">   ·   </w:t>
            </w:r>
            <w:r>
              <w:rPr>
                <w:b/>
                <w:bCs/>
                <w:sz w:val="20"/>
                <w:szCs w:val="20"/>
              </w:rPr>
              <w:t xml:space="preserve">variable costing</w:t>
            </w:r>
          </w:p>
          <w:p>
            <w:r>
              <w:rPr>
                <w:color w:val="6B7280"/>
                <w:sz w:val="17"/>
                <w:szCs w:val="17"/>
              </w:rPr>
              <w:t xml:space="preserve">Not every word is used.</w:t>
            </w:r>
          </w:p>
        </w:tc>
      </w:tr>
    </w:tbl>
    <w:p/>
    <w:p>
      <w:pPr>
        <w:spacing w:before="20" w:after="70" w:line="272" w:lineRule="auto"/>
      </w:pPr>
      <w:r>
        <w:rPr>
          <w:sz w:val="20"/>
          <w:szCs w:val="20"/>
        </w:rPr>
        <w:t xml:space="preserve">Many managers use </w:t>
      </w:r>
      <w:r>
        <w:rPr>
          <w:vertAlign w:val="superscript"/>
          <w:color w:val="353A7C"/>
          <w:b/>
          <w:sz w:val="15"/>
        </w:rPr>
        <w:t>17</w:t>
      </w:r>
      <w:r>
        <w:rPr>
          <w:u w:val="single"/>
          <w:sz w:val="20"/>
          <w:szCs w:val="20"/>
        </w:rPr>
        <w:t xml:space="preserve">                              </w:t>
      </w:r>
      <w:r>
        <w:rPr>
          <w:sz w:val="20"/>
          <w:szCs w:val="20"/>
        </w:rPr>
        <w:t xml:space="preserve"> for internal reports.</w:t>
      </w:r>
    </w:p>
    <w:p>
      <w:pPr>
        <w:spacing w:before="20" w:after="70" w:line="272" w:lineRule="auto"/>
      </w:pPr>
      <w:r>
        <w:rPr>
          <w:sz w:val="20"/>
          <w:szCs w:val="20"/>
        </w:rPr>
        <w:t xml:space="preserve">The product carries only the cost of the capacity it uses, and the cost of idle capacity is shown on its own as </w:t>
      </w:r>
      <w:r>
        <w:rPr>
          <w:vertAlign w:val="superscript"/>
          <w:color w:val="353A7C"/>
          <w:b/>
          <w:sz w:val="15"/>
        </w:rPr>
        <w:t>18</w:t>
      </w:r>
      <w:r>
        <w:rPr>
          <w:u w:val="single"/>
          <w:sz w:val="20"/>
          <w:szCs w:val="20"/>
        </w:rPr>
        <w:t xml:space="preserve">                         </w:t>
      </w:r>
      <w:r>
        <w:rPr>
          <w:sz w:val="20"/>
          <w:szCs w:val="20"/>
        </w:rPr>
        <w:t xml:space="preserve">.</w:t>
      </w:r>
    </w:p>
    <w:p>
      <w:pPr>
        <w:spacing w:before="20" w:after="70" w:line="272" w:lineRule="auto"/>
      </w:pPr>
      <w:r>
        <w:rPr>
          <w:sz w:val="20"/>
          <w:szCs w:val="20"/>
        </w:rPr>
        <w:t xml:space="preserve">It must be estimated, and the published statements still need </w:t>
      </w:r>
      <w:r>
        <w:rPr>
          <w:vertAlign w:val="superscript"/>
          <w:color w:val="353A7C"/>
          <w:b/>
          <w:sz w:val="15"/>
        </w:rPr>
        <w:t>19</w:t>
      </w:r>
      <w:r>
        <w:rPr>
          <w:u w:val="single"/>
          <w:sz w:val="20"/>
          <w:szCs w:val="20"/>
        </w:rPr>
        <w:t xml:space="preserve">                         </w:t>
      </w:r>
      <w:r>
        <w:rPr>
          <w:sz w:val="20"/>
          <w:szCs w:val="20"/>
        </w:rPr>
        <w:t xml:space="preserve">.</w:t>
      </w:r>
    </w:p>
    <w:p/>
    <w:p>
      <w:pPr>
        <w:spacing w:before="120" w:after="55"/>
        <w:pBdr>
          <w:top w:val="single" w:sz="10" w:space="6" w:color="353A7C"/>
        </w:pBdr>
      </w:pPr>
      <w:r>
        <w:rPr>
          <w:b/>
          <w:bCs/>
          <w:color w:val="353A7C"/>
          <w:sz w:val="21"/>
          <w:szCs w:val="21"/>
        </w:rPr>
        <w:t xml:space="preserve">Exercise 4 · fill in the table   </w:t>
      </w:r>
      <w:r>
        <w:rPr>
          <w:b/>
          <w:bCs/>
          <w:sz w:val="19"/>
          <w:szCs w:val="19"/>
        </w:rPr>
        <w:t xml:space="preserve">Complete the table. The first row is done; some cells are a word and some a figure.</w:t>
      </w:r>
    </w:p>
    <w:tbl>
      <w:tblPr>
        <w:tblW w:type="pct" w:w="100%"/>
        <w:tblBorders>
          <w:top w:val="single" w:color="DFE3EE" w:sz="4"/>
          <w:left w:val="single" w:color="DFE3EE" w:sz="4"/>
          <w:bottom w:val="single" w:color="DFE3EE" w:sz="4"/>
          <w:right w:val="single" w:color="DFE3EE" w:sz="4"/>
          <w:insideH w:val="single" w:color="DFE3EE" w:sz="4"/>
          <w:insideV w:val="single" w:color="DFE3EE" w:sz="4"/>
        </w:tblBorders>
      </w:tblPr>
      <w:tblGrid>
        <w:gridCol w:w="46"/>
        <w:gridCol w:w="54"/>
      </w:tblGrid>
      <w:tr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Halva cost</w:t>
            </w:r>
          </w:p>
        </w:tc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Category</w:t>
            </w:r>
          </w:p>
        </w:tc>
      </w:tr>
      <w:tr>
        <w:tc>
          <w:tcPr>
            <w:shd w:fill="EFF0FB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sz w:val="17"/>
                <w:szCs w:val="17"/>
              </w:rPr>
              <w:t xml:space="preserve">Sesame and sugar</w:t>
            </w:r>
          </w:p>
        </w:tc>
        <w:tc>
          <w:tcPr>
            <w:shd w:fill="EFF0FB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23265A"/>
                <w:sz w:val="17"/>
                <w:szCs w:val="17"/>
              </w:rPr>
              <w:t xml:space="preserve">Product cost under both methods</w:t>
            </w:r>
          </w:p>
        </w:tc>
      </w:tr>
      <w:tr>
        <w:tc>
          <w:tcPr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sz w:val="17"/>
                <w:szCs w:val="17"/>
              </w:rPr>
              <w:t xml:space="preserve">Depreciation of the halva line</w:t>
            </w:r>
          </w:p>
        </w:tc>
        <w:tc>
          <w:tcPr>
            <w:tcBorders>
              <w:bottom w:val="single" w:sz="6" w:color="8186EF"/>
            </w:tcBorders>
            <w:tcMar>
              <w:top w:type="dxa" w:w="80"/>
              <w:left w:type="dxa" w:w="80"/>
              <w:bottom w:type="dxa" w:w="80"/>
            </w:tcMar>
          </w:tcPr>
          <w:p>
            <w:r>
              <w:rPr>
                <w:b/>
                <w:bCs/>
                <w:color w:val="8186EF"/>
                <w:sz w:val="14"/>
                <w:szCs w:val="14"/>
              </w:rPr>
              <w:t xml:space="preserve">20</w:t>
            </w:r>
          </w:p>
        </w:tc>
      </w:tr>
      <w:tr>
        <w:tc>
          <w:tcPr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sz w:val="17"/>
                <w:szCs w:val="17"/>
              </w:rPr>
              <w:t xml:space="preserve">Variable selling cost</w:t>
            </w:r>
          </w:p>
        </w:tc>
        <w:tc>
          <w:tcPr>
            <w:tcBorders>
              <w:bottom w:val="single" w:sz="6" w:color="8186EF"/>
            </w:tcBorders>
            <w:tcMar>
              <w:top w:type="dxa" w:w="80"/>
              <w:left w:type="dxa" w:w="80"/>
              <w:bottom w:type="dxa" w:w="80"/>
            </w:tcMar>
          </w:tcPr>
          <w:p>
            <w:r>
              <w:rPr>
                <w:b/>
                <w:bCs/>
                <w:color w:val="8186EF"/>
                <w:sz w:val="14"/>
                <w:szCs w:val="14"/>
              </w:rPr>
              <w:t xml:space="preserve">21</w:t>
            </w:r>
          </w:p>
        </w:tc>
      </w:tr>
      <w:tr>
        <w:tc>
          <w:tcPr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sz w:val="17"/>
                <w:szCs w:val="17"/>
              </w:rPr>
              <w:t xml:space="preserve">Variable manufacturing overhead</w:t>
            </w:r>
          </w:p>
        </w:tc>
        <w:tc>
          <w:tcPr>
            <w:tcBorders>
              <w:bottom w:val="single" w:sz="6" w:color="8186EF"/>
            </w:tcBorders>
            <w:tcMar>
              <w:top w:type="dxa" w:w="80"/>
              <w:left w:type="dxa" w:w="80"/>
              <w:bottom w:type="dxa" w:w="80"/>
            </w:tcMar>
          </w:tcPr>
          <w:p>
            <w:r>
              <w:rPr>
                <w:b/>
                <w:bCs/>
                <w:color w:val="8186EF"/>
                <w:sz w:val="14"/>
                <w:szCs w:val="14"/>
              </w:rPr>
              <w:t xml:space="preserve">22</w:t>
            </w:r>
          </w:p>
        </w:tc>
      </w:tr>
      <w:tr>
        <w:tc>
          <w:tcPr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sz w:val="17"/>
                <w:szCs w:val="17"/>
              </w:rPr>
              <w:t xml:space="preserve">Fixed administrative salaries</w:t>
            </w:r>
          </w:p>
        </w:tc>
        <w:tc>
          <w:tcPr>
            <w:tcBorders>
              <w:bottom w:val="single" w:sz="6" w:color="8186EF"/>
            </w:tcBorders>
            <w:tcMar>
              <w:top w:type="dxa" w:w="80"/>
              <w:left w:type="dxa" w:w="80"/>
              <w:bottom w:type="dxa" w:w="80"/>
            </w:tcMar>
          </w:tcPr>
          <w:p>
            <w:r>
              <w:rPr>
                <w:b/>
                <w:bCs/>
                <w:color w:val="8186EF"/>
                <w:sz w:val="14"/>
                <w:szCs w:val="14"/>
              </w:rPr>
              <w:t xml:space="preserve">23</w:t>
            </w:r>
          </w:p>
        </w:tc>
      </w:tr>
      <w:tr>
        <w:tc>
          <w:tcPr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sz w:val="17"/>
                <w:szCs w:val="17"/>
              </w:rPr>
              <w:t xml:space="preserve">Halva line supervisor</w:t>
            </w:r>
          </w:p>
        </w:tc>
        <w:tc>
          <w:tcPr>
            <w:tcBorders>
              <w:bottom w:val="single" w:sz="6" w:color="8186EF"/>
            </w:tcBorders>
            <w:tcMar>
              <w:top w:type="dxa" w:w="80"/>
              <w:left w:type="dxa" w:w="80"/>
              <w:bottom w:type="dxa" w:w="80"/>
            </w:tcMar>
          </w:tcPr>
          <w:p>
            <w:r>
              <w:rPr>
                <w:b/>
                <w:bCs/>
                <w:color w:val="8186EF"/>
                <w:sz w:val="14"/>
                <w:szCs w:val="14"/>
              </w:rPr>
              <w:t xml:space="preserve">24</w:t>
            </w:r>
          </w:p>
        </w:tc>
      </w:tr>
    </w:tbl>
    <w:p/>
    <w:p>
      <w:pPr>
        <w:spacing w:before="150" w:after="60"/>
        <w:ind w:left="130" w:right="130"/>
        <w:shd w:fill="23265A" w:val="clear"/>
      </w:pPr>
      <w:r>
        <w:rPr>
          <w:b/>
          <w:bCs/>
          <w:color w:val="FFFFFF"/>
          <w:sz w:val="15"/>
          <w:szCs w:val="15"/>
        </w:rPr>
        <w:t xml:space="preserve">CHECK   </w:t>
      </w:r>
      <w:r>
        <w:rPr>
          <w:b/>
          <w:bCs/>
          <w:color w:val="FFFFFF"/>
          <w:sz w:val="17"/>
          <w:szCs w:val="17"/>
        </w:rPr>
        <w:t xml:space="preserve">Page 2</w:t>
      </w:r>
      <w:r>
        <w:rPr>
          <w:color w:val="FFFFFF"/>
          <w:sz w:val="15"/>
          <w:szCs w:val="15"/>
        </w:rPr>
        <w:t xml:space="preserve">   ·   items 17 to 24   ·   </w:t>
      </w:r>
      <w:r>
        <w:rPr>
          <w:color w:val="FFFFFF"/>
          <w:sz w:val="15"/>
          <w:szCs w:val="15"/>
        </w:rPr>
        <w:t xml:space="preserve">fewer than 6 right: </w:t>
      </w:r>
      <w:r>
        <w:rPr>
          <w:b/>
          <w:bCs/>
          <w:color w:val="FFFFFF"/>
          <w:sz w:val="15"/>
          <w:szCs w:val="15"/>
        </w:rPr>
        <w:t xml:space="preserve">redo page 2 before page 3</w:t>
      </w:r>
    </w:p>
    <w:p>
      <w:pPr>
        <w:spacing w:after="0"/>
        <w:pageBreakBefore w:val="true"/>
      </w:pPr>
      <w:r>
        <w:rPr>
          <w:sz w:val="2"/>
          <w:szCs w:val="2"/>
        </w:rPr>
        <w:t xml:space="preserve"> </w:t>
      </w:r>
    </w:p>
    <w:p>
      <w:pPr>
        <w:spacing w:before="120" w:after="55"/>
        <w:pBdr>
          <w:top w:val="single" w:sz="10" w:space="6" w:color="353A7C"/>
        </w:pBdr>
      </w:pPr>
      <w:r>
        <w:rPr>
          <w:b/>
          <w:bCs/>
          <w:color w:val="353A7C"/>
          <w:sz w:val="21"/>
          <w:szCs w:val="21"/>
        </w:rPr>
        <w:t xml:space="preserve">Exercise 5 · multiple choice   </w:t>
      </w:r>
      <w:r>
        <w:rPr>
          <w:b/>
          <w:bCs/>
          <w:sz w:val="19"/>
          <w:szCs w:val="19"/>
        </w:rPr>
        <w:t xml:space="preserve">Ring one letter for each question.</w:t>
      </w:r>
    </w:p>
    <w:p>
      <w:pPr>
        <w:spacing w:before="55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25.  </w:t>
      </w:r>
      <w:r>
        <w:rPr>
          <w:sz w:val="19"/>
          <w:szCs w:val="19"/>
        </w:rPr>
        <w:t xml:space="preserve">Inventory rises by 5,000 units. Fixed manufacturing overhead is $3 per unit in both years. By how much does absorption income exceed variable costing income?</w:t>
      </w:r>
    </w:p>
    <w:tbl>
      <w:tblPr>
        <w:tblW w:type="pct" w:w="100%"/>
        <w:tblInd w:type="dxa" w:w="300"/>
      </w:tblPr>
      <w:tblGrid>
        <w:gridCol w:w="50"/>
        <w:gridCol w:w="50"/>
      </w:tblGrid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(A) </w:t>
            </w:r>
            <w:r>
              <w:rPr>
                <w:sz w:val="18"/>
                <w:szCs w:val="18"/>
              </w:rPr>
              <w:t xml:space="preserve">$5,000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(B) </w:t>
            </w:r>
            <w:r>
              <w:rPr>
                <w:sz w:val="18"/>
                <w:szCs w:val="18"/>
              </w:rPr>
              <w:t xml:space="preserve">$3,000</w:t>
            </w:r>
          </w:p>
        </w:tc>
      </w:tr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(C) </w:t>
            </w:r>
            <w:r>
              <w:rPr>
                <w:sz w:val="18"/>
                <w:szCs w:val="18"/>
              </w:rPr>
              <w:t xml:space="preserve">−$15,000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(D) </w:t>
            </w:r>
            <w:r>
              <w:rPr>
                <w:sz w:val="18"/>
                <w:szCs w:val="18"/>
              </w:rPr>
              <w:t xml:space="preserve">$15,000</w:t>
            </w:r>
          </w:p>
        </w:tc>
      </w:tr>
    </w:tbl>
    <w:p>
      <w:pPr>
        <w:spacing w:before="55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26.  </w:t>
      </w:r>
      <w:r>
        <w:rPr>
          <w:sz w:val="19"/>
          <w:szCs w:val="19"/>
        </w:rPr>
        <w:t xml:space="preserve">Which denominator gives the highest full cost per unit?</w:t>
      </w:r>
    </w:p>
    <w:tbl>
      <w:tblPr>
        <w:tblW w:type="pct" w:w="100%"/>
        <w:tblInd w:type="dxa" w:w="300"/>
      </w:tblPr>
      <w:tblGrid>
        <w:gridCol w:w="50"/>
        <w:gridCol w:w="50"/>
      </w:tblGrid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(A) </w:t>
            </w:r>
            <w:r>
              <w:rPr>
                <w:sz w:val="18"/>
                <w:szCs w:val="18"/>
              </w:rPr>
              <w:t xml:space="preserve">Theoretical capacity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(B) </w:t>
            </w:r>
            <w:r>
              <w:rPr>
                <w:sz w:val="18"/>
                <w:szCs w:val="18"/>
              </w:rPr>
              <w:t xml:space="preserve">Practical capacity</w:t>
            </w:r>
          </w:p>
        </w:tc>
      </w:tr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(C) </w:t>
            </w:r>
            <w:r>
              <w:rPr>
                <w:sz w:val="18"/>
                <w:szCs w:val="18"/>
              </w:rPr>
              <w:t xml:space="preserve">All give the same cost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(D) </w:t>
            </w:r>
            <w:r>
              <w:rPr>
                <w:sz w:val="18"/>
                <w:szCs w:val="18"/>
              </w:rPr>
              <w:t xml:space="preserve">Master-budget capacity, the smallest level</w:t>
            </w:r>
          </w:p>
        </w:tc>
      </w:tr>
    </w:tbl>
    <w:p>
      <w:pPr>
        <w:spacing w:before="55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27.  </w:t>
      </w:r>
      <w:r>
        <w:rPr>
          <w:sz w:val="19"/>
          <w:szCs w:val="19"/>
        </w:rPr>
        <w:t xml:space="preserve">For its published statements under U.S. GAAP, Orontes applies fixed overhead on:</w:t>
      </w:r>
    </w:p>
    <w:tbl>
      <w:tblPr>
        <w:tblW w:type="pct" w:w="100%"/>
        <w:tblInd w:type="dxa" w:w="300"/>
      </w:tblPr>
      <w:tblGrid>
        <w:gridCol w:w="50"/>
        <w:gridCol w:w="50"/>
      </w:tblGrid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(A) </w:t>
            </w:r>
            <w:r>
              <w:rPr>
                <w:sz w:val="18"/>
                <w:szCs w:val="18"/>
              </w:rPr>
              <w:t xml:space="preserve">normal capacity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(B) </w:t>
            </w:r>
            <w:r>
              <w:rPr>
                <w:sz w:val="18"/>
                <w:szCs w:val="18"/>
              </w:rPr>
              <w:t xml:space="preserve">theoretical capacity</w:t>
            </w:r>
          </w:p>
        </w:tc>
      </w:tr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(C) </w:t>
            </w:r>
            <w:r>
              <w:rPr>
                <w:sz w:val="18"/>
                <w:szCs w:val="18"/>
              </w:rPr>
              <w:t xml:space="preserve">the actual units sold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(D) </w:t>
            </w:r>
            <w:r>
              <w:rPr>
                <w:sz w:val="18"/>
                <w:szCs w:val="18"/>
              </w:rPr>
              <w:t xml:space="preserve">zero capacity</w:t>
            </w:r>
          </w:p>
        </w:tc>
      </w:tr>
    </w:tbl>
    <w:p>
      <w:pPr>
        <w:spacing w:before="55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28.  </w:t>
      </w:r>
      <w:r>
        <w:rPr>
          <w:sz w:val="19"/>
          <w:szCs w:val="19"/>
        </w:rPr>
        <w:t xml:space="preserve">A main benefit of practical capacity as a denominator is that it:</w:t>
      </w:r>
    </w:p>
    <w:tbl>
      <w:tblPr>
        <w:tblW w:type="pct" w:w="100%"/>
        <w:tblInd w:type="dxa" w:w="300"/>
      </w:tblPr>
      <w:tblGrid>
        <w:gridCol w:w="50"/>
        <w:gridCol w:w="50"/>
      </w:tblGrid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(A) </w:t>
            </w:r>
            <w:r>
              <w:rPr>
                <w:sz w:val="18"/>
                <w:szCs w:val="18"/>
              </w:rPr>
              <w:t xml:space="preserve">always raises product cost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(B) </w:t>
            </w:r>
            <w:r>
              <w:rPr>
                <w:sz w:val="18"/>
                <w:szCs w:val="18"/>
              </w:rPr>
              <w:t xml:space="preserve">shows the cost of unused capacity separately</w:t>
            </w:r>
          </w:p>
        </w:tc>
      </w:tr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(C) </w:t>
            </w:r>
            <w:r>
              <w:rPr>
                <w:sz w:val="18"/>
                <w:szCs w:val="18"/>
              </w:rPr>
              <w:t xml:space="preserve">is required by U.S. GAAP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(D) </w:t>
            </w:r>
            <w:r>
              <w:rPr>
                <w:sz w:val="18"/>
                <w:szCs w:val="18"/>
              </w:rPr>
              <w:t xml:space="preserve">removes all fixed overhead</w:t>
            </w:r>
          </w:p>
        </w:tc>
      </w:tr>
    </w:tbl>
    <w:p>
      <w:pPr>
        <w:spacing w:before="55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29.  </w:t>
      </w:r>
      <w:r>
        <w:rPr>
          <w:sz w:val="19"/>
          <w:szCs w:val="19"/>
        </w:rPr>
        <w:t xml:space="preserve">Beverages' practical capacity is 1,000,000 cases and it produced 850,000. Fixed overhead is $1.80 per case at practical capacity. What is the cost of unused capacity?</w:t>
      </w:r>
    </w:p>
    <w:tbl>
      <w:tblPr>
        <w:tblW w:type="pct" w:w="100%"/>
        <w:tblInd w:type="dxa" w:w="300"/>
      </w:tblPr>
      <w:tblGrid>
        <w:gridCol w:w="50"/>
        <w:gridCol w:w="50"/>
      </w:tblGrid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(A) </w:t>
            </w:r>
            <w:r>
              <w:rPr>
                <w:sz w:val="18"/>
                <w:szCs w:val="18"/>
              </w:rPr>
              <w:t xml:space="preserve">$100,000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(B) </w:t>
            </w:r>
            <w:r>
              <w:rPr>
                <w:sz w:val="18"/>
                <w:szCs w:val="18"/>
              </w:rPr>
              <w:t xml:space="preserve">$270,000</w:t>
            </w:r>
          </w:p>
        </w:tc>
      </w:tr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(C) </w:t>
            </w:r>
            <w:r>
              <w:rPr>
                <w:sz w:val="18"/>
                <w:szCs w:val="18"/>
              </w:rPr>
              <w:t xml:space="preserve">$300,000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(D) </w:t>
            </w:r>
            <w:r>
              <w:rPr>
                <w:sz w:val="18"/>
                <w:szCs w:val="18"/>
              </w:rPr>
              <w:t xml:space="preserve">$1,800,000</w:t>
            </w:r>
          </w:p>
        </w:tc>
      </w:tr>
    </w:tbl>
    <w:p>
      <w:pPr>
        <w:spacing w:before="55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30.  </w:t>
      </w:r>
      <w:r>
        <w:rPr>
          <w:sz w:val="19"/>
          <w:szCs w:val="19"/>
        </w:rPr>
        <w:t xml:space="preserve">Use the Extended Example. What is ending finished goods under variable costing (whole USD)?</w:t>
      </w:r>
    </w:p>
    <w:tbl>
      <w:tblPr>
        <w:tblW w:type="pct" w:w="100%"/>
        <w:tblInd w:type="dxa" w:w="300"/>
      </w:tblPr>
      <w:tblGrid>
        <w:gridCol w:w="50"/>
        <w:gridCol w:w="50"/>
      </w:tblGrid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(A) </w:t>
            </w:r>
            <w:r>
              <w:rPr>
                <w:sz w:val="18"/>
                <w:szCs w:val="18"/>
              </w:rPr>
              <w:t xml:space="preserve">120,000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(B) </w:t>
            </w:r>
            <w:r>
              <w:rPr>
                <w:sz w:val="18"/>
                <w:szCs w:val="18"/>
              </w:rPr>
              <w:t xml:space="preserve">636,000</w:t>
            </w:r>
          </w:p>
        </w:tc>
      </w:tr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(C) </w:t>
            </w:r>
            <w:r>
              <w:rPr>
                <w:sz w:val="18"/>
                <w:szCs w:val="18"/>
              </w:rPr>
              <w:t xml:space="preserve">708,000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(D) </w:t>
            </w:r>
            <w:r>
              <w:rPr>
                <w:sz w:val="18"/>
                <w:szCs w:val="18"/>
              </w:rPr>
              <w:t xml:space="preserve">756,000</w:t>
            </w:r>
          </w:p>
        </w:tc>
      </w:tr>
    </w:tbl>
    <w:p/>
    <w:p>
      <w:pPr>
        <w:spacing w:before="120" w:after="55"/>
        <w:pBdr>
          <w:top w:val="single" w:sz="10" w:space="6" w:color="353A7C"/>
        </w:pBdr>
      </w:pPr>
      <w:r>
        <w:rPr>
          <w:b/>
          <w:bCs/>
          <w:color w:val="353A7C"/>
          <w:sz w:val="21"/>
          <w:szCs w:val="21"/>
        </w:rPr>
        <w:t xml:space="preserve">Exercise 6 · true or false   </w:t>
      </w:r>
      <w:r>
        <w:rPr>
          <w:b/>
          <w:bCs/>
          <w:sz w:val="19"/>
          <w:szCs w:val="19"/>
        </w:rPr>
        <w:t xml:space="preserve">Ring T or F for each statement.</w:t>
      </w:r>
    </w:p>
    <w:tbl>
      <w:tblPr>
        <w:tblW w:type="pct" w:w="100%"/>
        <w:tblBorders>
          <w:top w:val="single" w:color="DFE3EE" w:sz="4"/>
          <w:left w:val="single" w:color="DFE3EE" w:sz="4"/>
          <w:bottom w:val="single" w:color="DFE3EE" w:sz="4"/>
          <w:right w:val="single" w:color="DFE3EE" w:sz="4"/>
          <w:insideH w:val="single" w:color="DFE3EE" w:sz="4"/>
          <w:insideV w:val="single" w:color="DFE3EE" w:sz="4"/>
        </w:tblBorders>
      </w:tblPr>
      <w:tblGrid>
        <w:gridCol w:w="82"/>
        <w:gridCol w:w="18"/>
      </w:tblGrid>
      <w:tr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Statement</w:t>
            </w:r>
          </w:p>
        </w:tc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True or false?</w:t>
            </w:r>
          </w:p>
        </w:tc>
      </w:tr>
      <w:tr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31.  </w:t>
            </w:r>
            <w:r>
              <w:rPr>
                <w:sz w:val="18"/>
                <w:szCs w:val="18"/>
              </w:rPr>
              <w:t xml:space="preserve">The smallest denominator spreads fixed overhead over the fewest units.</w:t>
            </w:r>
          </w:p>
        </w:tc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pPr>
              <w:jc w:val="center"/>
            </w:pPr>
            <w:r>
              <w:rPr>
                <w:b/>
                <w:bCs/>
                <w:color w:val="6B7280"/>
                <w:sz w:val="18"/>
                <w:szCs w:val="18"/>
              </w:rPr>
              <w:t xml:space="preserve">T        F</w:t>
            </w:r>
          </w:p>
        </w:tc>
      </w:tr>
      <w:tr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32.  </w:t>
            </w:r>
            <w:r>
              <w:rPr>
                <w:sz w:val="18"/>
                <w:szCs w:val="18"/>
              </w:rPr>
              <w:t xml:space="preserve">Variable costs first, then contribution margin, then fixed costs.</w:t>
            </w:r>
          </w:p>
        </w:tc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pPr>
              <w:jc w:val="center"/>
            </w:pPr>
            <w:r>
              <w:rPr>
                <w:b/>
                <w:bCs/>
                <w:color w:val="6B7280"/>
                <w:sz w:val="18"/>
                <w:szCs w:val="18"/>
              </w:rPr>
              <w:t xml:space="preserve">T        F</w:t>
            </w:r>
          </w:p>
        </w:tc>
      </w:tr>
      <w:tr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33.  </w:t>
            </w:r>
            <w:r>
              <w:rPr>
                <w:sz w:val="18"/>
                <w:szCs w:val="18"/>
              </w:rPr>
              <w:t xml:space="preserve">Switch to variable costing in the published statements</w:t>
            </w:r>
          </w:p>
        </w:tc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pPr>
              <w:jc w:val="center"/>
            </w:pPr>
            <w:r>
              <w:rPr>
                <w:b/>
                <w:bCs/>
                <w:color w:val="6B7280"/>
                <w:sz w:val="18"/>
                <w:szCs w:val="18"/>
              </w:rPr>
              <w:t xml:space="preserve">T        F</w:t>
            </w:r>
          </w:p>
        </w:tc>
      </w:tr>
      <w:tr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34.  </w:t>
            </w:r>
            <w:r>
              <w:rPr>
                <w:sz w:val="18"/>
                <w:szCs w:val="18"/>
              </w:rPr>
              <w:t xml:space="preserve">sales minus cost of goods sold</w:t>
            </w:r>
          </w:p>
        </w:tc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pPr>
              <w:jc w:val="center"/>
            </w:pPr>
            <w:r>
              <w:rPr>
                <w:b/>
                <w:bCs/>
                <w:color w:val="6B7280"/>
                <w:sz w:val="18"/>
                <w:szCs w:val="18"/>
              </w:rPr>
              <w:t xml:space="preserve">T        F</w:t>
            </w:r>
          </w:p>
        </w:tc>
      </w:tr>
      <w:tr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35.  </w:t>
            </w:r>
            <w:r>
              <w:rPr>
                <w:sz w:val="18"/>
                <w:szCs w:val="18"/>
              </w:rPr>
              <w:t xml:space="preserve">Lower unit cost and lower prices</w:t>
            </w:r>
          </w:p>
        </w:tc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pPr>
              <w:jc w:val="center"/>
            </w:pPr>
            <w:r>
              <w:rPr>
                <w:b/>
                <w:bCs/>
                <w:color w:val="6B7280"/>
                <w:sz w:val="18"/>
                <w:szCs w:val="18"/>
              </w:rPr>
              <w:t xml:space="preserve">T        F</w:t>
            </w:r>
          </w:p>
        </w:tc>
      </w:tr>
      <w:tr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36.  </w:t>
            </w:r>
            <w:r>
              <w:rPr>
                <w:sz w:val="18"/>
                <w:szCs w:val="18"/>
              </w:rPr>
              <w:t xml:space="preserve">Some fixed overhead is deferred in ending inventory.</w:t>
            </w:r>
          </w:p>
        </w:tc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pPr>
              <w:jc w:val="center"/>
            </w:pPr>
            <w:r>
              <w:rPr>
                <w:b/>
                <w:bCs/>
                <w:color w:val="6B7280"/>
                <w:sz w:val="18"/>
                <w:szCs w:val="18"/>
              </w:rPr>
              <w:t xml:space="preserve">T        F</w:t>
            </w:r>
          </w:p>
        </w:tc>
      </w:tr>
      <w:tr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37.  </w:t>
            </w:r>
            <w:r>
              <w:rPr>
                <w:sz w:val="18"/>
                <w:szCs w:val="18"/>
              </w:rPr>
              <w:t xml:space="preserve">Change in units × fixed rate.</w:t>
            </w:r>
          </w:p>
        </w:tc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pPr>
              <w:jc w:val="center"/>
            </w:pPr>
            <w:r>
              <w:rPr>
                <w:b/>
                <w:bCs/>
                <w:color w:val="6B7280"/>
                <w:sz w:val="18"/>
                <w:szCs w:val="18"/>
              </w:rPr>
              <w:t xml:space="preserve">T        F</w:t>
            </w:r>
          </w:p>
        </w:tc>
      </w:tr>
    </w:tbl>
    <w:p/>
    <w:p>
      <w:pPr>
        <w:spacing w:before="150" w:after="60"/>
        <w:ind w:left="130" w:right="130"/>
        <w:shd w:fill="23265A" w:val="clear"/>
      </w:pPr>
      <w:r>
        <w:rPr>
          <w:b/>
          <w:bCs/>
          <w:color w:val="FFFFFF"/>
          <w:sz w:val="15"/>
          <w:szCs w:val="15"/>
        </w:rPr>
        <w:t xml:space="preserve">CHECK   </w:t>
      </w:r>
      <w:r>
        <w:rPr>
          <w:b/>
          <w:bCs/>
          <w:color w:val="FFFFFF"/>
          <w:sz w:val="17"/>
          <w:szCs w:val="17"/>
        </w:rPr>
        <w:t xml:space="preserve">Page 3</w:t>
      </w:r>
      <w:r>
        <w:rPr>
          <w:color w:val="FFFFFF"/>
          <w:sz w:val="15"/>
          <w:szCs w:val="15"/>
        </w:rPr>
        <w:t xml:space="preserve">   ·   items 25 to 37   ·   </w:t>
      </w:r>
      <w:r>
        <w:rPr>
          <w:color w:val="FFFFFF"/>
          <w:sz w:val="15"/>
          <w:szCs w:val="15"/>
        </w:rPr>
        <w:t xml:space="preserve">fewer than 9 right: </w:t>
      </w:r>
      <w:r>
        <w:rPr>
          <w:b/>
          <w:bCs/>
          <w:color w:val="FFFFFF"/>
          <w:sz w:val="15"/>
          <w:szCs w:val="15"/>
        </w:rPr>
        <w:t xml:space="preserve">redo page 3 before you leave the handout</w:t>
      </w:r>
    </w:p>
    <w:p>
      <w:pPr>
        <w:sectPr>
          <w:headerReference w:type="default" r:id="rIdHdr2"/>
          <w:pgSz w:w="11906" w:h="16838" w:orient="portrait"/>
          <w:pgMar w:top="1180" w:right="1000" w:bottom="900" w:left="1000" w:header="708" w:footer="708" w:gutter="0"/>
          <w:docGrid w:linePitch="360"/>
          <w:pgNumType w:start="1"/>
        </w:sectPr>
      </w:pPr>
    </w:p>
    <w:p>
      <w:pPr>
        <w:spacing w:after="20" w:before="60"/>
      </w:pPr>
      <w:r>
        <w:rPr>
          <w:b/>
          <w:bCs/>
          <w:color w:val="353A7C"/>
          <w:sz w:val="40"/>
          <w:szCs w:val="40"/>
        </w:rPr>
        <w:t xml:space="preserve">Handout 9.3 · Variable and Absorption Costing; Capacity: worked example</w:t>
      </w:r>
    </w:p>
    <w:p>
      <w:pPr>
        <w:spacing w:after="130"/>
      </w:pPr>
      <w:r>
        <w:rPr>
          <w:color w:val="6B7280"/>
          <w:sz w:val="20"/>
          <w:szCs w:val="20"/>
        </w:rPr>
        <w:t xml:space="preserve">CMA Part 1 · Book 2 · Cost Management · Chapter 9 · from section section 9.7 of the book · 4 pages, answer key on a separate sheet</w:t>
      </w:r>
    </w:p>
    <w:p>
      <w:pPr>
        <w:spacing w:before="120" w:after="55"/>
        <w:pBdr>
          <w:top w:val="single" w:sz="10" w:space="6" w:color="353A7C"/>
        </w:pBdr>
      </w:pPr>
      <w:r>
        <w:rPr>
          <w:b/>
          <w:bCs/>
          <w:color w:val="353A7C"/>
          <w:sz w:val="21"/>
          <w:szCs w:val="21"/>
        </w:rPr>
        <w:t xml:space="preserve">Exercise 1 · matching   </w:t>
      </w:r>
      <w:r>
        <w:rPr>
          <w:b/>
          <w:bCs/>
          <w:sz w:val="19"/>
          <w:szCs w:val="19"/>
        </w:rPr>
        <w:t xml:space="preserve">Write the letter of the Arabic term beside each English one.</w:t>
      </w:r>
    </w:p>
    <w:tbl>
      <w:tblPr>
        <w:tblW w:type="pct" w:w="100%"/>
        <w:tblBorders>
          <w:top w:val="single" w:color="DFE3EE" w:sz="4"/>
          <w:left w:val="single" w:color="DFE3EE" w:sz="4"/>
          <w:bottom w:val="single" w:color="DFE3EE" w:sz="4"/>
          <w:right w:val="single" w:color="DFE3EE" w:sz="4"/>
          <w:insideH w:val="single" w:color="DFE3EE" w:sz="4"/>
          <w:insideV w:val="single" w:color="DFE3EE" w:sz="4"/>
        </w:tblBorders>
      </w:tblPr>
      <w:tblGrid>
        <w:gridCol w:w="4"/>
        <w:gridCol w:w="40"/>
        <w:gridCol w:w="7"/>
        <w:gridCol w:w="4"/>
        <w:gridCol w:w="45"/>
      </w:tblGrid>
      <w:tr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/>
            </w:r>
          </w:p>
        </w:tc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English (exam term)</w:t>
            </w:r>
          </w:p>
        </w:tc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/>
            </w:r>
          </w:p>
        </w:tc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/>
            </w:r>
          </w:p>
        </w:tc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العربية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1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absorption costing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A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التكاليف المتغيرة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2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variable costing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B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الطاقة غير المستغلة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3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contribution margin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C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دوامة الطلب الهابطة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4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contribution margin ratio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D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انحراف حجم الإنتاج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5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production-volume variance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E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التكاليف الكلية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6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practical capacity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F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الطاقة العادية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7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unused capacity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G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نسبة هامش المساهمة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8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downward demand spiral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H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هامش المساهمة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9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normal capacity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I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الطاقة العملية</w:t>
            </w:r>
          </w:p>
        </w:tc>
      </w:tr>
    </w:tbl>
    <w:p/>
    <w:p>
      <w:pPr>
        <w:spacing w:before="120" w:after="55"/>
        <w:pBdr>
          <w:top w:val="single" w:sz="10" w:space="6" w:color="353A7C"/>
        </w:pBdr>
      </w:pPr>
      <w:r>
        <w:rPr>
          <w:b/>
          <w:bCs/>
          <w:color w:val="353A7C"/>
          <w:sz w:val="21"/>
          <w:szCs w:val="21"/>
        </w:rPr>
        <w:t xml:space="preserve">Exercise 2 · fill in the spaces   </w:t>
      </w:r>
      <w:r>
        <w:rPr>
          <w:b/>
          <w:bCs/>
          <w:sz w:val="19"/>
          <w:szCs w:val="19"/>
        </w:rPr>
        <w:t xml:space="preserve">Write the missing term in each numbered space. Every sentence is from section 9.7 of the book.</w:t>
      </w:r>
    </w:p>
    <w:tbl>
      <w:tblPr>
        <w:tblW w:type="pct" w:w="100%"/>
        <w:tblBorders>
          <w:top w:val="single" w:color="8186EF" w:sz="4"/>
          <w:left w:val="single" w:color="8186EF" w:sz="4"/>
          <w:bottom w:val="single" w:color="8186EF" w:sz="4"/>
          <w:right w:val="single" w:color="8186EF" w:sz="4"/>
          <w:insideH w:val="single" w:color="8186EF" w:sz="4"/>
          <w:insideV w:val="single" w:color="8186EF" w:sz="4"/>
        </w:tblBorders>
      </w:tblPr>
      <w:tblGrid>
        <w:gridCol w:w="100"/>
      </w:tblGrid>
      <w:tr>
        <w:tc>
          <w:tcPr>
            <w:shd w:fill="FBFAF6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/>
            </w:pPr>
            <w:r>
              <w:rPr>
                <w:b/>
                <w:bCs/>
                <w:color w:val="23265A"/>
                <w:sz w:val="15"/>
                <w:szCs w:val="15"/>
              </w:rPr>
              <w:t xml:space="preserve">WORD BANK</w:t>
            </w:r>
          </w:p>
          <w:p>
            <w:pPr>
              <w:spacing w:after="50" w:line="280" w:lineRule="auto"/>
            </w:pPr>
            <w:r>
              <w:rPr>
                <w:b/>
                <w:bCs/>
                <w:sz w:val="20"/>
                <w:szCs w:val="20"/>
              </w:rPr>
              <w:t xml:space="preserve">absorption costing</w:t>
            </w:r>
            <w:r>
              <w:rPr>
                <w:b/>
                <w:bCs/>
                <w:color w:val="8186EF"/>
                <w:sz w:val="20"/>
                <w:szCs w:val="20"/>
              </w:rPr>
              <w:t xml:space="preserve">   ·   </w:t>
            </w:r>
            <w:r>
              <w:rPr>
                <w:b/>
                <w:bCs/>
                <w:sz w:val="20"/>
                <w:szCs w:val="20"/>
              </w:rPr>
              <w:t xml:space="preserve">contribution margin</w:t>
            </w:r>
            <w:r>
              <w:rPr>
                <w:b/>
                <w:bCs/>
                <w:color w:val="8186EF"/>
                <w:sz w:val="20"/>
                <w:szCs w:val="20"/>
              </w:rPr>
              <w:t xml:space="preserve">   ·   </w:t>
            </w:r>
            <w:r>
              <w:rPr>
                <w:b/>
                <w:bCs/>
                <w:sz w:val="20"/>
                <w:szCs w:val="20"/>
              </w:rPr>
              <w:t xml:space="preserve">normal capacity</w:t>
            </w:r>
            <w:r>
              <w:rPr>
                <w:b/>
                <w:bCs/>
                <w:color w:val="8186EF"/>
                <w:sz w:val="20"/>
                <w:szCs w:val="20"/>
              </w:rPr>
              <w:t xml:space="preserve">   ·   </w:t>
            </w:r>
            <w:r>
              <w:rPr>
                <w:b/>
                <w:bCs/>
                <w:sz w:val="20"/>
                <w:szCs w:val="20"/>
              </w:rPr>
              <w:t xml:space="preserve">practical capacity</w:t>
            </w:r>
            <w:r>
              <w:rPr>
                <w:b/>
                <w:bCs/>
                <w:color w:val="8186EF"/>
                <w:sz w:val="20"/>
                <w:szCs w:val="20"/>
              </w:rPr>
              <w:t xml:space="preserve">   ·   </w:t>
            </w:r>
            <w:r>
              <w:rPr>
                <w:b/>
                <w:bCs/>
                <w:sz w:val="20"/>
                <w:szCs w:val="20"/>
              </w:rPr>
              <w:t xml:space="preserve">production-volume variance</w:t>
            </w:r>
            <w:r>
              <w:rPr>
                <w:b/>
                <w:bCs/>
                <w:color w:val="8186EF"/>
                <w:sz w:val="20"/>
                <w:szCs w:val="20"/>
              </w:rPr>
              <w:t xml:space="preserve">   ·   </w:t>
            </w:r>
            <w:r>
              <w:rPr>
                <w:b/>
                <w:bCs/>
                <w:sz w:val="20"/>
                <w:szCs w:val="20"/>
              </w:rPr>
              <w:t xml:space="preserve">unused capacity</w:t>
            </w:r>
            <w:r>
              <w:rPr>
                <w:b/>
                <w:bCs/>
                <w:color w:val="8186EF"/>
                <w:sz w:val="20"/>
                <w:szCs w:val="20"/>
              </w:rPr>
              <w:t xml:space="preserve">   ·   </w:t>
            </w:r>
            <w:r>
              <w:rPr>
                <w:b/>
                <w:bCs/>
                <w:sz w:val="20"/>
                <w:szCs w:val="20"/>
              </w:rPr>
              <w:t xml:space="preserve">variable costing</w:t>
            </w:r>
          </w:p>
          <w:p>
            <w:r>
              <w:rPr>
                <w:color w:val="6B7280"/>
                <w:sz w:val="17"/>
                <w:szCs w:val="17"/>
              </w:rPr>
              <w:t xml:space="preserve">Not every word is used.</w:t>
            </w:r>
          </w:p>
        </w:tc>
      </w:tr>
    </w:tbl>
    <w:p/>
    <w:p>
      <w:pPr>
        <w:spacing w:before="20" w:after="70" w:line="272" w:lineRule="auto"/>
      </w:pPr>
      <w:r>
        <w:rPr>
          <w:sz w:val="20"/>
          <w:szCs w:val="20"/>
        </w:rPr>
        <w:t xml:space="preserve">Costs per case: variable manufacturing $10.60; fixed overhead $2.00 at </w:t>
      </w:r>
      <w:r>
        <w:rPr>
          <w:vertAlign w:val="superscript"/>
          <w:color w:val="353A7C"/>
          <w:b/>
          <w:sz w:val="15"/>
        </w:rPr>
        <w:t>10</w:t>
      </w:r>
      <w:r>
        <w:rPr>
          <w:u w:val="single"/>
          <w:sz w:val="20"/>
          <w:szCs w:val="20"/>
        </w:rPr>
        <w:t xml:space="preserve">                         </w:t>
      </w:r>
      <w:r>
        <w:rPr>
          <w:sz w:val="20"/>
          <w:szCs w:val="20"/>
        </w:rPr>
        <w:t xml:space="preserve">; variable selling $1.20; price $20.00.</w:t>
      </w:r>
    </w:p>
    <w:p>
      <w:pPr>
        <w:spacing w:before="20" w:after="70" w:line="272" w:lineRule="auto"/>
      </w:pPr>
      <w:r>
        <w:rPr>
          <w:sz w:val="20"/>
          <w:szCs w:val="20"/>
        </w:rPr>
        <w:t xml:space="preserve">Calculations Absorption: fixed overhead applied 850,000 × $2.00 = $1,700,000; </w:t>
      </w:r>
      <w:r>
        <w:rPr>
          <w:vertAlign w:val="superscript"/>
          <w:color w:val="353A7C"/>
          <w:b/>
          <w:sz w:val="15"/>
        </w:rPr>
        <w:t>11</w:t>
      </w:r>
      <w:r>
        <w:rPr>
          <w:u w:val="single"/>
          <w:sz w:val="20"/>
          <w:szCs w:val="20"/>
        </w:rPr>
        <w:t xml:space="preserve">                                          </w:t>
      </w:r>
      <w:r>
        <w:rPr>
          <w:sz w:val="20"/>
          <w:szCs w:val="20"/>
        </w:rPr>
        <w:t xml:space="preserve"> $100,000; operating income $2,946,000.</w:t>
      </w:r>
    </w:p>
    <w:p>
      <w:pPr>
        <w:spacing w:before="20" w:after="70" w:line="272" w:lineRule="auto"/>
      </w:pPr>
      <w:r>
        <w:rPr>
          <w:sz w:val="20"/>
          <w:szCs w:val="20"/>
        </w:rPr>
        <w:t xml:space="preserve">Variable costing: </w:t>
      </w:r>
      <w:r>
        <w:rPr>
          <w:vertAlign w:val="superscript"/>
          <w:color w:val="353A7C"/>
          <w:b/>
          <w:sz w:val="15"/>
        </w:rPr>
        <w:t>12</w:t>
      </w:r>
      <w:r>
        <w:rPr>
          <w:u w:val="single"/>
          <w:sz w:val="20"/>
          <w:szCs w:val="20"/>
        </w:rPr>
        <w:t xml:space="preserve">                               </w:t>
      </w:r>
      <w:r>
        <w:rPr>
          <w:sz w:val="20"/>
          <w:szCs w:val="20"/>
        </w:rPr>
        <w:t xml:space="preserve"> $6,806,000 − fixed costs $3,900,000 = $2,906,000.</w:t>
      </w:r>
    </w:p>
    <w:p>
      <w:pPr>
        <w:spacing w:before="20" w:after="70" w:line="272" w:lineRule="auto"/>
      </w:pPr>
      <w:r>
        <w:rPr>
          <w:sz w:val="20"/>
          <w:szCs w:val="20"/>
        </w:rPr>
        <w:t xml:space="preserve">Extended Example: </w:t>
      </w:r>
      <w:r>
        <w:rPr>
          <w:vertAlign w:val="superscript"/>
          <w:color w:val="353A7C"/>
          <w:b/>
          <w:sz w:val="15"/>
        </w:rPr>
        <w:t>13</w:t>
      </w:r>
      <w:r>
        <w:rPr>
          <w:u w:val="single"/>
          <w:sz w:val="20"/>
          <w:szCs w:val="20"/>
        </w:rPr>
        <w:t xml:space="preserve">                              </w:t>
      </w:r>
      <w:r>
        <w:rPr>
          <w:sz w:val="20"/>
          <w:szCs w:val="20"/>
        </w:rPr>
        <w:t xml:space="preserve"> journal, 2027 No.</w:t>
      </w:r>
    </w:p>
    <w:p/>
    <w:p>
      <w:pPr>
        <w:spacing w:before="150" w:after="60"/>
        <w:ind w:left="130" w:right="130"/>
        <w:shd w:fill="23265A" w:val="clear"/>
      </w:pPr>
      <w:r>
        <w:rPr>
          <w:b/>
          <w:bCs/>
          <w:color w:val="FFFFFF"/>
          <w:sz w:val="15"/>
          <w:szCs w:val="15"/>
        </w:rPr>
        <w:t xml:space="preserve">CHECK   </w:t>
      </w:r>
      <w:r>
        <w:rPr>
          <w:b/>
          <w:bCs/>
          <w:color w:val="FFFFFF"/>
          <w:sz w:val="17"/>
          <w:szCs w:val="17"/>
        </w:rPr>
        <w:t xml:space="preserve">Page 1</w:t>
      </w:r>
      <w:r>
        <w:rPr>
          <w:color w:val="FFFFFF"/>
          <w:sz w:val="15"/>
          <w:szCs w:val="15"/>
        </w:rPr>
        <w:t xml:space="preserve">   ·   items 1 to 13   ·   </w:t>
      </w:r>
      <w:r>
        <w:rPr>
          <w:color w:val="FFFFFF"/>
          <w:sz w:val="15"/>
          <w:szCs w:val="15"/>
        </w:rPr>
        <w:t xml:space="preserve">fewer than 9 right: </w:t>
      </w:r>
      <w:r>
        <w:rPr>
          <w:b/>
          <w:bCs/>
          <w:color w:val="FFFFFF"/>
          <w:sz w:val="15"/>
          <w:szCs w:val="15"/>
        </w:rPr>
        <w:t xml:space="preserve">read section 9.1 again before page 2</w:t>
      </w:r>
    </w:p>
    <w:p>
      <w:pPr>
        <w:spacing w:after="0"/>
        <w:pageBreakBefore w:val="true"/>
      </w:pPr>
      <w:r>
        <w:rPr>
          <w:sz w:val="2"/>
          <w:szCs w:val="2"/>
        </w:rPr>
        <w:t xml:space="preserve"> </w:t>
      </w:r>
    </w:p>
    <w:p>
      <w:pPr>
        <w:spacing w:before="120" w:after="55"/>
        <w:pBdr>
          <w:top w:val="single" w:sz="10" w:space="6" w:color="353A7C"/>
        </w:pBdr>
      </w:pPr>
      <w:r>
        <w:rPr>
          <w:b/>
          <w:bCs/>
          <w:color w:val="353A7C"/>
          <w:sz w:val="21"/>
          <w:szCs w:val="21"/>
        </w:rPr>
        <w:t xml:space="preserve">Exercise 3 · fill in the table   </w:t>
      </w:r>
      <w:r>
        <w:rPr>
          <w:b/>
          <w:bCs/>
          <w:sz w:val="19"/>
          <w:szCs w:val="19"/>
        </w:rPr>
        <w:t xml:space="preserve">Answer each item of the case set. The first one is done.</w:t>
      </w:r>
    </w:p>
    <w:tbl>
      <w:tblPr>
        <w:tblW w:type="pct" w:w="100%"/>
        <w:tblBorders>
          <w:top w:val="single" w:color="DFE3EE" w:sz="4"/>
          <w:left w:val="single" w:color="DFE3EE" w:sz="4"/>
          <w:bottom w:val="single" w:color="DFE3EE" w:sz="4"/>
          <w:right w:val="single" w:color="DFE3EE" w:sz="4"/>
          <w:insideH w:val="single" w:color="DFE3EE" w:sz="4"/>
          <w:insideV w:val="single" w:color="DFE3EE" w:sz="4"/>
        </w:tblBorders>
      </w:tblPr>
      <w:tblGrid>
        <w:gridCol w:w="70"/>
        <w:gridCol w:w="30"/>
      </w:tblGrid>
      <w:tr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The item, as the book asks it</w:t>
            </w:r>
          </w:p>
        </w:tc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Your answer</w:t>
            </w:r>
          </w:p>
        </w:tc>
      </w:tr>
      <w:tr>
        <w:tc>
          <w:tcPr>
            <w:shd w:fill="EFF0FB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sz w:val="17"/>
                <w:szCs w:val="17"/>
              </w:rPr>
              <w:t xml:space="preserve">Enter the total contribution margin for 2027.</w:t>
            </w:r>
          </w:p>
        </w:tc>
        <w:tc>
          <w:tcPr>
            <w:shd w:fill="EFF0FB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23265A"/>
                <w:sz w:val="17"/>
                <w:szCs w:val="17"/>
              </w:rPr>
              <w:t xml:space="preserve">1,155,000</w:t>
            </w:r>
          </w:p>
        </w:tc>
      </w:tr>
      <w:tr>
        <w:tc>
          <w:tcPr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sz w:val="17"/>
                <w:szCs w:val="17"/>
              </w:rPr>
              <w:t xml:space="preserve">Enter operating income under absorption costing.</w:t>
            </w:r>
          </w:p>
        </w:tc>
        <w:tc>
          <w:tcPr>
            <w:tcBorders>
              <w:bottom w:val="single" w:sz="6" w:color="8186EF"/>
            </w:tcBorders>
            <w:tcMar>
              <w:top w:type="dxa" w:w="80"/>
              <w:left w:type="dxa" w:w="80"/>
              <w:bottom w:type="dxa" w:w="80"/>
            </w:tcMar>
          </w:tcPr>
          <w:p>
            <w:r>
              <w:rPr>
                <w:b/>
                <w:bCs/>
                <w:color w:val="8186EF"/>
                <w:sz w:val="14"/>
                <w:szCs w:val="14"/>
              </w:rPr>
              <w:t xml:space="preserve">14</w:t>
            </w:r>
          </w:p>
        </w:tc>
      </w:tr>
      <w:tr>
        <w:tc>
          <w:tcPr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sz w:val="17"/>
                <w:szCs w:val="17"/>
              </w:rPr>
              <w:t xml:space="preserve">Enter operating income under variable costing.</w:t>
            </w:r>
          </w:p>
        </w:tc>
        <w:tc>
          <w:tcPr>
            <w:tcBorders>
              <w:bottom w:val="single" w:sz="6" w:color="8186EF"/>
            </w:tcBorders>
            <w:tcMar>
              <w:top w:type="dxa" w:w="80"/>
              <w:left w:type="dxa" w:w="80"/>
              <w:bottom w:type="dxa" w:w="80"/>
            </w:tcMar>
          </w:tcPr>
          <w:p>
            <w:r>
              <w:rPr>
                <w:b/>
                <w:bCs/>
                <w:color w:val="8186EF"/>
                <w:sz w:val="14"/>
                <w:szCs w:val="14"/>
              </w:rPr>
              <w:t xml:space="preserve">15</w:t>
            </w:r>
          </w:p>
        </w:tc>
      </w:tr>
      <w:tr>
        <w:tc>
          <w:tcPr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sz w:val="17"/>
                <w:szCs w:val="17"/>
              </w:rPr>
              <w:t xml:space="preserve">Enter ending inventory under absorption costing.</w:t>
            </w:r>
          </w:p>
        </w:tc>
        <w:tc>
          <w:tcPr>
            <w:tcBorders>
              <w:bottom w:val="single" w:sz="6" w:color="8186EF"/>
            </w:tcBorders>
            <w:tcMar>
              <w:top w:type="dxa" w:w="80"/>
              <w:left w:type="dxa" w:w="80"/>
              <w:bottom w:type="dxa" w:w="80"/>
            </w:tcMar>
          </w:tcPr>
          <w:p>
            <w:r>
              <w:rPr>
                <w:b/>
                <w:bCs/>
                <w:color w:val="8186EF"/>
                <w:sz w:val="14"/>
                <w:szCs w:val="14"/>
              </w:rPr>
              <w:t xml:space="preserve">16</w:t>
            </w:r>
          </w:p>
        </w:tc>
      </w:tr>
      <w:tr>
        <w:tc>
          <w:tcPr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sz w:val="17"/>
                <w:szCs w:val="17"/>
              </w:rPr>
              <w:t xml:space="preserve">A variable costing income statement shows ____ instead of gross margin.</w:t>
            </w:r>
          </w:p>
        </w:tc>
        <w:tc>
          <w:tcPr>
            <w:tcBorders>
              <w:bottom w:val="single" w:sz="6" w:color="8186EF"/>
            </w:tcBorders>
            <w:tcMar>
              <w:top w:type="dxa" w:w="80"/>
              <w:left w:type="dxa" w:w="80"/>
              <w:bottom w:type="dxa" w:w="80"/>
            </w:tcMar>
          </w:tcPr>
          <w:p>
            <w:r>
              <w:rPr>
                <w:b/>
                <w:bCs/>
                <w:color w:val="8186EF"/>
                <w:sz w:val="14"/>
                <w:szCs w:val="14"/>
              </w:rPr>
              <w:t xml:space="preserve">17</w:t>
            </w:r>
          </w:p>
        </w:tc>
      </w:tr>
    </w:tbl>
    <w:p/>
    <w:p>
      <w:pPr>
        <w:spacing w:before="120" w:after="55"/>
        <w:pBdr>
          <w:top w:val="single" w:sz="10" w:space="6" w:color="353A7C"/>
        </w:pBdr>
      </w:pPr>
      <w:r>
        <w:rPr>
          <w:b/>
          <w:bCs/>
          <w:color w:val="353A7C"/>
          <w:sz w:val="21"/>
          <w:szCs w:val="21"/>
        </w:rPr>
        <w:t xml:space="preserve">Exercise 4 · multiple choice   </w:t>
      </w:r>
      <w:r>
        <w:rPr>
          <w:b/>
          <w:bCs/>
          <w:sz w:val="19"/>
          <w:szCs w:val="19"/>
        </w:rPr>
        <w:t xml:space="preserve">Ring one letter for each question. Everything the questions need is in the panel below.</w:t>
      </w:r>
    </w:p>
    <w:p>
      <w:pPr>
        <w:spacing w:before="110" w:after="30"/>
        <w:ind w:left="120"/>
        <w:shd w:fill="6D3F7E" w:val="clear"/>
      </w:pPr>
      <w:r>
        <w:rPr>
          <w:b/>
          <w:bCs/>
          <w:color w:val="FFFFFF"/>
          <w:sz w:val="14"/>
          <w:szCs w:val="14"/>
        </w:rPr>
        <w:t xml:space="preserve">DATA   </w:t>
      </w:r>
      <w:r>
        <w:rPr>
          <w:b/>
          <w:bCs/>
          <w:color w:val="FFFFFF"/>
          <w:sz w:val="15"/>
          <w:szCs w:val="15"/>
        </w:rPr>
        <w:t xml:space="preserve">The exhibit these questions use</w:t>
      </w:r>
    </w:p>
    <w:tbl>
      <w:tblPr>
        <w:tblW w:type="pct" w:w="100%"/>
        <w:tblBorders>
          <w:top w:val="single" w:color="DFE3EE" w:sz="4"/>
          <w:left w:val="single" w:color="DFE3EE" w:sz="4"/>
          <w:bottom w:val="single" w:color="DFE3EE" w:sz="4"/>
          <w:right w:val="single" w:color="DFE3EE" w:sz="4"/>
          <w:insideH w:val="single" w:color="DFE3EE" w:sz="4"/>
          <w:insideV w:val="single" w:color="DFE3EE" w:sz="4"/>
        </w:tblBorders>
      </w:tblPr>
      <w:tblGrid>
        <w:gridCol w:w="25"/>
        <w:gridCol w:w="25"/>
        <w:gridCol w:w="25"/>
        <w:gridCol w:w="25"/>
      </w:tblGrid>
      <w:tr>
        <w:tc>
          <w:tcPr>
            <w:shd w:fill="F5F7FC" w:val="clear"/>
            <w:tcMar>
              <w:top w:type="dxa" w:w="12"/>
              <w:left w:type="dxa" w:w="72"/>
              <w:bottom w:type="dxa" w:w="12"/>
              <w:right w:type="dxa" w:w="72"/>
            </w:tcMar>
          </w:tcPr>
          <w:p>
            <w:r>
              <w:rPr>
                <w:b/>
                <w:bCs/>
                <w:color w:val="23265A"/>
                <w:sz w:val="16"/>
                <w:szCs w:val="16"/>
              </w:rPr>
              <w:t xml:space="preserve">Beverages FY2027</w:t>
            </w:r>
          </w:p>
        </w:tc>
        <w:tc>
          <w:tcPr>
            <w:shd w:fill="F5F7FC" w:val="clear"/>
            <w:tcMar>
              <w:top w:type="dxa" w:w="12"/>
              <w:left w:type="dxa" w:w="72"/>
              <w:bottom w:type="dxa" w:w="12"/>
              <w:right w:type="dxa" w:w="72"/>
            </w:tcMar>
          </w:tcPr>
          <w:p>
            <w:r>
              <w:rPr>
                <w:b/>
                <w:bCs/>
                <w:color w:val="23265A"/>
                <w:sz w:val="16"/>
                <w:szCs w:val="16"/>
              </w:rPr>
              <w:t xml:space="preserve"/>
            </w:r>
          </w:p>
        </w:tc>
        <w:tc>
          <w:tcPr>
            <w:shd w:fill="F5F7FC" w:val="clear"/>
            <w:tcMar>
              <w:top w:type="dxa" w:w="12"/>
              <w:left w:type="dxa" w:w="72"/>
              <w:bottom w:type="dxa" w:w="12"/>
              <w:right w:type="dxa" w:w="72"/>
            </w:tcMar>
          </w:tcPr>
          <w:p>
            <w:r>
              <w:rPr>
                <w:b/>
                <w:bCs/>
                <w:color w:val="23265A"/>
                <w:sz w:val="16"/>
                <w:szCs w:val="16"/>
              </w:rPr>
              <w:t xml:space="preserve"/>
            </w:r>
          </w:p>
        </w:tc>
        <w:tc>
          <w:tcPr>
            <w:shd w:fill="F5F7FC" w:val="clear"/>
            <w:tcMar>
              <w:top w:type="dxa" w:w="12"/>
              <w:left w:type="dxa" w:w="72"/>
              <w:bottom w:type="dxa" w:w="12"/>
              <w:right w:type="dxa" w:w="72"/>
            </w:tcMar>
          </w:tcPr>
          <w:p>
            <w:r>
              <w:rPr>
                <w:b/>
                <w:bCs/>
                <w:color w:val="23265A"/>
                <w:sz w:val="16"/>
                <w:szCs w:val="16"/>
              </w:rPr>
              <w:t xml:space="preserve"/>
            </w:r>
          </w:p>
        </w:tc>
      </w:tr>
      <w:tr>
        <w:tc>
          <w:tcPr>
            <w:tcMar>
              <w:top w:type="dxa" w:w="10"/>
              <w:left w:type="dxa" w:w="70"/>
              <w:bottom w:type="dxa" w:w="10"/>
              <w:right w:type="dxa" w:w="70"/>
            </w:tcMar>
          </w:tcPr>
          <w:p>
            <w:r>
              <w:rPr>
                <w:sz w:val="16"/>
                <w:szCs w:val="16"/>
              </w:rPr>
              <w:t xml:space="preserve">Absorption (gross margin format)</w:t>
            </w:r>
          </w:p>
        </w:tc>
        <w:tc>
          <w:tcPr>
            <w:tcMar>
              <w:top w:type="dxa" w:w="10"/>
              <w:left w:type="dxa" w:w="70"/>
              <w:bottom w:type="dxa" w:w="10"/>
              <w:right w:type="dxa" w:w="70"/>
            </w:tcMar>
          </w:tcPr>
          <w:p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Mar>
              <w:top w:type="dxa" w:w="10"/>
              <w:left w:type="dxa" w:w="70"/>
              <w:bottom w:type="dxa" w:w="10"/>
              <w:right w:type="dxa" w:w="70"/>
            </w:tcMar>
          </w:tcPr>
          <w:p>
            <w:r>
              <w:rPr>
                <w:sz w:val="16"/>
                <w:szCs w:val="16"/>
              </w:rPr>
              <w:t xml:space="preserve">Variable costing (contribution format)</w:t>
            </w:r>
          </w:p>
        </w:tc>
        <w:tc>
          <w:tcPr>
            <w:tcMar>
              <w:top w:type="dxa" w:w="10"/>
              <w:left w:type="dxa" w:w="70"/>
              <w:bottom w:type="dxa" w:w="10"/>
              <w:right w:type="dxa" w:w="70"/>
            </w:tcMar>
          </w:tcPr>
          <w:p>
            <w:r>
              <w:rPr>
                <w:sz w:val="16"/>
                <w:szCs w:val="16"/>
              </w:rPr>
              <w:t xml:space="preserve"/>
            </w:r>
          </w:p>
        </w:tc>
      </w:tr>
      <w:tr>
        <w:tc>
          <w:tcPr>
            <w:tcMar>
              <w:top w:type="dxa" w:w="10"/>
              <w:left w:type="dxa" w:w="70"/>
              <w:bottom w:type="dxa" w:w="10"/>
              <w:right w:type="dxa" w:w="70"/>
            </w:tcMar>
          </w:tcPr>
          <w:p>
            <w:r>
              <w:rPr>
                <w:sz w:val="16"/>
                <w:szCs w:val="16"/>
              </w:rPr>
              <w:t xml:space="preserve">Sales</w:t>
            </w:r>
          </w:p>
        </w:tc>
        <w:tc>
          <w:tcPr>
            <w:tcMar>
              <w:top w:type="dxa" w:w="10"/>
              <w:left w:type="dxa" w:w="70"/>
              <w:bottom w:type="dxa" w:w="10"/>
              <w:right w:type="dxa" w:w="70"/>
            </w:tcMar>
          </w:tcPr>
          <w:p>
            <w:r>
              <w:rPr>
                <w:sz w:val="16"/>
                <w:szCs w:val="16"/>
              </w:rPr>
              <w:t xml:space="preserve">16,600,000</w:t>
            </w:r>
          </w:p>
        </w:tc>
        <w:tc>
          <w:tcPr>
            <w:tcMar>
              <w:top w:type="dxa" w:w="10"/>
              <w:left w:type="dxa" w:w="70"/>
              <w:bottom w:type="dxa" w:w="10"/>
              <w:right w:type="dxa" w:w="70"/>
            </w:tcMar>
          </w:tcPr>
          <w:p>
            <w:r>
              <w:rPr>
                <w:sz w:val="16"/>
                <w:szCs w:val="16"/>
              </w:rPr>
              <w:t xml:space="preserve">Sales</w:t>
            </w:r>
          </w:p>
        </w:tc>
        <w:tc>
          <w:tcPr>
            <w:tcMar>
              <w:top w:type="dxa" w:w="10"/>
              <w:left w:type="dxa" w:w="70"/>
              <w:bottom w:type="dxa" w:w="10"/>
              <w:right w:type="dxa" w:w="70"/>
            </w:tcMar>
          </w:tcPr>
          <w:p>
            <w:r>
              <w:rPr>
                <w:sz w:val="16"/>
                <w:szCs w:val="16"/>
              </w:rPr>
              <w:t xml:space="preserve">16,600,000</w:t>
            </w:r>
          </w:p>
        </w:tc>
      </w:tr>
      <w:tr>
        <w:tc>
          <w:tcPr>
            <w:tcMar>
              <w:top w:type="dxa" w:w="10"/>
              <w:left w:type="dxa" w:w="70"/>
              <w:bottom w:type="dxa" w:w="10"/>
              <w:right w:type="dxa" w:w="70"/>
            </w:tcMar>
          </w:tcPr>
          <w:p>
            <w:r>
              <w:rPr>
                <w:sz w:val="16"/>
                <w:szCs w:val="16"/>
              </w:rPr>
              <w:t xml:space="preserve">COGS at $12.60</w:t>
            </w:r>
          </w:p>
        </w:tc>
        <w:tc>
          <w:tcPr>
            <w:tcMar>
              <w:top w:type="dxa" w:w="10"/>
              <w:left w:type="dxa" w:w="70"/>
              <w:bottom w:type="dxa" w:w="10"/>
              <w:right w:type="dxa" w:w="70"/>
            </w:tcMar>
          </w:tcPr>
          <w:p>
            <w:r>
              <w:rPr>
                <w:sz w:val="16"/>
                <w:szCs w:val="16"/>
              </w:rPr>
              <w:t xml:space="preserve">10,458,000</w:t>
            </w:r>
          </w:p>
        </w:tc>
        <w:tc>
          <w:tcPr>
            <w:tcMar>
              <w:top w:type="dxa" w:w="10"/>
              <w:left w:type="dxa" w:w="70"/>
              <w:bottom w:type="dxa" w:w="10"/>
              <w:right w:type="dxa" w:w="70"/>
            </w:tcMar>
          </w:tcPr>
          <w:p>
            <w:r>
              <w:rPr>
                <w:sz w:val="16"/>
                <w:szCs w:val="16"/>
              </w:rPr>
              <w:t xml:space="preserve">Variable COGS at $10.60</w:t>
            </w:r>
          </w:p>
        </w:tc>
        <w:tc>
          <w:tcPr>
            <w:tcMar>
              <w:top w:type="dxa" w:w="10"/>
              <w:left w:type="dxa" w:w="70"/>
              <w:bottom w:type="dxa" w:w="10"/>
              <w:right w:type="dxa" w:w="70"/>
            </w:tcMar>
          </w:tcPr>
          <w:p>
            <w:r>
              <w:rPr>
                <w:sz w:val="16"/>
                <w:szCs w:val="16"/>
              </w:rPr>
              <w:t xml:space="preserve">8,798,000</w:t>
            </w:r>
          </w:p>
        </w:tc>
      </w:tr>
      <w:tr>
        <w:tc>
          <w:tcPr>
            <w:tcMar>
              <w:top w:type="dxa" w:w="10"/>
              <w:left w:type="dxa" w:w="70"/>
              <w:bottom w:type="dxa" w:w="10"/>
              <w:right w:type="dxa" w:w="70"/>
            </w:tcMar>
          </w:tcPr>
          <w:p>
            <w:r>
              <w:rPr>
                <w:sz w:val="16"/>
                <w:szCs w:val="16"/>
              </w:rPr>
              <w:t xml:space="preserve">Production-volume variance</w:t>
            </w:r>
          </w:p>
        </w:tc>
        <w:tc>
          <w:tcPr>
            <w:tcMar>
              <w:top w:type="dxa" w:w="10"/>
              <w:left w:type="dxa" w:w="70"/>
              <w:bottom w:type="dxa" w:w="10"/>
              <w:right w:type="dxa" w:w="70"/>
            </w:tcMar>
          </w:tcPr>
          <w:p>
            <w:r>
              <w:rPr>
                <w:sz w:val="16"/>
                <w:szCs w:val="16"/>
              </w:rPr>
              <w:t xml:space="preserve">100,000</w:t>
            </w:r>
          </w:p>
        </w:tc>
        <w:tc>
          <w:tcPr>
            <w:tcMar>
              <w:top w:type="dxa" w:w="10"/>
              <w:left w:type="dxa" w:w="70"/>
              <w:bottom w:type="dxa" w:w="10"/>
              <w:right w:type="dxa" w:w="70"/>
            </w:tcMar>
          </w:tcPr>
          <w:p>
            <w:r>
              <w:rPr>
                <w:sz w:val="16"/>
                <w:szCs w:val="16"/>
              </w:rPr>
              <w:t xml:space="preserve">Variable selling</w:t>
            </w:r>
          </w:p>
        </w:tc>
        <w:tc>
          <w:tcPr>
            <w:tcMar>
              <w:top w:type="dxa" w:w="10"/>
              <w:left w:type="dxa" w:w="70"/>
              <w:bottom w:type="dxa" w:w="10"/>
              <w:right w:type="dxa" w:w="70"/>
            </w:tcMar>
          </w:tcPr>
          <w:p>
            <w:r>
              <w:rPr>
                <w:sz w:val="16"/>
                <w:szCs w:val="16"/>
              </w:rPr>
              <w:t xml:space="preserve">996,000</w:t>
            </w:r>
          </w:p>
        </w:tc>
      </w:tr>
      <w:tr>
        <w:tc>
          <w:tcPr>
            <w:tcMar>
              <w:top w:type="dxa" w:w="10"/>
              <w:left w:type="dxa" w:w="70"/>
              <w:bottom w:type="dxa" w:w="10"/>
              <w:right w:type="dxa" w:w="70"/>
            </w:tcMar>
          </w:tcPr>
          <w:p>
            <w:r>
              <w:rPr>
                <w:sz w:val="16"/>
                <w:szCs w:val="16"/>
              </w:rPr>
              <w:t xml:space="preserve">Gross margin</w:t>
            </w:r>
          </w:p>
        </w:tc>
        <w:tc>
          <w:tcPr>
            <w:tcMar>
              <w:top w:type="dxa" w:w="10"/>
              <w:left w:type="dxa" w:w="70"/>
              <w:bottom w:type="dxa" w:w="10"/>
              <w:right w:type="dxa" w:w="70"/>
            </w:tcMar>
          </w:tcPr>
          <w:p>
            <w:r>
              <w:rPr>
                <w:sz w:val="16"/>
                <w:szCs w:val="16"/>
              </w:rPr>
              <w:t xml:space="preserve">6,042,000</w:t>
            </w:r>
          </w:p>
        </w:tc>
        <w:tc>
          <w:tcPr>
            <w:tcMar>
              <w:top w:type="dxa" w:w="10"/>
              <w:left w:type="dxa" w:w="70"/>
              <w:bottom w:type="dxa" w:w="10"/>
              <w:right w:type="dxa" w:w="70"/>
            </w:tcMar>
          </w:tcPr>
          <w:p>
            <w:r>
              <w:rPr>
                <w:sz w:val="16"/>
                <w:szCs w:val="16"/>
              </w:rPr>
              <w:t xml:space="preserve">Contribution margin</w:t>
            </w:r>
          </w:p>
        </w:tc>
        <w:tc>
          <w:tcPr>
            <w:tcMar>
              <w:top w:type="dxa" w:w="10"/>
              <w:left w:type="dxa" w:w="70"/>
              <w:bottom w:type="dxa" w:w="10"/>
              <w:right w:type="dxa" w:w="70"/>
            </w:tcMar>
          </w:tcPr>
          <w:p>
            <w:r>
              <w:rPr>
                <w:sz w:val="16"/>
                <w:szCs w:val="16"/>
              </w:rPr>
              <w:t xml:space="preserve">6,806,000</w:t>
            </w:r>
          </w:p>
        </w:tc>
      </w:tr>
      <w:tr>
        <w:tc>
          <w:tcPr>
            <w:tcMar>
              <w:top w:type="dxa" w:w="10"/>
              <w:left w:type="dxa" w:w="70"/>
              <w:bottom w:type="dxa" w:w="10"/>
              <w:right w:type="dxa" w:w="70"/>
            </w:tcMar>
          </w:tcPr>
          <w:p>
            <w:r>
              <w:rPr>
                <w:sz w:val="16"/>
                <w:szCs w:val="16"/>
              </w:rPr>
              <w:t xml:space="preserve">Selling and administrative</w:t>
            </w:r>
          </w:p>
        </w:tc>
        <w:tc>
          <w:tcPr>
            <w:tcMar>
              <w:top w:type="dxa" w:w="10"/>
              <w:left w:type="dxa" w:w="70"/>
              <w:bottom w:type="dxa" w:w="10"/>
              <w:right w:type="dxa" w:w="70"/>
            </w:tcMar>
          </w:tcPr>
          <w:p>
            <w:r>
              <w:rPr>
                <w:sz w:val="16"/>
                <w:szCs w:val="16"/>
              </w:rPr>
              <w:t xml:space="preserve">3,096,000</w:t>
            </w:r>
          </w:p>
        </w:tc>
        <w:tc>
          <w:tcPr>
            <w:tcMar>
              <w:top w:type="dxa" w:w="10"/>
              <w:left w:type="dxa" w:w="70"/>
              <w:bottom w:type="dxa" w:w="10"/>
              <w:right w:type="dxa" w:w="70"/>
            </w:tcMar>
          </w:tcPr>
          <w:p>
            <w:r>
              <w:rPr>
                <w:sz w:val="16"/>
                <w:szCs w:val="16"/>
              </w:rPr>
              <w:t xml:space="preserve">Fixed MOH + fixed S&amp;A</w:t>
            </w:r>
          </w:p>
        </w:tc>
        <w:tc>
          <w:tcPr>
            <w:tcMar>
              <w:top w:type="dxa" w:w="10"/>
              <w:left w:type="dxa" w:w="70"/>
              <w:bottom w:type="dxa" w:w="10"/>
              <w:right w:type="dxa" w:w="70"/>
            </w:tcMar>
          </w:tcPr>
          <w:p>
            <w:r>
              <w:rPr>
                <w:sz w:val="16"/>
                <w:szCs w:val="16"/>
              </w:rPr>
              <w:t xml:space="preserve">3,900,000</w:t>
            </w:r>
          </w:p>
        </w:tc>
      </w:tr>
      <w:tr>
        <w:tc>
          <w:tcPr>
            <w:tcMar>
              <w:top w:type="dxa" w:w="10"/>
              <w:left w:type="dxa" w:w="70"/>
              <w:bottom w:type="dxa" w:w="10"/>
              <w:right w:type="dxa" w:w="70"/>
            </w:tcMar>
          </w:tcPr>
          <w:p>
            <w:r>
              <w:rPr>
                <w:sz w:val="16"/>
                <w:szCs w:val="16"/>
              </w:rPr>
              <w:t xml:space="preserve">Operating income</w:t>
            </w:r>
          </w:p>
        </w:tc>
        <w:tc>
          <w:tcPr>
            <w:tcMar>
              <w:top w:type="dxa" w:w="10"/>
              <w:left w:type="dxa" w:w="70"/>
              <w:bottom w:type="dxa" w:w="10"/>
              <w:right w:type="dxa" w:w="70"/>
            </w:tcMar>
          </w:tcPr>
          <w:p>
            <w:r>
              <w:rPr>
                <w:sz w:val="16"/>
                <w:szCs w:val="16"/>
              </w:rPr>
              <w:t xml:space="preserve">2,946,000</w:t>
            </w:r>
          </w:p>
        </w:tc>
        <w:tc>
          <w:tcPr>
            <w:tcMar>
              <w:top w:type="dxa" w:w="10"/>
              <w:left w:type="dxa" w:w="70"/>
              <w:bottom w:type="dxa" w:w="10"/>
              <w:right w:type="dxa" w:w="70"/>
            </w:tcMar>
          </w:tcPr>
          <w:p>
            <w:r>
              <w:rPr>
                <w:sz w:val="16"/>
                <w:szCs w:val="16"/>
              </w:rPr>
              <w:t xml:space="preserve">Operating income</w:t>
            </w:r>
          </w:p>
        </w:tc>
        <w:tc>
          <w:tcPr>
            <w:tcMar>
              <w:top w:type="dxa" w:w="10"/>
              <w:left w:type="dxa" w:w="70"/>
              <w:bottom w:type="dxa" w:w="10"/>
              <w:right w:type="dxa" w:w="70"/>
            </w:tcMar>
          </w:tcPr>
          <w:p>
            <w:r>
              <w:rPr>
                <w:sz w:val="16"/>
                <w:szCs w:val="16"/>
              </w:rPr>
              <w:t xml:space="preserve">2,906,000</w:t>
            </w:r>
          </w:p>
        </w:tc>
      </w:tr>
    </w:tbl>
    <w:p/>
    <w:p>
      <w:pPr>
        <w:spacing w:before="55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18.  </w:t>
      </w:r>
      <w:r>
        <w:rPr>
          <w:sz w:val="19"/>
          <w:szCs w:val="19"/>
        </w:rPr>
        <w:t xml:space="preserve">Use the panel above. What is total cost of goods sold, including the production-volume variance, under absorption costing (whole USD)?</w:t>
      </w:r>
    </w:p>
    <w:tbl>
      <w:tblPr>
        <w:tblW w:type="pct" w:w="100%"/>
        <w:tblInd w:type="dxa" w:w="300"/>
      </w:tblPr>
      <w:tblGrid>
        <w:gridCol w:w="50"/>
        <w:gridCol w:w="50"/>
      </w:tblGrid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(A) </w:t>
            </w:r>
            <w:r>
              <w:rPr>
                <w:sz w:val="18"/>
                <w:szCs w:val="18"/>
              </w:rPr>
              <w:t xml:space="preserve">8,798,000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(B) </w:t>
            </w:r>
            <w:r>
              <w:rPr>
                <w:sz w:val="18"/>
                <w:szCs w:val="18"/>
              </w:rPr>
              <w:t xml:space="preserve">10,458,000</w:t>
            </w:r>
          </w:p>
        </w:tc>
      </w:tr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(C) </w:t>
            </w:r>
            <w:r>
              <w:rPr>
                <w:sz w:val="18"/>
                <w:szCs w:val="18"/>
              </w:rPr>
              <w:t xml:space="preserve">10,558,000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(D) </w:t>
            </w:r>
            <w:r>
              <w:rPr>
                <w:sz w:val="18"/>
                <w:szCs w:val="18"/>
              </w:rPr>
              <w:t xml:space="preserve">10,598,000</w:t>
            </w:r>
          </w:p>
        </w:tc>
      </w:tr>
    </w:tbl>
    <w:p/>
    <w:p>
      <w:pPr>
        <w:spacing w:before="150" w:after="60"/>
        <w:ind w:left="130" w:right="130"/>
        <w:shd w:fill="23265A" w:val="clear"/>
      </w:pPr>
      <w:r>
        <w:rPr>
          <w:b/>
          <w:bCs/>
          <w:color w:val="FFFFFF"/>
          <w:sz w:val="15"/>
          <w:szCs w:val="15"/>
        </w:rPr>
        <w:t xml:space="preserve">CHECK   </w:t>
      </w:r>
      <w:r>
        <w:rPr>
          <w:b/>
          <w:bCs/>
          <w:color w:val="FFFFFF"/>
          <w:sz w:val="17"/>
          <w:szCs w:val="17"/>
        </w:rPr>
        <w:t xml:space="preserve">Page 2</w:t>
      </w:r>
      <w:r>
        <w:rPr>
          <w:color w:val="FFFFFF"/>
          <w:sz w:val="15"/>
          <w:szCs w:val="15"/>
        </w:rPr>
        <w:t xml:space="preserve">   ·   items 14 to 18   ·   </w:t>
      </w:r>
      <w:r>
        <w:rPr>
          <w:color w:val="FFFFFF"/>
          <w:sz w:val="15"/>
          <w:szCs w:val="15"/>
        </w:rPr>
        <w:t xml:space="preserve">fewer than 3 right: </w:t>
      </w:r>
      <w:r>
        <w:rPr>
          <w:b/>
          <w:bCs/>
          <w:color w:val="FFFFFF"/>
          <w:sz w:val="15"/>
          <w:szCs w:val="15"/>
        </w:rPr>
        <w:t xml:space="preserve">redo page 2 before page 3</w:t>
      </w:r>
    </w:p>
    <w:p>
      <w:pPr>
        <w:spacing w:after="0"/>
        <w:pageBreakBefore w:val="true"/>
      </w:pPr>
      <w:r>
        <w:rPr>
          <w:sz w:val="2"/>
          <w:szCs w:val="2"/>
        </w:rPr>
        <w:t xml:space="preserve"> </w:t>
      </w:r>
    </w:p>
    <w:p>
      <w:pPr>
        <w:spacing w:before="120" w:after="55"/>
        <w:pBdr>
          <w:top w:val="single" w:sz="10" w:space="6" w:color="353A7C"/>
        </w:pBdr>
      </w:pPr>
      <w:r>
        <w:rPr>
          <w:b/>
          <w:bCs/>
          <w:color w:val="353A7C"/>
          <w:sz w:val="21"/>
          <w:szCs w:val="21"/>
        </w:rPr>
        <w:t xml:space="preserve">Exercise 5 · true or false   </w:t>
      </w:r>
      <w:r>
        <w:rPr>
          <w:b/>
          <w:bCs/>
          <w:sz w:val="19"/>
          <w:szCs w:val="19"/>
        </w:rPr>
        <w:t xml:space="preserve">Ring T or F for each statement.</w:t>
      </w:r>
    </w:p>
    <w:tbl>
      <w:tblPr>
        <w:tblW w:type="pct" w:w="100%"/>
        <w:tblBorders>
          <w:top w:val="single" w:color="DFE3EE" w:sz="4"/>
          <w:left w:val="single" w:color="DFE3EE" w:sz="4"/>
          <w:bottom w:val="single" w:color="DFE3EE" w:sz="4"/>
          <w:right w:val="single" w:color="DFE3EE" w:sz="4"/>
          <w:insideH w:val="single" w:color="DFE3EE" w:sz="4"/>
          <w:insideV w:val="single" w:color="DFE3EE" w:sz="4"/>
        </w:tblBorders>
      </w:tblPr>
      <w:tblGrid>
        <w:gridCol w:w="82"/>
        <w:gridCol w:w="18"/>
      </w:tblGrid>
      <w:tr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Statement</w:t>
            </w:r>
          </w:p>
        </w:tc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True or false?</w:t>
            </w:r>
          </w:p>
        </w:tc>
      </w:tr>
      <w:tr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19.  </w:t>
            </w:r>
            <w:r>
              <w:rPr>
                <w:sz w:val="18"/>
                <w:szCs w:val="18"/>
              </w:rPr>
              <w:t xml:space="preserve">Extra units carry fixed overhead into inventory.</w:t>
            </w:r>
          </w:p>
        </w:tc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pPr>
              <w:jc w:val="center"/>
            </w:pPr>
            <w:r>
              <w:rPr>
                <w:b/>
                <w:bCs/>
                <w:color w:val="6B7280"/>
                <w:sz w:val="18"/>
                <w:szCs w:val="18"/>
              </w:rPr>
              <w:t xml:space="preserve">T        F</w:t>
            </w:r>
          </w:p>
        </w:tc>
      </w:tr>
      <w:tr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20.  </w:t>
            </w:r>
            <w:r>
              <w:rPr>
                <w:sz w:val="18"/>
                <w:szCs w:val="18"/>
              </w:rPr>
              <w:t xml:space="preserve">It lets managers raise income by overproducing</w:t>
            </w:r>
          </w:p>
        </w:tc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pPr>
              <w:jc w:val="center"/>
            </w:pPr>
            <w:r>
              <w:rPr>
                <w:b/>
                <w:bCs/>
                <w:color w:val="6B7280"/>
                <w:sz w:val="18"/>
                <w:szCs w:val="18"/>
              </w:rPr>
              <w:t xml:space="preserve">T        F</w:t>
            </w:r>
          </w:p>
        </w:tc>
      </w:tr>
      <w:tr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21.  </w:t>
            </w:r>
            <w:r>
              <w:rPr>
                <w:sz w:val="18"/>
                <w:szCs w:val="18"/>
              </w:rPr>
              <w:t xml:space="preserve">Because GAAP requires a separate line</w:t>
            </w:r>
          </w:p>
        </w:tc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pPr>
              <w:jc w:val="center"/>
            </w:pPr>
            <w:r>
              <w:rPr>
                <w:b/>
                <w:bCs/>
                <w:color w:val="6B7280"/>
                <w:sz w:val="18"/>
                <w:szCs w:val="18"/>
              </w:rPr>
              <w:t xml:space="preserve">T        F</w:t>
            </w:r>
          </w:p>
        </w:tc>
      </w:tr>
      <w:tr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22.  </w:t>
            </w:r>
            <w:r>
              <w:rPr>
                <w:sz w:val="18"/>
                <w:szCs w:val="18"/>
              </w:rPr>
              <w:t xml:space="preserve">stay the same; stay the same</w:t>
            </w:r>
          </w:p>
        </w:tc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pPr>
              <w:jc w:val="center"/>
            </w:pPr>
            <w:r>
              <w:rPr>
                <w:b/>
                <w:bCs/>
                <w:color w:val="6B7280"/>
                <w:sz w:val="18"/>
                <w:szCs w:val="18"/>
              </w:rPr>
              <w:t xml:space="preserve">T        F</w:t>
            </w:r>
          </w:p>
        </w:tc>
      </w:tr>
      <w:tr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23.  </w:t>
            </w:r>
            <w:r>
              <w:rPr>
                <w:sz w:val="18"/>
                <w:szCs w:val="18"/>
              </w:rPr>
              <w:t xml:space="preserve">To remove it from the financial statements</w:t>
            </w:r>
          </w:p>
        </w:tc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pPr>
              <w:jc w:val="center"/>
            </w:pPr>
            <w:r>
              <w:rPr>
                <w:b/>
                <w:bCs/>
                <w:color w:val="6B7280"/>
                <w:sz w:val="18"/>
                <w:szCs w:val="18"/>
              </w:rPr>
              <w:t xml:space="preserve">T        F</w:t>
            </w:r>
          </w:p>
        </w:tc>
      </w:tr>
      <w:tr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24.  </w:t>
            </w:r>
            <w:r>
              <w:rPr>
                <w:sz w:val="18"/>
                <w:szCs w:val="18"/>
              </w:rPr>
              <w:t xml:space="preserve">It puts fixed overhead in inventory</w:t>
            </w:r>
          </w:p>
        </w:tc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pPr>
              <w:jc w:val="center"/>
            </w:pPr>
            <w:r>
              <w:rPr>
                <w:b/>
                <w:bCs/>
                <w:color w:val="6B7280"/>
                <w:sz w:val="18"/>
                <w:szCs w:val="18"/>
              </w:rPr>
              <w:t xml:space="preserve">T        F</w:t>
            </w:r>
          </w:p>
        </w:tc>
      </w:tr>
      <w:tr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25.  </w:t>
            </w:r>
            <w:r>
              <w:rPr>
                <w:sz w:val="18"/>
                <w:szCs w:val="18"/>
              </w:rPr>
              <w:t xml:space="preserve">It covers fixed costs and profit.</w:t>
            </w:r>
          </w:p>
        </w:tc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pPr>
              <w:jc w:val="center"/>
            </w:pPr>
            <w:r>
              <w:rPr>
                <w:b/>
                <w:bCs/>
                <w:color w:val="6B7280"/>
                <w:sz w:val="18"/>
                <w:szCs w:val="18"/>
              </w:rPr>
              <w:t xml:space="preserve">T        F</w:t>
            </w:r>
          </w:p>
        </w:tc>
      </w:tr>
    </w:tbl>
    <w:p/>
    <w:p>
      <w:pPr>
        <w:spacing w:before="120" w:after="55"/>
        <w:pBdr>
          <w:top w:val="single" w:sz="10" w:space="6" w:color="353A7C"/>
        </w:pBdr>
      </w:pPr>
      <w:r>
        <w:rPr>
          <w:b/>
          <w:bCs/>
          <w:color w:val="353A7C"/>
          <w:sz w:val="21"/>
          <w:szCs w:val="21"/>
        </w:rPr>
        <w:t xml:space="preserve">Exercise 6 · multiple choice   </w:t>
      </w:r>
      <w:r>
        <w:rPr>
          <w:b/>
          <w:bCs/>
          <w:sz w:val="19"/>
          <w:szCs w:val="19"/>
        </w:rPr>
        <w:t xml:space="preserve">Ring one letter for each question.</w:t>
      </w:r>
    </w:p>
    <w:p>
      <w:pPr>
        <w:spacing w:before="55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26.  </w:t>
      </w:r>
      <w:r>
        <w:rPr>
          <w:sz w:val="19"/>
          <w:szCs w:val="19"/>
        </w:rPr>
        <w:t xml:space="preserve">Absorption costing is also called:</w:t>
      </w:r>
    </w:p>
    <w:tbl>
      <w:tblPr>
        <w:tblW w:type="pct" w:w="100%"/>
        <w:tblInd w:type="dxa" w:w="300"/>
      </w:tblPr>
      <w:tblGrid>
        <w:gridCol w:w="50"/>
        <w:gridCol w:w="50"/>
      </w:tblGrid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(A) </w:t>
            </w:r>
            <w:r>
              <w:rPr>
                <w:sz w:val="18"/>
                <w:szCs w:val="18"/>
              </w:rPr>
              <w:t xml:space="preserve">direct costing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(B) </w:t>
            </w:r>
            <w:r>
              <w:rPr>
                <w:sz w:val="18"/>
                <w:szCs w:val="18"/>
              </w:rPr>
              <w:t xml:space="preserve">marginal costing</w:t>
            </w:r>
          </w:p>
        </w:tc>
      </w:tr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(C) </w:t>
            </w:r>
            <w:r>
              <w:rPr>
                <w:sz w:val="18"/>
                <w:szCs w:val="18"/>
              </w:rPr>
              <w:t xml:space="preserve">full costing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(D) </w:t>
            </w:r>
            <w:r>
              <w:rPr>
                <w:sz w:val="18"/>
                <w:szCs w:val="18"/>
              </w:rPr>
              <w:t xml:space="preserve">throughput costing</w:t>
            </w:r>
          </w:p>
        </w:tc>
      </w:tr>
    </w:tbl>
    <w:p>
      <w:pPr>
        <w:spacing w:before="55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27.  </w:t>
      </w:r>
      <w:r>
        <w:rPr>
          <w:sz w:val="19"/>
          <w:szCs w:val="19"/>
        </w:rPr>
        <w:t xml:space="preserve">A company produces 10,000 units and sells 8,000. Variable manufacturing cost is $5 per unit and fixed manufacturing overhead is $40,000 (at a denominator of 10,000 units). There was no opening inventory. What is ending inventory under absorption costing?</w:t>
      </w:r>
    </w:p>
    <w:tbl>
      <w:tblPr>
        <w:tblW w:type="pct" w:w="100%"/>
        <w:tblInd w:type="dxa" w:w="300"/>
      </w:tblPr>
      <w:tblGrid>
        <w:gridCol w:w="50"/>
        <w:gridCol w:w="50"/>
      </w:tblGrid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(A) </w:t>
            </w:r>
            <w:r>
              <w:rPr>
                <w:sz w:val="18"/>
                <w:szCs w:val="18"/>
              </w:rPr>
              <w:t xml:space="preserve">$8,000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(B) </w:t>
            </w:r>
            <w:r>
              <w:rPr>
                <w:sz w:val="18"/>
                <w:szCs w:val="18"/>
              </w:rPr>
              <w:t xml:space="preserve">$10,000</w:t>
            </w:r>
          </w:p>
        </w:tc>
      </w:tr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(C) </w:t>
            </w:r>
            <w:r>
              <w:rPr>
                <w:sz w:val="18"/>
                <w:szCs w:val="18"/>
              </w:rPr>
              <w:t xml:space="preserve">$18,000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(D) </w:t>
            </w:r>
            <w:r>
              <w:rPr>
                <w:sz w:val="18"/>
                <w:szCs w:val="18"/>
              </w:rPr>
              <w:t xml:space="preserve">$50,000</w:t>
            </w:r>
          </w:p>
        </w:tc>
      </w:tr>
    </w:tbl>
    <w:p>
      <w:pPr>
        <w:spacing w:before="55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28.  </w:t>
      </w:r>
      <w:r>
        <w:rPr>
          <w:sz w:val="19"/>
          <w:szCs w:val="19"/>
        </w:rPr>
        <w:t xml:space="preserve">Using P209-02, what is ending inventory under variable costing?</w:t>
      </w:r>
    </w:p>
    <w:tbl>
      <w:tblPr>
        <w:tblW w:type="pct" w:w="100%"/>
        <w:tblInd w:type="dxa" w:w="300"/>
      </w:tblPr>
      <w:tblGrid>
        <w:gridCol w:w="50"/>
        <w:gridCol w:w="50"/>
      </w:tblGrid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(A) </w:t>
            </w:r>
            <w:r>
              <w:rPr>
                <w:sz w:val="18"/>
                <w:szCs w:val="18"/>
              </w:rPr>
              <w:t xml:space="preserve">$8,000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(B) </w:t>
            </w:r>
            <w:r>
              <w:rPr>
                <w:sz w:val="18"/>
                <w:szCs w:val="18"/>
              </w:rPr>
              <w:t xml:space="preserve">$10,000</w:t>
            </w:r>
          </w:p>
        </w:tc>
      </w:tr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(C) </w:t>
            </w:r>
            <w:r>
              <w:rPr>
                <w:sz w:val="18"/>
                <w:szCs w:val="18"/>
              </w:rPr>
              <w:t xml:space="preserve">$18,000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(D) </w:t>
            </w:r>
            <w:r>
              <w:rPr>
                <w:sz w:val="18"/>
                <w:szCs w:val="18"/>
              </w:rPr>
              <w:t xml:space="preserve">$40,000</w:t>
            </w:r>
          </w:p>
        </w:tc>
      </w:tr>
    </w:tbl>
    <w:p>
      <w:pPr>
        <w:spacing w:before="55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29.  </w:t>
      </w:r>
      <w:r>
        <w:rPr>
          <w:sz w:val="19"/>
          <w:szCs w:val="19"/>
        </w:rPr>
        <w:t xml:space="preserve">Using P209-02, by how much does absorption income exceed variable costing income?</w:t>
      </w:r>
    </w:p>
    <w:tbl>
      <w:tblPr>
        <w:tblW w:type="pct" w:w="100%"/>
        <w:tblInd w:type="dxa" w:w="300"/>
      </w:tblPr>
      <w:tblGrid>
        <w:gridCol w:w="50"/>
        <w:gridCol w:w="50"/>
      </w:tblGrid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(A) </w:t>
            </w:r>
            <w:r>
              <w:rPr>
                <w:sz w:val="18"/>
                <w:szCs w:val="18"/>
              </w:rPr>
              <w:t xml:space="preserve">$10,000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(B) </w:t>
            </w:r>
            <w:r>
              <w:rPr>
                <w:sz w:val="18"/>
                <w:szCs w:val="18"/>
              </w:rPr>
              <w:t xml:space="preserve">$8,000</w:t>
            </w:r>
          </w:p>
        </w:tc>
      </w:tr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(C) </w:t>
            </w:r>
            <w:r>
              <w:rPr>
                <w:sz w:val="18"/>
                <w:szCs w:val="18"/>
              </w:rPr>
              <w:t xml:space="preserve">$18,000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(D) </w:t>
            </w:r>
            <w:r>
              <w:rPr>
                <w:sz w:val="18"/>
                <w:szCs w:val="18"/>
              </w:rPr>
              <w:t xml:space="preserve">−$8,000</w:t>
            </w:r>
          </w:p>
        </w:tc>
      </w:tr>
    </w:tbl>
    <w:p>
      <w:pPr>
        <w:spacing w:before="55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30.  </w:t>
      </w:r>
      <w:r>
        <w:rPr>
          <w:sz w:val="19"/>
          <w:szCs w:val="19"/>
        </w:rPr>
        <w:t xml:space="preserve">Sales exceed production, so inventory falls. Absorption costing income is:</w:t>
      </w:r>
    </w:p>
    <w:tbl>
      <w:tblPr>
        <w:tblW w:type="pct" w:w="100%"/>
        <w:tblInd w:type="dxa" w:w="300"/>
      </w:tblPr>
      <w:tblGrid>
        <w:gridCol w:w="50"/>
        <w:gridCol w:w="50"/>
      </w:tblGrid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(A) </w:t>
            </w:r>
            <w:r>
              <w:rPr>
                <w:sz w:val="18"/>
                <w:szCs w:val="18"/>
              </w:rPr>
              <w:t xml:space="preserve">higher than variable costing income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(B) </w:t>
            </w:r>
            <w:r>
              <w:rPr>
                <w:sz w:val="18"/>
                <w:szCs w:val="18"/>
              </w:rPr>
              <w:t xml:space="preserve">the same</w:t>
            </w:r>
          </w:p>
        </w:tc>
      </w:tr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(C) </w:t>
            </w:r>
            <w:r>
              <w:rPr>
                <w:sz w:val="18"/>
                <w:szCs w:val="18"/>
              </w:rPr>
              <w:t xml:space="preserve">lower than variable costing income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(D) </w:t>
            </w:r>
            <w:r>
              <w:rPr>
                <w:sz w:val="18"/>
                <w:szCs w:val="18"/>
              </w:rPr>
              <w:t xml:space="preserve">equal to the contribution margin</w:t>
            </w:r>
          </w:p>
        </w:tc>
      </w:tr>
    </w:tbl>
    <w:p>
      <w:pPr>
        <w:spacing w:before="55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31.  </w:t>
      </w:r>
      <w:r>
        <w:rPr>
          <w:sz w:val="19"/>
          <w:szCs w:val="19"/>
        </w:rPr>
        <w:t xml:space="preserve">Contribution margin is:</w:t>
      </w:r>
    </w:p>
    <w:tbl>
      <w:tblPr>
        <w:tblW w:type="pct" w:w="100%"/>
        <w:tblInd w:type="dxa" w:w="300"/>
      </w:tblPr>
      <w:tblGrid>
        <w:gridCol w:w="50"/>
        <w:gridCol w:w="50"/>
      </w:tblGrid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(A) </w:t>
            </w:r>
            <w:r>
              <w:rPr>
                <w:sz w:val="18"/>
                <w:szCs w:val="18"/>
              </w:rPr>
              <w:t xml:space="preserve">sales minus cost of goods sold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(B) </w:t>
            </w:r>
            <w:r>
              <w:rPr>
                <w:sz w:val="18"/>
                <w:szCs w:val="18"/>
              </w:rPr>
              <w:t xml:space="preserve">sales minus fixed costs</w:t>
            </w:r>
          </w:p>
        </w:tc>
      </w:tr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(C) </w:t>
            </w:r>
            <w:r>
              <w:rPr>
                <w:sz w:val="18"/>
                <w:szCs w:val="18"/>
              </w:rPr>
              <w:t xml:space="preserve">gross margin minus selling costs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(D) </w:t>
            </w:r>
            <w:r>
              <w:rPr>
                <w:sz w:val="18"/>
                <w:szCs w:val="18"/>
              </w:rPr>
              <w:t xml:space="preserve">sales minus all variable costs</w:t>
            </w:r>
          </w:p>
        </w:tc>
      </w:tr>
    </w:tbl>
    <w:p/>
    <w:p>
      <w:pPr>
        <w:spacing w:before="150" w:after="60"/>
        <w:ind w:left="130" w:right="130"/>
        <w:shd w:fill="23265A" w:val="clear"/>
      </w:pPr>
      <w:r>
        <w:rPr>
          <w:b/>
          <w:bCs/>
          <w:color w:val="FFFFFF"/>
          <w:sz w:val="15"/>
          <w:szCs w:val="15"/>
        </w:rPr>
        <w:t xml:space="preserve">CHECK   </w:t>
      </w:r>
      <w:r>
        <w:rPr>
          <w:b/>
          <w:bCs/>
          <w:color w:val="FFFFFF"/>
          <w:sz w:val="17"/>
          <w:szCs w:val="17"/>
        </w:rPr>
        <w:t xml:space="preserve">Page 3</w:t>
      </w:r>
      <w:r>
        <w:rPr>
          <w:color w:val="FFFFFF"/>
          <w:sz w:val="15"/>
          <w:szCs w:val="15"/>
        </w:rPr>
        <w:t xml:space="preserve">   ·   items 19 to 31   ·   </w:t>
      </w:r>
      <w:r>
        <w:rPr>
          <w:color w:val="FFFFFF"/>
          <w:sz w:val="15"/>
          <w:szCs w:val="15"/>
        </w:rPr>
        <w:t xml:space="preserve">fewer than 9 right: </w:t>
      </w:r>
      <w:r>
        <w:rPr>
          <w:b/>
          <w:bCs/>
          <w:color w:val="FFFFFF"/>
          <w:sz w:val="15"/>
          <w:szCs w:val="15"/>
        </w:rPr>
        <w:t xml:space="preserve">redo page 3 before page 4</w:t>
      </w:r>
    </w:p>
    <w:p>
      <w:pPr>
        <w:spacing w:after="0"/>
        <w:pageBreakBefore w:val="true"/>
      </w:pPr>
      <w:r>
        <w:rPr>
          <w:sz w:val="2"/>
          <w:szCs w:val="2"/>
        </w:rPr>
        <w:t xml:space="preserve"> </w:t>
      </w:r>
    </w:p>
    <w:p>
      <w:pPr>
        <w:spacing w:before="120" w:after="55"/>
        <w:pBdr>
          <w:top w:val="single" w:sz="10" w:space="6" w:color="353A7C"/>
        </w:pBdr>
      </w:pPr>
      <w:r>
        <w:rPr>
          <w:b/>
          <w:bCs/>
          <w:color w:val="353A7C"/>
          <w:sz w:val="21"/>
          <w:szCs w:val="21"/>
        </w:rPr>
        <w:t xml:space="preserve">Exercise 7 · multiple choice   </w:t>
      </w:r>
      <w:r>
        <w:rPr>
          <w:b/>
          <w:bCs/>
          <w:sz w:val="19"/>
          <w:szCs w:val="19"/>
        </w:rPr>
        <w:t xml:space="preserve">Ring one letter for each question.</w:t>
      </w:r>
    </w:p>
    <w:p>
      <w:pPr>
        <w:spacing w:before="55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32.  </w:t>
      </w:r>
      <w:r>
        <w:rPr>
          <w:sz w:val="19"/>
          <w:szCs w:val="19"/>
        </w:rPr>
        <w:t xml:space="preserve">Sales are $500,000, variable costs $300,000 and fixed costs $120,000. What is the contribution margin ratio?</w:t>
      </w:r>
    </w:p>
    <w:tbl>
      <w:tblPr>
        <w:tblW w:type="pct" w:w="100%"/>
        <w:tblInd w:type="dxa" w:w="300"/>
      </w:tblPr>
      <w:tblGrid>
        <w:gridCol w:w="50"/>
        <w:gridCol w:w="50"/>
      </w:tblGrid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(A) </w:t>
            </w:r>
            <w:r>
              <w:rPr>
                <w:sz w:val="18"/>
                <w:szCs w:val="18"/>
              </w:rPr>
              <w:t xml:space="preserve">60%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(B) </w:t>
            </w:r>
            <w:r>
              <w:rPr>
                <w:sz w:val="18"/>
                <w:szCs w:val="18"/>
              </w:rPr>
              <w:t xml:space="preserve">16%</w:t>
            </w:r>
          </w:p>
        </w:tc>
      </w:tr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(C) </w:t>
            </w:r>
            <w:r>
              <w:rPr>
                <w:sz w:val="18"/>
                <w:szCs w:val="18"/>
              </w:rPr>
              <w:t xml:space="preserve">40%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(D) </w:t>
            </w:r>
            <w:r>
              <w:rPr>
                <w:sz w:val="18"/>
                <w:szCs w:val="18"/>
              </w:rPr>
              <w:t xml:space="preserve">24%</w:t>
            </w:r>
          </w:p>
        </w:tc>
      </w:tr>
    </w:tbl>
    <w:p>
      <w:pPr>
        <w:spacing w:before="55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33.  </w:t>
      </w:r>
      <w:r>
        <w:rPr>
          <w:sz w:val="19"/>
          <w:szCs w:val="19"/>
        </w:rPr>
        <w:t xml:space="preserve">Which is a limitation of variable costing?</w:t>
      </w:r>
    </w:p>
    <w:tbl>
      <w:tblPr>
        <w:tblW w:type="pct" w:w="100%"/>
        <w:tblInd w:type="dxa" w:w="300"/>
      </w:tblPr>
      <w:tblGrid>
        <w:gridCol w:w="50"/>
        <w:gridCol w:w="50"/>
      </w:tblGrid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(A) </w:t>
            </w:r>
            <w:r>
              <w:rPr>
                <w:sz w:val="18"/>
                <w:szCs w:val="18"/>
              </w:rPr>
              <w:t xml:space="preserve">It lets managers raise income by overproducing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(B) </w:t>
            </w:r>
            <w:r>
              <w:rPr>
                <w:sz w:val="18"/>
                <w:szCs w:val="18"/>
              </w:rPr>
              <w:t xml:space="preserve">It is not allowed for external financial reporting</w:t>
            </w:r>
          </w:p>
        </w:tc>
      </w:tr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(C) </w:t>
            </w:r>
            <w:r>
              <w:rPr>
                <w:sz w:val="18"/>
                <w:szCs w:val="18"/>
              </w:rPr>
              <w:t xml:space="preserve">It hides the contribution margin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(D) </w:t>
            </w:r>
            <w:r>
              <w:rPr>
                <w:sz w:val="18"/>
                <w:szCs w:val="18"/>
              </w:rPr>
              <w:t xml:space="preserve">It puts fixed overhead in inventory</w:t>
            </w:r>
          </w:p>
        </w:tc>
      </w:tr>
    </w:tbl>
    <w:p>
      <w:pPr>
        <w:spacing w:before="55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34.  </w:t>
      </w:r>
      <w:r>
        <w:rPr>
          <w:sz w:val="19"/>
          <w:szCs w:val="19"/>
        </w:rPr>
        <w:t xml:space="preserve">A manager is paid a bonus on absorption-costing income. What might the manager do to raise income without raising sales?</w:t>
      </w:r>
    </w:p>
    <w:tbl>
      <w:tblPr>
        <w:tblW w:type="pct" w:w="100%"/>
        <w:tblInd w:type="dxa" w:w="300"/>
      </w:tblPr>
      <w:tblGrid>
        <w:gridCol w:w="50"/>
        <w:gridCol w:w="50"/>
      </w:tblGrid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(A) </w:t>
            </w:r>
            <w:r>
              <w:rPr>
                <w:sz w:val="18"/>
                <w:szCs w:val="18"/>
              </w:rPr>
              <w:t xml:space="preserve">Produce more units than can be sold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(B) </w:t>
            </w:r>
            <w:r>
              <w:rPr>
                <w:sz w:val="18"/>
                <w:szCs w:val="18"/>
              </w:rPr>
              <w:t xml:space="preserve">Cut production below sales</w:t>
            </w:r>
          </w:p>
        </w:tc>
      </w:tr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(C) </w:t>
            </w:r>
            <w:r>
              <w:rPr>
                <w:sz w:val="18"/>
                <w:szCs w:val="18"/>
              </w:rPr>
              <w:t xml:space="preserve">Switch to variable costing in the published statements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(D) </w:t>
            </w:r>
            <w:r>
              <w:rPr>
                <w:sz w:val="18"/>
                <w:szCs w:val="18"/>
              </w:rPr>
              <w:t xml:space="preserve">Increase variable selling costs</w:t>
            </w:r>
          </w:p>
        </w:tc>
      </w:tr>
    </w:tbl>
    <w:p>
      <w:pPr>
        <w:spacing w:before="55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35.  </w:t>
      </w:r>
      <w:r>
        <w:rPr>
          <w:sz w:val="19"/>
          <w:szCs w:val="19"/>
        </w:rPr>
        <w:t xml:space="preserve">Which method is more useful for cost-volume-profit analysis?</w:t>
      </w:r>
    </w:p>
    <w:tbl>
      <w:tblPr>
        <w:tblW w:type="pct" w:w="100%"/>
        <w:tblInd w:type="dxa" w:w="300"/>
      </w:tblPr>
      <w:tblGrid>
        <w:gridCol w:w="50"/>
        <w:gridCol w:w="50"/>
      </w:tblGrid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(A) </w:t>
            </w:r>
            <w:r>
              <w:rPr>
                <w:sz w:val="18"/>
                <w:szCs w:val="18"/>
              </w:rPr>
              <w:t xml:space="preserve">Absorption costing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(B) </w:t>
            </w:r>
            <w:r>
              <w:rPr>
                <w:sz w:val="18"/>
                <w:szCs w:val="18"/>
              </w:rPr>
              <w:t xml:space="preserve">Neither</w:t>
            </w:r>
          </w:p>
        </w:tc>
      </w:tr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(C) </w:t>
            </w:r>
            <w:r>
              <w:rPr>
                <w:sz w:val="18"/>
                <w:szCs w:val="18"/>
              </w:rPr>
              <w:t xml:space="preserve">Both are equally useful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(D) </w:t>
            </w:r>
            <w:r>
              <w:rPr>
                <w:sz w:val="18"/>
                <w:szCs w:val="18"/>
              </w:rPr>
              <w:t xml:space="preserve">Variable costing</w:t>
            </w:r>
          </w:p>
        </w:tc>
      </w:tr>
    </w:tbl>
    <w:p>
      <w:pPr>
        <w:spacing w:before="55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36.  </w:t>
      </w:r>
      <w:r>
        <w:rPr>
          <w:sz w:val="19"/>
          <w:szCs w:val="19"/>
        </w:rPr>
        <w:t xml:space="preserve">Fixed manufacturing overhead is $1,200,000. Practical capacity is 400,000 units and normal capacity 300,000 units. What is the fixed rate at practical capacity?</w:t>
      </w:r>
    </w:p>
    <w:tbl>
      <w:tblPr>
        <w:tblW w:type="pct" w:w="100%"/>
        <w:tblInd w:type="dxa" w:w="300"/>
      </w:tblPr>
      <w:tblGrid>
        <w:gridCol w:w="50"/>
        <w:gridCol w:w="50"/>
      </w:tblGrid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(A) </w:t>
            </w:r>
            <w:r>
              <w:rPr>
                <w:sz w:val="18"/>
                <w:szCs w:val="18"/>
              </w:rPr>
              <w:t xml:space="preserve">$0.25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(B) </w:t>
            </w:r>
            <w:r>
              <w:rPr>
                <w:sz w:val="18"/>
                <w:szCs w:val="18"/>
              </w:rPr>
              <w:t xml:space="preserve">$1.20</w:t>
            </w:r>
          </w:p>
        </w:tc>
      </w:tr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(C) </w:t>
            </w:r>
            <w:r>
              <w:rPr>
                <w:sz w:val="18"/>
                <w:szCs w:val="18"/>
              </w:rPr>
              <w:t xml:space="preserve">$3.00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(D) </w:t>
            </w:r>
            <w:r>
              <w:rPr>
                <w:sz w:val="18"/>
                <w:szCs w:val="18"/>
              </w:rPr>
              <w:t xml:space="preserve">$4.00</w:t>
            </w:r>
          </w:p>
        </w:tc>
      </w:tr>
    </w:tbl>
    <w:p>
      <w:pPr>
        <w:spacing w:before="55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37.  </w:t>
      </w:r>
      <w:r>
        <w:rPr>
          <w:sz w:val="19"/>
          <w:szCs w:val="19"/>
        </w:rPr>
        <w:t xml:space="preserve">A company prices on full cost using master-budget volume. Demand falls. What is the risk?</w:t>
      </w:r>
    </w:p>
    <w:tbl>
      <w:tblPr>
        <w:tblW w:type="pct" w:w="100%"/>
        <w:tblInd w:type="dxa" w:w="300"/>
      </w:tblPr>
      <w:tblGrid>
        <w:gridCol w:w="50"/>
        <w:gridCol w:w="50"/>
      </w:tblGrid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(A) </w:t>
            </w:r>
            <w:r>
              <w:rPr>
                <w:sz w:val="18"/>
                <w:szCs w:val="18"/>
              </w:rPr>
              <w:t xml:space="preserve">Lower unit cost and lower prices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(B) </w:t>
            </w:r>
            <w:r>
              <w:rPr>
                <w:sz w:val="18"/>
                <w:szCs w:val="18"/>
              </w:rPr>
              <w:t xml:space="preserve">A downward demand spiral: higher unit cost, higher price, lower demand</w:t>
            </w:r>
          </w:p>
        </w:tc>
      </w:tr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(C) </w:t>
            </w:r>
            <w:r>
              <w:rPr>
                <w:sz w:val="18"/>
                <w:szCs w:val="18"/>
              </w:rPr>
              <w:t xml:space="preserve">No effect on unit cost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(D) </w:t>
            </w:r>
            <w:r>
              <w:rPr>
                <w:sz w:val="18"/>
                <w:szCs w:val="18"/>
              </w:rPr>
              <w:t xml:space="preserve">Fixed overhead disappears</w:t>
            </w:r>
          </w:p>
        </w:tc>
      </w:tr>
    </w:tbl>
    <w:p/>
    <w:p>
      <w:pPr>
        <w:spacing w:before="120" w:after="55"/>
        <w:pBdr>
          <w:top w:val="single" w:sz="10" w:space="6" w:color="353A7C"/>
        </w:pBdr>
      </w:pPr>
      <w:r>
        <w:rPr>
          <w:b/>
          <w:bCs/>
          <w:color w:val="353A7C"/>
          <w:sz w:val="21"/>
          <w:szCs w:val="21"/>
        </w:rPr>
        <w:t xml:space="preserve">Exercise 8 · multiple choice   </w:t>
      </w:r>
      <w:r>
        <w:rPr>
          <w:b/>
          <w:bCs/>
          <w:sz w:val="19"/>
          <w:szCs w:val="19"/>
        </w:rPr>
        <w:t xml:space="preserve">Ring one letter for each question.</w:t>
      </w:r>
    </w:p>
    <w:p>
      <w:pPr>
        <w:spacing w:before="55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38.  </w:t>
      </w:r>
      <w:r>
        <w:rPr>
          <w:sz w:val="19"/>
          <w:szCs w:val="19"/>
        </w:rPr>
        <w:t xml:space="preserve">Practical capacity is 50,000 machine hours and actual use is 42,000. Fixed overhead is $10 per hour at practical capacity. What is the cost of unused capacity?</w:t>
      </w:r>
    </w:p>
    <w:tbl>
      <w:tblPr>
        <w:tblW w:type="pct" w:w="100%"/>
        <w:tblInd w:type="dxa" w:w="300"/>
      </w:tblPr>
      <w:tblGrid>
        <w:gridCol w:w="50"/>
        <w:gridCol w:w="50"/>
      </w:tblGrid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(A) </w:t>
            </w:r>
            <w:r>
              <w:rPr>
                <w:sz w:val="18"/>
                <w:szCs w:val="18"/>
              </w:rPr>
              <w:t xml:space="preserve">$8,000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(B) </w:t>
            </w:r>
            <w:r>
              <w:rPr>
                <w:sz w:val="18"/>
                <w:szCs w:val="18"/>
              </w:rPr>
              <w:t xml:space="preserve">$80,000</w:t>
            </w:r>
          </w:p>
        </w:tc>
      </w:tr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(C) </w:t>
            </w:r>
            <w:r>
              <w:rPr>
                <w:sz w:val="18"/>
                <w:szCs w:val="18"/>
              </w:rPr>
              <w:t xml:space="preserve">$420,000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(D) </w:t>
            </w:r>
            <w:r>
              <w:rPr>
                <w:sz w:val="18"/>
                <w:szCs w:val="18"/>
              </w:rPr>
              <w:t xml:space="preserve">$500,000</w:t>
            </w:r>
          </w:p>
        </w:tc>
      </w:tr>
    </w:tbl>
    <w:p>
      <w:pPr>
        <w:spacing w:before="55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39.  </w:t>
      </w:r>
      <w:r>
        <w:rPr>
          <w:sz w:val="19"/>
          <w:szCs w:val="19"/>
        </w:rPr>
        <w:t xml:space="preserve">Why do managers want to see the cost of unused capacity?</w:t>
      </w:r>
    </w:p>
    <w:tbl>
      <w:tblPr>
        <w:tblW w:type="pct" w:w="100%"/>
        <w:tblInd w:type="dxa" w:w="300"/>
      </w:tblPr>
      <w:tblGrid>
        <w:gridCol w:w="50"/>
        <w:gridCol w:w="50"/>
      </w:tblGrid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(A) </w:t>
            </w:r>
            <w:r>
              <w:rPr>
                <w:sz w:val="18"/>
                <w:szCs w:val="18"/>
              </w:rPr>
              <w:t xml:space="preserve">To decide whether to find more business or reduce capacity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(B) </w:t>
            </w:r>
            <w:r>
              <w:rPr>
                <w:sz w:val="18"/>
                <w:szCs w:val="18"/>
              </w:rPr>
              <w:t xml:space="preserve">To add it to product prices</w:t>
            </w:r>
          </w:p>
        </w:tc>
      </w:tr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(C) </w:t>
            </w:r>
            <w:r>
              <w:rPr>
                <w:sz w:val="18"/>
                <w:szCs w:val="18"/>
              </w:rPr>
              <w:t xml:space="preserve">To remove it from the financial statements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(D) </w:t>
            </w:r>
            <w:r>
              <w:rPr>
                <w:sz w:val="18"/>
                <w:szCs w:val="18"/>
              </w:rPr>
              <w:t xml:space="preserve">Because GAAP requires a separate line</w:t>
            </w:r>
          </w:p>
        </w:tc>
      </w:tr>
    </w:tbl>
    <w:p>
      <w:pPr>
        <w:spacing w:before="55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40.  </w:t>
      </w:r>
      <w:r>
        <w:rPr>
          <w:sz w:val="19"/>
          <w:szCs w:val="19"/>
        </w:rPr>
        <w:t xml:space="preserve">Under both absorption and variable costing, variable selling costs are:</w:t>
      </w:r>
    </w:p>
    <w:tbl>
      <w:tblPr>
        <w:tblW w:type="pct" w:w="100%"/>
        <w:tblInd w:type="dxa" w:w="300"/>
      </w:tblPr>
      <w:tblGrid>
        <w:gridCol w:w="50"/>
        <w:gridCol w:w="50"/>
      </w:tblGrid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(A) </w:t>
            </w:r>
            <w:r>
              <w:rPr>
                <w:sz w:val="18"/>
                <w:szCs w:val="18"/>
              </w:rPr>
              <w:t xml:space="preserve">product costs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(B) </w:t>
            </w:r>
            <w:r>
              <w:rPr>
                <w:sz w:val="18"/>
                <w:szCs w:val="18"/>
              </w:rPr>
              <w:t xml:space="preserve">period costs</w:t>
            </w:r>
          </w:p>
        </w:tc>
      </w:tr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(C) </w:t>
            </w:r>
            <w:r>
              <w:rPr>
                <w:sz w:val="18"/>
                <w:szCs w:val="18"/>
              </w:rPr>
              <w:t xml:space="preserve">fixed overhead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(D) </w:t>
            </w:r>
            <w:r>
              <w:rPr>
                <w:sz w:val="18"/>
                <w:szCs w:val="18"/>
              </w:rPr>
              <w:t xml:space="preserve">part of inventory</w:t>
            </w:r>
          </w:p>
        </w:tc>
      </w:tr>
    </w:tbl>
    <w:p>
      <w:pPr>
        <w:spacing w:before="55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41.  </w:t>
      </w:r>
      <w:r>
        <w:rPr>
          <w:sz w:val="19"/>
          <w:szCs w:val="19"/>
        </w:rPr>
        <w:t xml:space="preserve">A company raises its denominator from normal to practical capacity for internal reports. Unit product cost and the reported volume variance will:</w:t>
      </w:r>
    </w:p>
    <w:tbl>
      <w:tblPr>
        <w:tblW w:type="pct" w:w="100%"/>
        <w:tblInd w:type="dxa" w:w="300"/>
      </w:tblPr>
      <w:tblGrid>
        <w:gridCol w:w="50"/>
        <w:gridCol w:w="50"/>
      </w:tblGrid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(A) </w:t>
            </w:r>
            <w:r>
              <w:rPr>
                <w:sz w:val="18"/>
                <w:szCs w:val="18"/>
              </w:rPr>
              <w:t xml:space="preserve">fall; rise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(B) </w:t>
            </w:r>
            <w:r>
              <w:rPr>
                <w:sz w:val="18"/>
                <w:szCs w:val="18"/>
              </w:rPr>
              <w:t xml:space="preserve">rise; fall</w:t>
            </w:r>
          </w:p>
        </w:tc>
      </w:tr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(C) </w:t>
            </w:r>
            <w:r>
              <w:rPr>
                <w:sz w:val="18"/>
                <w:szCs w:val="18"/>
              </w:rPr>
              <w:t xml:space="preserve">rise; rise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(D) </w:t>
            </w:r>
            <w:r>
              <w:rPr>
                <w:sz w:val="18"/>
                <w:szCs w:val="18"/>
              </w:rPr>
              <w:t xml:space="preserve">stay the same; stay the same</w:t>
            </w:r>
          </w:p>
        </w:tc>
      </w:tr>
    </w:tbl>
    <w:p/>
    <w:p>
      <w:pPr>
        <w:spacing w:before="150" w:after="60"/>
        <w:ind w:left="130" w:right="130"/>
        <w:shd w:fill="23265A" w:val="clear"/>
      </w:pPr>
      <w:r>
        <w:rPr>
          <w:b/>
          <w:bCs/>
          <w:color w:val="FFFFFF"/>
          <w:sz w:val="15"/>
          <w:szCs w:val="15"/>
        </w:rPr>
        <w:t xml:space="preserve">CHECK   </w:t>
      </w:r>
      <w:r>
        <w:rPr>
          <w:b/>
          <w:bCs/>
          <w:color w:val="FFFFFF"/>
          <w:sz w:val="17"/>
          <w:szCs w:val="17"/>
        </w:rPr>
        <w:t xml:space="preserve">Page 4</w:t>
      </w:r>
      <w:r>
        <w:rPr>
          <w:color w:val="FFFFFF"/>
          <w:sz w:val="15"/>
          <w:szCs w:val="15"/>
        </w:rPr>
        <w:t xml:space="preserve">   ·   items 32 to 41   ·   </w:t>
      </w:r>
      <w:r>
        <w:rPr>
          <w:color w:val="FFFFFF"/>
          <w:sz w:val="15"/>
          <w:szCs w:val="15"/>
        </w:rPr>
        <w:t xml:space="preserve">fewer than 7 right: </w:t>
      </w:r>
      <w:r>
        <w:rPr>
          <w:b/>
          <w:bCs/>
          <w:color w:val="FFFFFF"/>
          <w:sz w:val="15"/>
          <w:szCs w:val="15"/>
        </w:rPr>
        <w:t xml:space="preserve">redo page 4 before you leave the handout</w:t>
      </w:r>
    </w:p>
    <w:p>
      <w:pPr>
        <w:sectPr>
          <w:headerReference w:type="default" r:id="rIdHdr3"/>
          <w:pgSz w:w="11906" w:h="16838" w:orient="portrait"/>
          <w:pgMar w:top="1180" w:right="1000" w:bottom="900" w:left="1000" w:header="708" w:footer="708" w:gutter="0"/>
          <w:docGrid w:linePitch="360"/>
          <w:pgNumType w:start="1"/>
        </w:sectPr>
      </w:pPr>
    </w:p>
    <w:sectPr>
      <w:headerReference w:type="default" r:id="rIdHdr3"/>
      <w:pgSz w:w="11906" w:h="16838" w:orient="portrait"/>
      <w:pgMar w:top="1180" w:right="1000" w:bottom="900" w:left="1000" w:header="708" w:footer="708" w:gutter="0"/>
      <w:docGrid w:linePitch="360"/>
      <w:pgNumTyp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openxmlformats.org/wordprocessingml/2006/main" xmlns:w15="http://schemas.openxmlformats.org/wordprocessingml/2006/main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tbl>
    <w:tblPr>
      <w:tblW w:type="pct" w:w="100%"/>
      <w:tblBorders>
        <w:bottom w:val="single" w:color="DFE3EE" w:sz="8"/>
      </w:tblBorders>
    </w:tblPr>
    <w:tblGrid>
      <w:gridCol w:w="7400"/>
      <w:gridCol w:w="2000"/>
    </w:tblGrid>
    <w:tr>
      <w:tc>
        <w:tcPr>
          <w:tcW w:type="pct" w:w="3600"/>
          <w:tcMar>
            <w:top w:type="dxa" w:w="-30"/>
            <w:left w:type="dxa" w:w="30"/>
            <w:bottom w:type="dxa" w:w="-30"/>
            <w:right w:type="dxa" w:w="30"/>
          </w:tcMar>
        </w:tcPr>
        <w:p>
          <w:r>
            <w:rPr>
              <w:b/>
              <w:bCs/>
              <w:color w:val="23265A"/>
              <w:sz w:val="16"/>
              <w:szCs w:val="16"/>
            </w:rPr>
            <w:t xml:space="preserve">Handout 9.1 · Two income statements for the same year</w:t>
          </w:r>
        </w:p>
      </w:tc>
      <w:tc>
        <w:tcPr>
          <w:tcW w:type="pct" w:w="1400"/>
          <w:tcMar>
            <w:top w:type="dxa" w:w="-30"/>
            <w:left w:type="dxa" w:w="30"/>
            <w:bottom w:type="dxa" w:w="-30"/>
            <w:right w:type="dxa" w:w="30"/>
          </w:tcMar>
        </w:tcPr>
        <w:p>
          <w:pPr>
            <w:jc w:val="right"/>
          </w:pPr>
          <w:r>
            <w:rPr>
              <w:color w:val="6B7280"/>
              <w:sz w:val="16"/>
              <w:szCs w:val="16"/>
            </w:rPr>
            <w:t xml:space="preserve">Handout 9.1 — Page </w:t>
          </w:r>
          <w:fldSimple w:instr=" PAGE ">
            <w:r>
              <w:rPr>
                <w:b/>
                <w:bCs/>
                <w:color w:val="23265A"/>
                <w:sz w:val="16"/>
                <w:szCs w:val="16"/>
              </w:rPr>
              <w:t xml:space="preserve">1</w:t>
            </w:r>
          </w:fldSimple>
          <w:r>
            <w:rPr>
              <w:color w:val="6B7280"/>
              <w:sz w:val="16"/>
              <w:szCs w:val="16"/>
            </w:rPr>
            <w:t xml:space="preserve"> of 2</w:t>
          </w:r>
        </w:p>
      </w:tc>
    </w:tr>
  </w:tbl>
  <w:p>
    <w:pPr>
      <w:spacing w:after="0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openxmlformats.org/wordprocessingml/2006/main" xmlns:w15="http://schemas.openxmlformats.org/wordprocessingml/2006/main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tbl>
    <w:tblPr>
      <w:tblW w:type="pct" w:w="100%"/>
      <w:tblBorders>
        <w:bottom w:val="single" w:color="DFE3EE" w:sz="8"/>
      </w:tblBorders>
    </w:tblPr>
    <w:tblGrid>
      <w:gridCol w:w="7400"/>
      <w:gridCol w:w="2000"/>
    </w:tblGrid>
    <w:tr>
      <w:tc>
        <w:tcPr>
          <w:tcW w:type="pct" w:w="3600"/>
          <w:tcMar>
            <w:top w:type="dxa" w:w="-30"/>
            <w:left w:type="dxa" w:w="30"/>
            <w:bottom w:type="dxa" w:w="-30"/>
            <w:right w:type="dxa" w:w="30"/>
          </w:tcMar>
        </w:tcPr>
        <w:p>
          <w:r>
            <w:rPr>
              <w:b/>
              <w:bCs/>
              <w:color w:val="23265A"/>
              <w:sz w:val="16"/>
              <w:szCs w:val="16"/>
            </w:rPr>
            <w:t xml:space="preserve">Handout 9.2 · Practical capacity and capacity management</w:t>
          </w:r>
        </w:p>
      </w:tc>
      <w:tc>
        <w:tcPr>
          <w:tcW w:type="pct" w:w="1400"/>
          <w:tcMar>
            <w:top w:type="dxa" w:w="-30"/>
            <w:left w:type="dxa" w:w="30"/>
            <w:bottom w:type="dxa" w:w="-30"/>
            <w:right w:type="dxa" w:w="30"/>
          </w:tcMar>
        </w:tcPr>
        <w:p>
          <w:pPr>
            <w:jc w:val="right"/>
          </w:pPr>
          <w:r>
            <w:rPr>
              <w:color w:val="6B7280"/>
              <w:sz w:val="16"/>
              <w:szCs w:val="16"/>
            </w:rPr>
            <w:t xml:space="preserve">Handout 9.2 — Page </w:t>
          </w:r>
          <w:fldSimple w:instr=" PAGE ">
            <w:r>
              <w:rPr>
                <w:b/>
                <w:bCs/>
                <w:color w:val="23265A"/>
                <w:sz w:val="16"/>
                <w:szCs w:val="16"/>
              </w:rPr>
              <w:t xml:space="preserve">1</w:t>
            </w:r>
          </w:fldSimple>
          <w:r>
            <w:rPr>
              <w:color w:val="6B7280"/>
              <w:sz w:val="16"/>
              <w:szCs w:val="16"/>
            </w:rPr>
            <w:t xml:space="preserve"> of 3</w:t>
          </w:r>
        </w:p>
      </w:tc>
    </w:tr>
  </w:tbl>
  <w:p>
    <w:pPr>
      <w:spacing w:after="0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openxmlformats.org/wordprocessingml/2006/main" xmlns:w15="http://schemas.openxmlformats.org/wordprocessingml/2006/main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tbl>
    <w:tblPr>
      <w:tblW w:type="pct" w:w="100%"/>
      <w:tblBorders>
        <w:bottom w:val="single" w:color="DFE3EE" w:sz="8"/>
      </w:tblBorders>
    </w:tblPr>
    <w:tblGrid>
      <w:gridCol w:w="7400"/>
      <w:gridCol w:w="2000"/>
    </w:tblGrid>
    <w:tr>
      <w:tc>
        <w:tcPr>
          <w:tcW w:type="pct" w:w="3600"/>
          <w:tcMar>
            <w:top w:type="dxa" w:w="-30"/>
            <w:left w:type="dxa" w:w="30"/>
            <w:bottom w:type="dxa" w:w="-30"/>
            <w:right w:type="dxa" w:w="30"/>
          </w:tcMar>
        </w:tcPr>
        <w:p>
          <w:r>
            <w:rPr>
              <w:b/>
              <w:bCs/>
              <w:color w:val="23265A"/>
              <w:sz w:val="16"/>
              <w:szCs w:val="16"/>
            </w:rPr>
            <w:t xml:space="preserve">Handout 9.3 · Variable and Absorption Costing; Capacity: worked example</w:t>
          </w:r>
        </w:p>
      </w:tc>
      <w:tc>
        <w:tcPr>
          <w:tcW w:type="pct" w:w="1400"/>
          <w:tcMar>
            <w:top w:type="dxa" w:w="-30"/>
            <w:left w:type="dxa" w:w="30"/>
            <w:bottom w:type="dxa" w:w="-30"/>
            <w:right w:type="dxa" w:w="30"/>
          </w:tcMar>
        </w:tcPr>
        <w:p>
          <w:pPr>
            <w:jc w:val="right"/>
          </w:pPr>
          <w:r>
            <w:rPr>
              <w:color w:val="6B7280"/>
              <w:sz w:val="16"/>
              <w:szCs w:val="16"/>
            </w:rPr>
            <w:t xml:space="preserve">Handout 9.3 — Page </w:t>
          </w:r>
          <w:fldSimple w:instr=" PAGE ">
            <w:r>
              <w:rPr>
                <w:b/>
                <w:bCs/>
                <w:color w:val="23265A"/>
                <w:sz w:val="16"/>
                <w:szCs w:val="16"/>
              </w:rPr>
              <w:t xml:space="preserve">1</w:t>
            </w:r>
          </w:fldSimple>
          <w:r>
            <w:rPr>
              <w:color w:val="6B7280"/>
              <w:sz w:val="16"/>
              <w:szCs w:val="16"/>
            </w:rPr>
            <w:t xml:space="preserve"> of 4</w:t>
          </w:r>
        </w:p>
      </w:tc>
    </w:tr>
  </w:tbl>
  <w:p>
    <w:pPr>
      <w:spacing w:after="0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openxmlformats.org/wordprocessingml/2006/main" xmlns:w15="http://schemas.openxmlformats.org/wordprocessingml/2006/main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defaultTabStop w:val="720"/>
  <w:compat>
    <w:compatSetting w:name="compatibilityMode" w:uri="http://schemas.microsoft.com/office/word" w:val="15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 standalone="yes"?><Relationships xmlns="http://schemas.openxmlformats.org/package/2006/relationships"><Relationship Id="rIdstyles" Target="styles.xml" Type="http://schemas.openxmlformats.org/officeDocument/2006/relationships/styles"/><Relationship Id="rIdnumbering" Target="numbering.xml" Type="http://schemas.openxmlformats.org/officeDocument/2006/relationships/numbering"/><Relationship Id="rIdfontTable" Target="fontTable.xml" Type="http://schemas.openxmlformats.org/officeDocument/2006/relationships/fontTable"/><Relationship Id="rIdsettings" Target="settings.xml" Type="http://schemas.openxmlformats.org/officeDocument/2006/relationships/settings"/><Relationship Id="rIdHdr1" Target="header1.xml" Type="http://schemas.openxmlformats.org/officeDocument/2006/relationships/header"/><Relationship Id="rIdHdr2" Target="header2.xml" Type="http://schemas.openxmlformats.org/officeDocument/2006/relationships/header"/><Relationship Id="rIdHdr3" Target="header3.xml" Type="http://schemas.openxmlformats.org/officeDocument/2006/relationships/header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CMA Part 1 · Book 2 · Cost Management · Chapter 9</dc:title>
  <dc:subject>Variable and Absorption Costing; Capacity</dc:subject>
  <cp:category>Student Book</cp:category>
</cp:coreProperties>
</file>