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officedocument.wordprocessingml.numbering+xml" PartName="/word/numbering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package.core-properties+xml" PartName="/docProps/core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header+xml" PartName="/word/header3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openxmlformats.org/wordprocessingml/2006/main" xmlns:w15="http://schemas.openxmlformats.org/wordprocessingml/2006/main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>
      <w:pPr>
        <w:spacing w:after="20" w:before="60"/>
      </w:pPr>
      <w:r>
        <w:rPr>
          <w:b/>
          <w:bCs/>
          <w:color w:val="353A7C"/>
          <w:sz w:val="40"/>
          <w:szCs w:val="40"/>
        </w:rPr>
        <w:t xml:space="preserve">Handout 14.1 · Answer Key</w:t>
      </w:r>
    </w:p>
    <w:p>
      <w:pPr>
        <w:spacing w:after="130"/>
      </w:pPr>
      <w:r>
        <w:rPr>
          <w:color w:val="6B7280"/>
          <w:sz w:val="20"/>
          <w:szCs w:val="20"/>
        </w:rPr>
        <w:t xml:space="preserve">Life-cycle costing · sections 14.1, 14.6, 14.7 · 55 items · keep this sheet separate from the handout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5"/>
        <w:gridCol w:w="28"/>
        <w:gridCol w:w="5"/>
        <w:gridCol w:w="28"/>
        <w:gridCol w:w="5"/>
        <w:gridCol w:w="29"/>
      </w:tblGrid>
      <w:tr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#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Answer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#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Answer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#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Answer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20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M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39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C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G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D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40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C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22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D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D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23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D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42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H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5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D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24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(B)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43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A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6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H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25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(D)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44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B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7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A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26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(D)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45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schedule deliveries to match filling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8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B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27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(A)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46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45,000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9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2,082,000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28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(C)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47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check labels before they are applied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10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65.3%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29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(A)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48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35,000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856,000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30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True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49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140,000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12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26.9%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False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50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90,000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13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3,188,000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32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True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51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(D)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14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100.0%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33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False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52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(A)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15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3,570,000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34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False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53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(C)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16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382,000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35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False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54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(B)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17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U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36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True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55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(B)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18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U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37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/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/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19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M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38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G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/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/>
            </w:r>
          </w:p>
        </w:tc>
      </w:tr>
    </w:tbl>
    <w:p/>
    <w:p>
      <w:pPr>
        <w:spacing w:before="110" w:after="50"/>
        <w:pBdr>
          <w:top w:val="single" w:sz="8" w:space="5" w:color="1F7A6A"/>
        </w:pBdr>
      </w:pPr>
      <w:r>
        <w:rPr>
          <w:b/>
          <w:bCs/>
          <w:color w:val="1F7A6A"/>
          <w:sz w:val="17"/>
          <w:szCs w:val="17"/>
        </w:rPr>
        <w:t xml:space="preserve">Why, where it is worth saying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24   </w:t>
      </w:r>
      <w:r>
        <w:rPr>
          <w:sz w:val="15"/>
          <w:szCs w:val="15"/>
        </w:rPr>
        <w:t xml:space="preserve">Upstream costs come before production.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25   </w:t>
      </w:r>
      <w:r>
        <w:rPr>
          <w:sz w:val="15"/>
          <w:szCs w:val="15"/>
        </w:rPr>
        <w:t xml:space="preserve">$3,188,000  Add all three stages.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26   </w:t>
      </w:r>
      <w:r>
        <w:rPr>
          <w:sz w:val="15"/>
          <w:szCs w:val="15"/>
        </w:rPr>
        <w:t xml:space="preserve">Design decisions lock in future costs.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27   </w:t>
      </w:r>
      <w:r>
        <w:rPr>
          <w:sz w:val="15"/>
          <w:szCs w:val="15"/>
        </w:rPr>
        <w:t xml:space="preserve">Once the design is fixed, most costs are locked in.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28   </w:t>
      </w:r>
      <w:r>
        <w:rPr>
          <w:sz w:val="15"/>
          <w:szCs w:val="15"/>
        </w:rPr>
        <w:t xml:space="preserve">Outbound logistics moves the product to customers.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29   </w:t>
      </w:r>
      <w:r>
        <w:rPr>
          <w:sz w:val="15"/>
          <w:szCs w:val="15"/>
        </w:rPr>
        <w:t xml:space="preserve">Buying inputs is procurement; receiving and storing them is inbound logistics.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31   </w:t>
      </w:r>
      <w:r>
        <w:rPr>
          <w:sz w:val="15"/>
          <w:szCs w:val="15"/>
        </w:rPr>
        <w:t xml:space="preserve">That is cost leadership.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33   </w:t>
      </w:r>
      <w:r>
        <w:rPr>
          <w:sz w:val="15"/>
          <w:szCs w:val="15"/>
        </w:rPr>
        <w:t xml:space="preserve">Volume is not the test.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34   </w:t>
      </w:r>
      <w:r>
        <w:rPr>
          <w:sz w:val="15"/>
          <w:szCs w:val="15"/>
        </w:rPr>
        <w:t xml:space="preserve">It is not a support activity.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35   </w:t>
      </w:r>
      <w:r>
        <w:rPr>
          <w:sz w:val="15"/>
          <w:szCs w:val="15"/>
        </w:rPr>
        <w:t xml:space="preserve">Orontes spends more on marketing on purpose.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51   </w:t>
      </w:r>
      <w:r>
        <w:rPr>
          <w:sz w:val="15"/>
          <w:szCs w:val="15"/>
        </w:rPr>
        <w:t xml:space="preserve">Costs and drivers can only be assigned once the activities are known.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52   </w:t>
      </w:r>
      <w:r>
        <w:rPr>
          <w:sz w:val="15"/>
          <w:szCs w:val="15"/>
        </w:rPr>
        <w:t xml:space="preserve">Cost leadership means doing activities more cheaply than rivals.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53   </w:t>
      </w:r>
      <w:r>
        <w:rPr>
          <w:sz w:val="15"/>
          <w:szCs w:val="15"/>
        </w:rPr>
        <w:t xml:space="preserve">Differentiation must earn more than it costs.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54   </w:t>
      </w:r>
      <w:r>
        <w:rPr>
          <w:sz w:val="15"/>
          <w:szCs w:val="15"/>
        </w:rPr>
        <w:t xml:space="preserve">Customers would not pay for the move.</w:t>
      </w:r>
    </w:p>
    <w:p/>
    <w:p>
      <w:pPr>
        <w:sectPr>
          <w:headerReference w:type="default" r:id="rIdHdr1"/>
          <w:pgSz w:w="11906" w:h="16838" w:orient="portrait"/>
          <w:pgMar w:top="1180" w:right="1000" w:bottom="900" w:left="1000" w:header="708" w:footer="708" w:gutter="0"/>
          <w:docGrid w:linePitch="360"/>
          <w:pgNumType w:start="1"/>
        </w:sectPr>
      </w:pPr>
    </w:p>
    <w:p>
      <w:pPr>
        <w:spacing w:after="20" w:before="60"/>
      </w:pPr>
      <w:r>
        <w:rPr>
          <w:b/>
          <w:bCs/>
          <w:color w:val="353A7C"/>
          <w:sz w:val="40"/>
          <w:szCs w:val="40"/>
        </w:rPr>
        <w:t xml:space="preserve">Handout 14.2 · Answer Key</w:t>
      </w:r>
    </w:p>
    <w:p>
      <w:pPr>
        <w:spacing w:after="130"/>
      </w:pPr>
      <w:r>
        <w:rPr>
          <w:color w:val="6B7280"/>
          <w:sz w:val="20"/>
          <w:szCs w:val="20"/>
        </w:rPr>
        <w:t xml:space="preserve">Life-Cycle Costing and Value Chain Analysis: worked example · part 2 · section 14.7 · 25 items · keep this sheet separate from the handout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5"/>
        <w:gridCol w:w="28"/>
        <w:gridCol w:w="5"/>
        <w:gridCol w:w="28"/>
        <w:gridCol w:w="5"/>
        <w:gridCol w:w="29"/>
      </w:tblGrid>
      <w:tr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#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Answer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#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Answer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#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Answer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False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10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A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19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True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True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Upstream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20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True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True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12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Manufacturing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True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True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13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Manufacturing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22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True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5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True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14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Downstream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23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False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6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False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15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Downstream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24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True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7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True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16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Downstream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25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True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8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C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17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(B)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/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/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9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B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18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(A)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/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/>
            </w:r>
          </w:p>
        </w:tc>
      </w:tr>
    </w:tbl>
    <w:p/>
    <w:p>
      <w:pPr>
        <w:spacing w:before="110" w:after="50"/>
        <w:pBdr>
          <w:top w:val="single" w:sz="8" w:space="5" w:color="1F7A6A"/>
        </w:pBdr>
      </w:pPr>
      <w:r>
        <w:rPr>
          <w:b/>
          <w:bCs/>
          <w:color w:val="1F7A6A"/>
          <w:sz w:val="17"/>
          <w:szCs w:val="17"/>
        </w:rPr>
        <w:t xml:space="preserve">Why, where it is worth saying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1   </w:t>
      </w:r>
      <w:r>
        <w:rPr>
          <w:sz w:val="15"/>
          <w:szCs w:val="15"/>
        </w:rPr>
        <w:t xml:space="preserve">That is the risk of differentiation.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6   </w:t>
      </w:r>
      <w:r>
        <w:rPr>
          <w:sz w:val="15"/>
          <w:szCs w:val="15"/>
        </w:rPr>
        <w:t xml:space="preserve">Costs are committed, not incurred, at design.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17   </w:t>
      </w:r>
      <w:r>
        <w:rPr>
          <w:sz w:val="15"/>
          <w:szCs w:val="15"/>
        </w:rPr>
        <w:t xml:space="preserve">Price $16.00 − total cost $14.65.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18   </w:t>
      </w:r>
      <w:r>
        <w:rPr>
          <w:sz w:val="15"/>
          <w:szCs w:val="15"/>
        </w:rPr>
        <w:t xml:space="preserve">Moving, waiting and rework.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23   </w:t>
      </w:r>
      <w:r>
        <w:rPr>
          <w:sz w:val="15"/>
          <w:szCs w:val="15"/>
        </w:rPr>
        <w:t xml:space="preserve">That supports cost leadership.</w:t>
      </w:r>
    </w:p>
    <w:p/>
    <w:p>
      <w:pPr>
        <w:sectPr>
          <w:headerReference w:type="default" r:id="rIdHdr2"/>
          <w:pgSz w:w="11906" w:h="16838" w:orient="portrait"/>
          <w:pgMar w:top="1180" w:right="1000" w:bottom="900" w:left="1000" w:header="708" w:footer="708" w:gutter="0"/>
          <w:docGrid w:linePitch="360"/>
          <w:pgNumType w:start="1"/>
        </w:sectPr>
      </w:pPr>
    </w:p>
    <w:p>
      <w:pPr>
        <w:spacing w:after="20" w:before="60"/>
      </w:pPr>
      <w:r>
        <w:rPr>
          <w:b/>
          <w:bCs/>
          <w:color w:val="353A7C"/>
          <w:sz w:val="40"/>
          <w:szCs w:val="40"/>
        </w:rPr>
        <w:t xml:space="preserve">Handout 14.3 · Answer Key</w:t>
      </w:r>
    </w:p>
    <w:p>
      <w:pPr>
        <w:spacing w:after="130"/>
      </w:pPr>
      <w:r>
        <w:rPr>
          <w:color w:val="6B7280"/>
          <w:sz w:val="20"/>
          <w:szCs w:val="20"/>
        </w:rPr>
        <w:t xml:space="preserve">Life-Cycle Costing and Value Chain Analysis: the figures and the schedules · Life-Cycle Costing and Value Chain Analysis · 31 items · keep this sheet separate from the handout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5"/>
        <w:gridCol w:w="28"/>
        <w:gridCol w:w="5"/>
        <w:gridCol w:w="28"/>
        <w:gridCol w:w="5"/>
        <w:gridCol w:w="29"/>
      </w:tblGrid>
      <w:tr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#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Answer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#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Answer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#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Answer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12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support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23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(B)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G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13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(A)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24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(C)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C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14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(C)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25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(A)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15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(D)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26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(B)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5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D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16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(D)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27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(C)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6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H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17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(B)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28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(D)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7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A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18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(A)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29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(D)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8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B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19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C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30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(B)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9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3,780,000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20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B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(C)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10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480,000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A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/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/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(130,000)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22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(D)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/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/>
            </w:r>
          </w:p>
        </w:tc>
      </w:tr>
    </w:tbl>
    <w:p/>
    <w:p>
      <w:pPr>
        <w:spacing w:before="110" w:after="50"/>
        <w:pBdr>
          <w:top w:val="single" w:sz="8" w:space="5" w:color="1F7A6A"/>
        </w:pBdr>
      </w:pPr>
      <w:r>
        <w:rPr>
          <w:b/>
          <w:bCs/>
          <w:color w:val="1F7A6A"/>
          <w:sz w:val="17"/>
          <w:szCs w:val="17"/>
        </w:rPr>
        <w:t xml:space="preserve">Why, where it is worth saying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13   </w:t>
      </w:r>
      <w:r>
        <w:rPr>
          <w:sz w:val="15"/>
          <w:szCs w:val="15"/>
        </w:rPr>
        <w:t xml:space="preserve">Revenue minus all three stages.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14   </w:t>
      </w:r>
      <w:r>
        <w:rPr>
          <w:sz w:val="15"/>
          <w:szCs w:val="15"/>
        </w:rPr>
        <w:t xml:space="preserve">It looks at the whole life of the product.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15   </w:t>
      </w:r>
      <w:r>
        <w:rPr>
          <w:sz w:val="15"/>
          <w:szCs w:val="15"/>
        </w:rPr>
        <w:t xml:space="preserve">$20,000 + $5,000 + $60,000.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16   </w:t>
      </w:r>
      <w:r>
        <w:rPr>
          <w:sz w:val="15"/>
          <w:szCs w:val="15"/>
        </w:rPr>
        <w:t xml:space="preserve">Early years carry launch costs; profits come later.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17   </w:t>
      </w:r>
      <w:r>
        <w:rPr>
          <w:sz w:val="15"/>
          <w:szCs w:val="15"/>
        </w:rPr>
        <w:t xml:space="preserve">It looks at each activity and its cost and value.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18   </w:t>
      </w:r>
      <w:r>
        <w:rPr>
          <w:sz w:val="15"/>
          <w:szCs w:val="15"/>
        </w:rPr>
        <w:t xml:space="preserve">It supports every primary activity.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22   </w:t>
      </w:r>
      <w:r>
        <w:rPr>
          <w:sz w:val="15"/>
          <w:szCs w:val="15"/>
        </w:rPr>
        <w:t xml:space="preserve">Drivers explain why each activity costs what it does.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23   </w:t>
      </w:r>
      <w:r>
        <w:rPr>
          <w:sz w:val="15"/>
          <w:szCs w:val="15"/>
        </w:rPr>
        <w:t xml:space="preserve">It improves a link between two value chains.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24   </w:t>
      </w:r>
      <w:r>
        <w:rPr>
          <w:sz w:val="15"/>
          <w:szCs w:val="15"/>
        </w:rPr>
        <w:t xml:space="preserve">Customers pay more for a valued difference.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25   </w:t>
      </w:r>
      <w:r>
        <w:rPr>
          <w:sz w:val="15"/>
          <w:szCs w:val="15"/>
        </w:rPr>
        <w:t xml:space="preserve">Its advantage is only cost.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26   </w:t>
      </w:r>
      <w:r>
        <w:rPr>
          <w:sz w:val="15"/>
          <w:szCs w:val="15"/>
        </w:rPr>
        <w:t xml:space="preserve">$0.85  $1.35 − $0.50.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27   </w:t>
      </w:r>
      <w:r>
        <w:rPr>
          <w:sz w:val="15"/>
          <w:szCs w:val="15"/>
        </w:rPr>
        <w:t xml:space="preserve">It prevents defects reaching customers but adds no value itself.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28   </w:t>
      </w:r>
      <w:r>
        <w:rPr>
          <w:sz w:val="15"/>
          <w:szCs w:val="15"/>
        </w:rPr>
        <w:t xml:space="preserve">The three non-value-added costs.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29   </w:t>
      </w:r>
      <w:r>
        <w:rPr>
          <w:sz w:val="15"/>
          <w:szCs w:val="15"/>
        </w:rPr>
        <w:t xml:space="preserve">Customers get the same value at lower cost.</w:t>
      </w:r>
    </w:p>
    <w:p/>
    <w:p>
      <w:pPr>
        <w:sectPr>
          <w:headerReference w:type="default" r:id="rIdHdr3"/>
          <w:pgSz w:w="11906" w:h="16838" w:orient="portrait"/>
          <w:pgMar w:top="1180" w:right="1000" w:bottom="900" w:left="1000" w:header="708" w:footer="708" w:gutter="0"/>
          <w:docGrid w:linePitch="360"/>
          <w:pgNumType w:start="1"/>
        </w:sectPr>
      </w:pPr>
    </w:p>
    <w:sectPr>
      <w:headerReference w:type="default" r:id="rIdHdr3"/>
      <w:pgSz w:w="11906" w:h="16838" w:orient="portrait"/>
      <w:pgMar w:top="1180" w:right="1000" w:bottom="900" w:left="1000" w:header="708" w:footer="708" w:gutter="0"/>
      <w:docGrid w:linePitch="360"/>
      <w:pgNumTyp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openxmlformats.org/wordprocessingml/2006/main" xmlns:w15="http://schemas.openxmlformats.org/wordprocessingml/2006/main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pct" w:w="100%"/>
      <w:tblBorders>
        <w:bottom w:val="single" w:color="DFE3EE" w:sz="8"/>
      </w:tblBorders>
    </w:tblPr>
    <w:tblGrid>
      <w:gridCol w:w="7400"/>
      <w:gridCol w:w="2000"/>
    </w:tblGrid>
    <w:tr>
      <w:tc>
        <w:tcPr>
          <w:tcW w:type="pct" w:w="3600"/>
          <w:tcMar>
            <w:top w:type="dxa" w:w="-30"/>
            <w:left w:type="dxa" w:w="30"/>
            <w:bottom w:type="dxa" w:w="-30"/>
            <w:right w:type="dxa" w:w="30"/>
          </w:tcMar>
        </w:tcPr>
        <w:p>
          <w:r>
            <w:rPr>
              <w:b/>
              <w:bCs/>
              <w:color w:val="23265A"/>
              <w:sz w:val="16"/>
              <w:szCs w:val="16"/>
            </w:rPr>
            <w:t xml:space="preserve">Handout 14.1 · Answer Key</w:t>
          </w:r>
        </w:p>
      </w:tc>
      <w:tc>
        <w:tcPr>
          <w:tcW w:type="pct" w:w="1400"/>
          <w:tcMar>
            <w:top w:type="dxa" w:w="-30"/>
            <w:left w:type="dxa" w:w="30"/>
            <w:bottom w:type="dxa" w:w="-30"/>
            <w:right w:type="dxa" w:w="30"/>
          </w:tcMar>
        </w:tcPr>
        <w:p>
          <w:pPr>
            <w:jc w:val="right"/>
          </w:pPr>
          <w:r>
            <w:rPr>
              <w:color w:val="6B7280"/>
              <w:sz w:val="16"/>
              <w:szCs w:val="16"/>
            </w:rPr>
            <w:t xml:space="preserve">Answer Key — Page </w:t>
          </w:r>
          <w:fldSimple w:instr=" PAGE ">
            <w:r>
              <w:rPr>
                <w:b/>
                <w:bCs/>
                <w:color w:val="23265A"/>
                <w:sz w:val="16"/>
                <w:szCs w:val="16"/>
              </w:rPr>
              <w:t xml:space="preserve">1</w:t>
            </w:r>
          </w:fldSimple>
          <w:r>
            <w:rPr>
              <w:color w:val="6B7280"/>
              <w:sz w:val="16"/>
              <w:szCs w:val="16"/>
            </w:rPr>
            <w:t xml:space="preserve"/>
          </w:r>
        </w:p>
      </w:tc>
    </w:tr>
  </w:tbl>
  <w:p>
    <w:pPr>
      <w:spacing w:after="0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openxmlformats.org/wordprocessingml/2006/main" xmlns:w15="http://schemas.openxmlformats.org/wordprocessingml/2006/main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pct" w:w="100%"/>
      <w:tblBorders>
        <w:bottom w:val="single" w:color="DFE3EE" w:sz="8"/>
      </w:tblBorders>
    </w:tblPr>
    <w:tblGrid>
      <w:gridCol w:w="7400"/>
      <w:gridCol w:w="2000"/>
    </w:tblGrid>
    <w:tr>
      <w:tc>
        <w:tcPr>
          <w:tcW w:type="pct" w:w="3600"/>
          <w:tcMar>
            <w:top w:type="dxa" w:w="-30"/>
            <w:left w:type="dxa" w:w="30"/>
            <w:bottom w:type="dxa" w:w="-30"/>
            <w:right w:type="dxa" w:w="30"/>
          </w:tcMar>
        </w:tcPr>
        <w:p>
          <w:r>
            <w:rPr>
              <w:b/>
              <w:bCs/>
              <w:color w:val="23265A"/>
              <w:sz w:val="16"/>
              <w:szCs w:val="16"/>
            </w:rPr>
            <w:t xml:space="preserve">Handout 14.2 · Answer Key</w:t>
          </w:r>
        </w:p>
      </w:tc>
      <w:tc>
        <w:tcPr>
          <w:tcW w:type="pct" w:w="1400"/>
          <w:tcMar>
            <w:top w:type="dxa" w:w="-30"/>
            <w:left w:type="dxa" w:w="30"/>
            <w:bottom w:type="dxa" w:w="-30"/>
            <w:right w:type="dxa" w:w="30"/>
          </w:tcMar>
        </w:tcPr>
        <w:p>
          <w:pPr>
            <w:jc w:val="right"/>
          </w:pPr>
          <w:r>
            <w:rPr>
              <w:color w:val="6B7280"/>
              <w:sz w:val="16"/>
              <w:szCs w:val="16"/>
            </w:rPr>
            <w:t xml:space="preserve">Answer Key — Page </w:t>
          </w:r>
          <w:fldSimple w:instr=" PAGE ">
            <w:r>
              <w:rPr>
                <w:b/>
                <w:bCs/>
                <w:color w:val="23265A"/>
                <w:sz w:val="16"/>
                <w:szCs w:val="16"/>
              </w:rPr>
              <w:t xml:space="preserve">1</w:t>
            </w:r>
          </w:fldSimple>
          <w:r>
            <w:rPr>
              <w:color w:val="6B7280"/>
              <w:sz w:val="16"/>
              <w:szCs w:val="16"/>
            </w:rPr>
            <w:t xml:space="preserve"/>
          </w:r>
        </w:p>
      </w:tc>
    </w:tr>
  </w:tbl>
  <w:p>
    <w:pPr>
      <w:spacing w:after="0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openxmlformats.org/wordprocessingml/2006/main" xmlns:w15="http://schemas.openxmlformats.org/wordprocessingml/2006/main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pct" w:w="100%"/>
      <w:tblBorders>
        <w:bottom w:val="single" w:color="DFE3EE" w:sz="8"/>
      </w:tblBorders>
    </w:tblPr>
    <w:tblGrid>
      <w:gridCol w:w="7400"/>
      <w:gridCol w:w="2000"/>
    </w:tblGrid>
    <w:tr>
      <w:tc>
        <w:tcPr>
          <w:tcW w:type="pct" w:w="3600"/>
          <w:tcMar>
            <w:top w:type="dxa" w:w="-30"/>
            <w:left w:type="dxa" w:w="30"/>
            <w:bottom w:type="dxa" w:w="-30"/>
            <w:right w:type="dxa" w:w="30"/>
          </w:tcMar>
        </w:tcPr>
        <w:p>
          <w:r>
            <w:rPr>
              <w:b/>
              <w:bCs/>
              <w:color w:val="23265A"/>
              <w:sz w:val="16"/>
              <w:szCs w:val="16"/>
            </w:rPr>
            <w:t xml:space="preserve">Handout 14.3 · Answer Key</w:t>
          </w:r>
        </w:p>
      </w:tc>
      <w:tc>
        <w:tcPr>
          <w:tcW w:type="pct" w:w="1400"/>
          <w:tcMar>
            <w:top w:type="dxa" w:w="-30"/>
            <w:left w:type="dxa" w:w="30"/>
            <w:bottom w:type="dxa" w:w="-30"/>
            <w:right w:type="dxa" w:w="30"/>
          </w:tcMar>
        </w:tcPr>
        <w:p>
          <w:pPr>
            <w:jc w:val="right"/>
          </w:pPr>
          <w:r>
            <w:rPr>
              <w:color w:val="6B7280"/>
              <w:sz w:val="16"/>
              <w:szCs w:val="16"/>
            </w:rPr>
            <w:t xml:space="preserve">Answer Key — Page </w:t>
          </w:r>
          <w:fldSimple w:instr=" PAGE ">
            <w:r>
              <w:rPr>
                <w:b/>
                <w:bCs/>
                <w:color w:val="23265A"/>
                <w:sz w:val="16"/>
                <w:szCs w:val="16"/>
              </w:rPr>
              <w:t xml:space="preserve">1</w:t>
            </w:r>
          </w:fldSimple>
          <w:r>
            <w:rPr>
              <w:color w:val="6B7280"/>
              <w:sz w:val="16"/>
              <w:szCs w:val="16"/>
            </w:rPr>
            <w:t xml:space="preserve"/>
          </w:r>
        </w:p>
      </w:tc>
    </w:tr>
  </w:tbl>
  <w:p>
    <w:pPr>
      <w:spacing w:after="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openxmlformats.org/wordprocessingml/2006/main" xmlns:w15="http://schemas.openxmlformats.org/wordprocessingml/2006/main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defaultTabStop w:val="720"/>
  <w:compat>
    <w:compatSetting w:name="compatibilityMode" w:uri="http://schemas.microsoft.com/office/word" w:val="15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 standalone="yes"?><Relationships xmlns="http://schemas.openxmlformats.org/package/2006/relationships"><Relationship Id="rIdstyles" Target="styles.xml" Type="http://schemas.openxmlformats.org/officeDocument/2006/relationships/styles"/><Relationship Id="rIdnumbering" Target="numbering.xml" Type="http://schemas.openxmlformats.org/officeDocument/2006/relationships/numbering"/><Relationship Id="rIdfontTable" Target="fontTable.xml" Type="http://schemas.openxmlformats.org/officeDocument/2006/relationships/fontTable"/><Relationship Id="rIdsettings" Target="settings.xml" Type="http://schemas.openxmlformats.org/officeDocument/2006/relationships/settings"/><Relationship Id="rIdHdr1" Target="header1.xml" Type="http://schemas.openxmlformats.org/officeDocument/2006/relationships/header"/><Relationship Id="rIdHdr2" Target="header2.xml" Type="http://schemas.openxmlformats.org/officeDocument/2006/relationships/header"/><Relationship Id="rIdHdr3" Target="header3.xml" Type="http://schemas.openxmlformats.org/officeDocument/2006/relationships/header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CMA Part 1 · Book 2 · Cost Management · Chapter 14 · Answer Keys</dc:title>
  <dc:subject>Life-Cycle Costing and Value Chain Analysis</dc:subject>
  <cp:category>Student Book</cp:category>
</cp:coreProperties>
</file>