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statement of changes in equity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faithful representation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31"/>
        <w:gridCol w:w="1679"/>
        <w:gridCol w:w="3084"/>
        <w:gridCol w:w="260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62"/>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874"/>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606"/>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5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62"/>
            <w:tcMar>
              <w:top w:type="dxa" w:w="50"/>
              <w:left w:type="dxa" w:w="110"/>
              <w:bottom w:type="dxa" w:w="50"/>
              <w:right w:type="dxa" w:w="110"/>
            </w:tcMar>
          </w:tcPr>
          <w:p>
            <w:pPr>
              <w:spacing w:before="28" w:after="28"/>
            </w:pPr>
            <w:r>
              <w:rPr>
                <w:sz w:val="15"/>
                <w:szCs w:val="15"/>
              </w:rPr>
              <w:t xml:space="preserve">Investors (shareholders) — PRIMARY</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606"/>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5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606"/>
            <w:shd w:fill="FBFAF6" w:val="clear"/>
            <w:tcMar>
              <w:top w:type="dxa" w:w="50"/>
              <w:left w:type="dxa" w:w="110"/>
              <w:bottom w:type="dxa" w:w="50"/>
              <w:right w:type="dxa" w:w="110"/>
            </w:tcMar>
          </w:tcPr>
          <w:p>
            <w:pPr>
              <w:spacing w:before="28" w:after="28"/>
            </w:pPr>
            <w:r>
              <w:rPr>
                <w:sz w:val="15"/>
                <w:szCs w:val="15"/>
              </w:rPr>
              <w:t xml:space="preserve">Can the company pay interest and repay the principal on time?</w:t>
            </w:r>
          </w:p>
        </w:tc>
        <w:tc>
          <w:tcPr>
            <w:tcW w:type="pct" w:w="135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62"/>
            <w:tcMar>
              <w:top w:type="dxa" w:w="50"/>
              <w:left w:type="dxa" w:w="110"/>
              <w:bottom w:type="dxa" w:w="50"/>
              <w:right w:type="dxa" w:w="110"/>
            </w:tcMar>
          </w:tcPr>
          <w:p>
            <w:pPr>
              <w:spacing w:before="28" w:after="28"/>
            </w:pPr>
            <w:r>
              <w:rPr>
                <w:sz w:val="15"/>
                <w:szCs w:val="15"/>
              </w:rPr>
              <w:t xml:space="preserve">Other creditors (suppliers) — PRIMARY</w:t>
            </w:r>
          </w:p>
        </w:tc>
        <w:tc>
          <w:tcPr>
            <w:tcW w:type="pct" w:w="874"/>
            <w:tcMar>
              <w:top w:type="dxa" w:w="50"/>
              <w:left w:type="dxa" w:w="110"/>
              <w:bottom w:type="dxa" w:w="50"/>
              <w:right w:type="dxa" w:w="110"/>
            </w:tcMar>
          </w:tcPr>
          <w:p>
            <w:pPr>
              <w:spacing w:before="28" w:after="28"/>
            </w:pPr>
            <w:r>
              <w:rPr>
                <w:sz w:val="15"/>
                <w:szCs w:val="15"/>
              </w:rPr>
              <w:t xml:space="preserve">Sell on credit, set credit terms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5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874"/>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5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62"/>
            <w:tcMar>
              <w:top w:type="dxa" w:w="50"/>
              <w:left w:type="dxa" w:w="110"/>
              <w:bottom w:type="dxa" w:w="50"/>
              <w:right w:type="dxa" w:w="110"/>
            </w:tcMar>
          </w:tcPr>
          <w:p>
            <w:pPr>
              <w:spacing w:before="28" w:after="28"/>
            </w:pPr>
            <w:r>
              <w:rPr>
                <w:sz w:val="15"/>
                <w:szCs w:val="15"/>
              </w:rPr>
              <w:t xml:space="preserve">Customers</w:t>
            </w:r>
          </w:p>
        </w:tc>
        <w:tc>
          <w:tcPr>
            <w:tcW w:type="pct" w:w="874"/>
            <w:tcMar>
              <w:top w:type="dxa" w:w="50"/>
              <w:left w:type="dxa" w:w="110"/>
              <w:bottom w:type="dxa" w:w="50"/>
              <w:right w:type="dxa" w:w="110"/>
            </w:tcMar>
          </w:tcPr>
          <w:p>
            <w:pPr>
              <w:spacing w:before="28" w:after="28"/>
            </w:pPr>
            <w:r>
              <w:rPr>
                <w:sz w:val="15"/>
                <w:szCs w:val="15"/>
              </w:rPr>
              <w:t xml:space="preserve">Sign long-term contracts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5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606"/>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5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62"/>
            <w:tcMar>
              <w:top w:type="dxa" w:w="50"/>
              <w:left w:type="dxa" w:w="110"/>
              <w:bottom w:type="dxa" w:w="50"/>
              <w:right w:type="dxa" w:w="110"/>
            </w:tcMar>
          </w:tcPr>
          <w:p>
            <w:pPr>
              <w:spacing w:before="28" w:after="28"/>
            </w:pPr>
            <w:r>
              <w:rPr>
                <w:sz w:val="15"/>
                <w:szCs w:val="15"/>
              </w:rPr>
              <w:t xml:space="preserve">Managers (internal)</w:t>
            </w:r>
          </w:p>
        </w:tc>
        <w:tc>
          <w:tcPr>
            <w:tcW w:type="pct" w:w="874"/>
            <w:tcMar>
              <w:top w:type="dxa" w:w="50"/>
              <w:left w:type="dxa" w:w="110"/>
              <w:bottom w:type="dxa" w:w="50"/>
              <w:right w:type="dxa" w:w="110"/>
            </w:tcMar>
          </w:tcPr>
          <w:p>
            <w:pPr>
              <w:spacing w:before="28" w:after="28"/>
            </w:pPr>
            <w:r>
              <w:rPr>
                <w:sz w:val="15"/>
                <w:szCs w:val="15"/>
              </w:rPr>
              <w:t xml:space="preserve">Plan and control operations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5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Lend, renew or stop a loan   ·   Is the company stable and profitable?   ·   Buy, hold or sell shares   ·   Will the company pay its bills when due?   ·   Will the company continue to supply us?   ·   Not a primary user: can use internal reports   ·   Income statement, cash flows, balance sheet</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relevance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financial statements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   ·   statements   ·   conceptual framework   ·   disclose</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48–50</w:t>
      </w:r>
    </w:p>
    <w:p>
      <w:pPr>
        <w:spacing w:before="20" w:after="20" w:line="360" w:lineRule="auto"/>
        <w:ind w:left="200"/>
      </w:pPr>
      <w:r>
        <w:rPr>
          <w:sz w:val="19"/>
          <w:szCs w:val="19"/>
        </w:rPr>
        <w:t xml:space="preserve">Example: Orontes </w:t>
      </w:r>
      <w:r>
        <w:rPr>
          <w:b/>
          <w:bCs/>
          <w:color w:val="8186EF"/>
          <w:sz w:val="15"/>
          <w:szCs w:val="15"/>
        </w:rPr>
        <w:t xml:space="preserve"> (48)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users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recognize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Lend, renew or stop a loan</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faithful representation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retained earnings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sources other than owners. </w:t>
      </w:r>
      <w:r>
        <w:rPr>
          <w:sz w:val="19"/>
          <w:szCs w:val="19"/>
        </w:rPr>
        <w:t xml:space="preserve">The equation always holds, because creditors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buying   ·   accounting equation   ·   statement   ·   IFRS   ·   liabilities   ·   Comprehensive   ·   Revenues   ·   dividend   ·   Expenses   ·   Contributed   ·   Distributions</w:t>
            </w:r>
          </w:p>
        </w:tc>
      </w:tr>
    </w:tbl>
    <w:p/>
    <w:p>
      <w:pPr>
        <w:spacing w:before="44" w:after="14"/>
      </w:pPr>
      <w:r>
        <w:rPr>
          <w:b/>
          <w:bCs/>
          <w:color w:val="353A7C"/>
          <w:sz w:val="18"/>
          <w:szCs w:val="18"/>
        </w:rPr>
        <w:t xml:space="preserve">Summary 3</w:t>
      </w:r>
      <w:r>
        <w:rPr>
          <w:color w:val="6B7280"/>
          <w:sz w:val="16"/>
          <w:szCs w:val="16"/>
        </w:rPr>
        <w:t xml:space="preserve">      gaps 24–27</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of financial position (balance sheet), share capital (common stock) and share premium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equity   ·   statement   ·   additional   ·   revenue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relevance   ·   equity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Accounts on the left side of the equation (assets, expenses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belongs   ·   Whether   ·   equity   ·   depreciation   ·   opposite   ·   double-entry   ·   affects   ·   simply   ·   accounting   ·   T-account   ·   receivable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accounts receivable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32"/>
        <w:gridCol w:w="1332"/>
        <w:gridCol w:w="4271"/>
        <w:gridCol w:w="1332"/>
        <w:gridCol w:w="133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25"/>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694"/>
            <w:tcMar>
              <w:top w:type="dxa" w:w="50"/>
              <w:left w:type="dxa" w:w="110"/>
              <w:bottom w:type="dxa" w:w="50"/>
              <w:right w:type="dxa" w:w="110"/>
            </w:tcMar>
          </w:tcPr>
          <w:p>
            <w:pPr>
              <w:spacing w:before="28" w:after="28"/>
            </w:pPr>
            <w:r>
              <w:rPr>
                <w:sz w:val="15"/>
                <w:szCs w:val="15"/>
              </w:rPr>
              <w:t xml:space="preserve">1</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1,500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Additional paid-in capital</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1,400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2</w:t>
            </w:r>
          </w:p>
        </w:tc>
        <w:tc>
          <w:tcPr>
            <w:tcW w:type="pct" w:w="694"/>
            <w:tcMar>
              <w:top w:type="dxa" w:w="50"/>
              <w:left w:type="dxa" w:w="110"/>
              <w:bottom w:type="dxa" w:w="50"/>
              <w:right w:type="dxa" w:w="110"/>
            </w:tcMar>
          </w:tcPr>
          <w:p>
            <w:pPr>
              <w:spacing w:before="28" w:after="28"/>
            </w:pPr>
            <w:r>
              <w:rPr>
                <w:sz w:val="15"/>
                <w:szCs w:val="15"/>
              </w:rPr>
              <w:t xml:space="preserve">Jan 5</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800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800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Borrowed cash from Levant Commerce Bank on a 5-year note at 6% interest.</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3</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225"/>
            <w:shd w:fill="FBFAF6" w:val="clear"/>
            <w:tcMar>
              <w:top w:type="dxa" w:w="50"/>
              <w:left w:type="dxa" w:w="110"/>
              <w:bottom w:type="dxa" w:w="50"/>
              <w:right w:type="dxa" w:w="110"/>
            </w:tcMar>
          </w:tcPr>
          <w:p>
            <w:pPr>
              <w:spacing w:before="28" w:after="28"/>
            </w:pPr>
            <w:r>
              <w:rPr>
                <w:sz w:val="15"/>
                <w:szCs w:val="15"/>
              </w:rPr>
              <w:t xml:space="preserve">Equipment</w:t>
            </w:r>
          </w:p>
        </w:tc>
        <w:tc>
          <w:tcPr>
            <w:tcW w:type="pct" w:w="694"/>
            <w:shd w:fill="FBFAF6" w:val="clear"/>
            <w:tcMar>
              <w:top w:type="dxa" w:w="50"/>
              <w:left w:type="dxa" w:w="110"/>
              <w:bottom w:type="dxa" w:w="50"/>
              <w:right w:type="dxa" w:w="110"/>
            </w:tcMar>
          </w:tcPr>
          <w:p>
            <w:pPr>
              <w:spacing w:before="28" w:after="28"/>
            </w:pPr>
            <w:r>
              <w:rPr>
                <w:sz w:val="15"/>
                <w:szCs w:val="15"/>
              </w:rPr>
              <w:t xml:space="preserve">1,200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1,200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Bought a new bottling line for the Amman plant and paid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4</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225"/>
            <w:tcMar>
              <w:top w:type="dxa" w:w="50"/>
              <w:left w:type="dxa" w:w="110"/>
              <w:bottom w:type="dxa" w:w="50"/>
              <w:right w:type="dxa" w:w="110"/>
            </w:tcMar>
          </w:tcPr>
          <w:p>
            <w:pPr>
              <w:spacing w:before="28" w:after="28"/>
            </w:pPr>
            <w:r>
              <w:rPr>
                <w:sz w:val="15"/>
                <w:szCs w:val="15"/>
              </w:rPr>
              <w:t xml:space="preserve">Accounts receivable</w:t>
            </w:r>
          </w:p>
        </w:tc>
        <w:tc>
          <w:tcPr>
            <w:tcW w:type="pct" w:w="694"/>
            <w:tcMar>
              <w:top w:type="dxa" w:w="50"/>
              <w:left w:type="dxa" w:w="110"/>
              <w:bottom w:type="dxa" w:w="50"/>
              <w:right w:type="dxa" w:w="110"/>
            </w:tcMar>
          </w:tcPr>
          <w:p>
            <w:pPr>
              <w:spacing w:before="28" w:after="28"/>
            </w:pPr>
            <w:r>
              <w:rPr>
                <w:sz w:val="15"/>
                <w:szCs w:val="15"/>
              </w:rPr>
              <w:t xml:space="preserve">300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300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Cost of goods sold</w:t>
            </w:r>
          </w:p>
        </w:tc>
        <w:tc>
          <w:tcPr>
            <w:tcW w:type="pct" w:w="694"/>
            <w:tcMar>
              <w:top w:type="dxa" w:w="50"/>
              <w:left w:type="dxa" w:w="110"/>
              <w:bottom w:type="dxa" w:w="50"/>
              <w:right w:type="dxa" w:w="110"/>
            </w:tcMar>
          </w:tcPr>
          <w:p>
            <w:pPr>
              <w:spacing w:before="28" w:after="28"/>
            </w:pPr>
            <w:r>
              <w:rPr>
                <w:sz w:val="15"/>
                <w:szCs w:val="15"/>
              </w:rPr>
              <w:t xml:space="preserve">180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Inventory</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180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5</w:t>
            </w:r>
          </w:p>
        </w:tc>
        <w:tc>
          <w:tcPr>
            <w:tcW w:type="pct" w:w="694"/>
            <w:shd w:fill="FBFAF6" w:val="clear"/>
            <w:tcMar>
              <w:top w:type="dxa" w:w="50"/>
              <w:left w:type="dxa" w:w="110"/>
              <w:bottom w:type="dxa" w:w="50"/>
              <w:right w:type="dxa" w:w="110"/>
            </w:tcMar>
          </w:tcPr>
          <w:p>
            <w:pPr>
              <w:spacing w:before="28" w:after="28"/>
            </w:pPr>
            <w:r>
              <w:rPr>
                <w:sz w:val="15"/>
                <w:szCs w:val="15"/>
              </w:rPr>
              <w:t xml:space="preserve">Jan 31</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694"/>
            <w:shd w:fill="FBFAF6" w:val="clear"/>
            <w:tcMar>
              <w:top w:type="dxa" w:w="50"/>
              <w:left w:type="dxa" w:w="110"/>
              <w:bottom w:type="dxa" w:w="50"/>
              <w:right w:type="dxa" w:w="110"/>
            </w:tcMar>
          </w:tcPr>
          <w:p>
            <w:pPr>
              <w:spacing w:before="28" w:after="28"/>
            </w:pPr>
            <w:r>
              <w:rPr>
                <w:sz w:val="15"/>
                <w:szCs w:val="15"/>
              </w:rPr>
              <w:t xml:space="preserve">40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40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6</w:t>
            </w:r>
          </w:p>
        </w:tc>
        <w:tc>
          <w:tcPr>
            <w:tcW w:type="pct" w:w="694"/>
            <w:tcMar>
              <w:top w:type="dxa" w:w="50"/>
              <w:left w:type="dxa" w:w="110"/>
              <w:bottom w:type="dxa" w:w="50"/>
              <w:right w:type="dxa" w:w="110"/>
            </w:tcMar>
          </w:tcPr>
          <w:p>
            <w:pPr>
              <w:spacing w:before="28" w:after="28"/>
            </w:pPr>
            <w:r>
              <w:rPr>
                <w:sz w:val="15"/>
                <w:szCs w:val="15"/>
              </w:rPr>
              <w:t xml:space="preserve">Jan 31</w:t>
            </w:r>
          </w:p>
        </w:tc>
        <w:tc>
          <w:tcPr>
            <w:tcW w:type="pct" w:w="2225"/>
            <w:tcMar>
              <w:top w:type="dxa" w:w="50"/>
              <w:left w:type="dxa" w:w="110"/>
              <w:bottom w:type="dxa" w:w="50"/>
              <w:right w:type="dxa" w:w="110"/>
            </w:tcMar>
          </w:tcPr>
          <w:p>
            <w:pPr>
              <w:spacing w:before="28" w:after="28"/>
            </w:pPr>
            <w:r>
              <w:rPr>
                <w:sz w:val="15"/>
                <w:szCs w:val="15"/>
              </w:rPr>
              <w:t xml:space="preserve">Retained earnings (dividends declared)</w:t>
            </w:r>
          </w:p>
        </w:tc>
        <w:tc>
          <w:tcPr>
            <w:tcW w:type="pct" w:w="694"/>
            <w:tcMar>
              <w:top w:type="dxa" w:w="50"/>
              <w:left w:type="dxa" w:w="110"/>
              <w:bottom w:type="dxa" w:w="50"/>
              <w:right w:type="dxa" w:w="110"/>
            </w:tcMar>
          </w:tcPr>
          <w:p>
            <w:pPr>
              <w:spacing w:before="28" w:after="28"/>
            </w:pPr>
            <w:r>
              <w:rPr>
                <w:sz w:val="15"/>
                <w:szCs w:val="15"/>
              </w:rPr>
              <w:t xml:space="preserve">50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50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 stock   ·   Sales revenue   ·   Jan 2   ·   Jan 10   ·   Dividends payable   ·   Paid January wages to plant workers in cash.   ·   Totals   ·   Wages expense   ·   Jan 18</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24–31</w:t>
      </w:r>
    </w:p>
    <w:p>
      <w:pPr>
        <w:spacing w:before="20" w:after="20" w:line="360" w:lineRule="auto"/>
        <w:ind w:left="200"/>
      </w:pPr>
      <w:r>
        <w:rPr>
          <w:sz w:val="19"/>
          <w:szCs w:val="19"/>
        </w:rPr>
        <w:t xml:space="preserve">Check each entry: the debits equal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owners and lenders 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financing   ·   February   ·   liability   ·   points   ·   equation   ·   credits   ·   accumulated depreciation   ·   delivers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32–35</w:t>
      </w:r>
    </w:p>
    <w:p>
      <w:pPr>
        <w:spacing w:before="20" w:after="20" w:line="360" w:lineRule="auto"/>
        <w:ind w:left="200"/>
      </w:pPr>
      <w:r>
        <w:rPr>
          <w:sz w:val="19"/>
          <w:szCs w:val="19"/>
        </w:rPr>
        <w:t xml:space="preserve">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accumulated depreciation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36–37</w:t>
      </w:r>
    </w:p>
    <w:p>
      <w:pPr>
        <w:spacing w:before="20" w:after="20" w:line="360" w:lineRule="auto"/>
        <w:ind w:left="200"/>
      </w:pPr>
      <w:r>
        <w:rPr>
          <w:sz w:val="19"/>
          <w:szCs w:val="19"/>
        </w:rPr>
        <w:t xml:space="preserve">Here are six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journal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Complete   ·   credit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6</w:t>
      </w:r>
      <w:r>
        <w:rPr>
          <w:color w:val="6B7280"/>
          <w:sz w:val="16"/>
          <w:szCs w:val="16"/>
        </w:rPr>
        <w:t xml:space="preserve">      gaps 38–39</w:t>
      </w:r>
    </w:p>
    <w:p>
      <w:pPr>
        <w:spacing w:before="20" w:after="20" w:line="360" w:lineRule="auto"/>
        <w:ind w:left="200"/>
      </w:pPr>
      <w:r>
        <w:rPr>
          <w:sz w:val="19"/>
          <w:szCs w:val="19"/>
        </w:rPr>
        <w:t xml:space="preserve">X is debited (or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is to increase...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T-account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normal balance   ·   double-entry system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Paid January wages to plant workers in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Jan 2</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Common stock</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Jan 10</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Jan 18</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Wages expense</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normal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records the revenue and the cost of goods sold in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2025, the year it delivered the goods. </w:t>
      </w:r>
      <w:r>
        <w:rPr>
          <w:sz w:val="19"/>
          <w:szCs w:val="19"/>
        </w:rPr>
        <w:t xml:space="preserve">The gross profit of 36 belongs to 2025. </w:t>
      </w:r>
      <w:r>
        <w:rPr>
          <w:sz w:val="19"/>
          <w:szCs w:val="19"/>
        </w:rPr>
        <w:t xml:space="preserve">In January, the cash receipt only changes one asset (the receivable)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Orontes   ·   decide   ·   cash basis   ·   revenues   ·   received   ·   statements   ·   fiscal   ·   timing</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The matching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incurred   ·   bottling   ·   advertising   ·   directly   ·   adjustment   ·   classic   ·   Depreciation   ·   Systematic   ·   principle   ·   prepaid expense</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balance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Two of these names are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basis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28–29</w:t>
      </w:r>
    </w:p>
    <w:p>
      <w:pPr>
        <w:spacing w:before="20" w:after="20" w:line="360" w:lineRule="auto"/>
        <w:ind w:left="200"/>
      </w:pPr>
      <w:r>
        <w:rPr>
          <w:sz w:val="19"/>
          <w:szCs w:val="19"/>
        </w:rPr>
        <w:t xml:space="preserve">Cash received in advance is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expense   ·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accrual basis   ·   prepaid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fiscal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accrual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Systematic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 the United States, the accounting rules are called U.S. GAAP (generally accepted accounting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principles   ·   recognizes   ·   Securities   ·   report   ·   organized   ·   oversees   ·   writes   ·   organization   ·   nongovernmental   ·   U.S. GAAP   ·   changes   ·   revenue</w:t>
            </w:r>
          </w:p>
        </w:tc>
      </w:tr>
    </w:tbl>
    <w:p/>
    <w:p>
      <w:pPr>
        <w:spacing w:before="44" w:after="14"/>
      </w:pPr>
      <w:r>
        <w:rPr>
          <w:b/>
          <w:bCs/>
          <w:color w:val="353A7C"/>
          <w:sz w:val="18"/>
          <w:szCs w:val="18"/>
        </w:rPr>
        <w:t xml:space="preserve">Summary 2</w:t>
      </w:r>
      <w:r>
        <w:rPr>
          <w:color w:val="6B7280"/>
          <w:sz w:val="16"/>
          <w:szCs w:val="16"/>
        </w:rPr>
        <w:t xml:space="preserve">      gaps 12–23</w:t>
      </w:r>
    </w:p>
    <w:p>
      <w:pPr>
        <w:spacing w:before="20" w:after="20" w:line="360" w:lineRule="auto"/>
        <w:ind w:left="200"/>
      </w:pPr>
      <w:r>
        <w:rPr>
          <w:sz w:val="19"/>
          <w:szCs w:val="19"/>
        </w:rPr>
        <w:t xml:space="preserve">The PCAOB sets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 GAAP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retained earnings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29–30</w:t>
      </w:r>
    </w:p>
    <w:p>
      <w:pPr>
        <w:spacing w:before="20" w:after="20" w:line="360" w:lineRule="auto"/>
        <w:ind w:left="200"/>
      </w:pPr>
      <w:r>
        <w:rPr>
          <w:sz w:val="19"/>
          <w:szCs w:val="19"/>
        </w:rPr>
        <w:t xml:space="preserve">FASB: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 GAAP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SEC</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Middle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recognize</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income statement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Totals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double-entry system</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4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244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balance   ·   6   ·   dividend   ·   4</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Asset</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BFAF6" w:val="clear"/>
            <w:tcMar>
              <w:top w:type="dxa" w:w="50"/>
              <w:left w:type="dxa" w:w="110"/>
              <w:bottom w:type="dxa" w:w="50"/>
              <w:right w:type="dxa" w:w="110"/>
            </w:tcMar>
          </w:tcPr>
          <w:p>
            <w:pPr>
              <w:spacing w:before="28" w:after="28"/>
            </w:pPr>
            <w:r>
              <w:rPr>
                <w:sz w:val="15"/>
                <w:szCs w:val="15"/>
              </w:rPr>
              <w:t xml:space="preserve">Equity</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tcMar>
              <w:top w:type="dxa" w:w="50"/>
              <w:left w:type="dxa" w:w="110"/>
              <w:bottom w:type="dxa" w:w="50"/>
              <w:right w:type="dxa" w:w="110"/>
            </w:tcMar>
          </w:tcPr>
          <w:p>
            <w:pPr>
              <w:spacing w:before="28" w:after="28"/>
            </w:pPr>
            <w:r>
              <w:rPr>
                <w:sz w:val="15"/>
                <w:szCs w:val="15"/>
              </w:rPr>
              <w:t xml:space="preserve">Contra-asset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Expense   ·   Equity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disclose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statement of changes in 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1b5b74e100fe2fdf510adeba549b5bf0658fc9e.png" Type="http://schemas.openxmlformats.org/officeDocument/2006/relationships/image"/><Relationship Id="rId102" Target="media/57ce06ec0a3d3fa0a63ec270f4db34365fb83302.png" Type="http://schemas.openxmlformats.org/officeDocument/2006/relationships/image"/><Relationship Id="rId103" Target="media/a383e14f6b4cd2c8f0907987c167e72378b7e526.png" Type="http://schemas.openxmlformats.org/officeDocument/2006/relationships/image"/><Relationship Id="rId104" Target="media/918ef2cae897a4d993589123638d1390198303c8.png" Type="http://schemas.openxmlformats.org/officeDocument/2006/relationships/image"/><Relationship Id="rId105" Target="media/450db8986925f9d134305c351cbec49a3767d43a.png" Type="http://schemas.openxmlformats.org/officeDocument/2006/relationships/image"/><Relationship Id="rId106" Target="media/e978a255da0730ff0ca8ea8154e04f8d083475d2.png" Type="http://schemas.openxmlformats.org/officeDocument/2006/relationships/image"/><Relationship Id="rId107" Target="media/e94def18adf7ee8fe42005d4c873f8f45412f282.png" Type="http://schemas.openxmlformats.org/officeDocument/2006/relationships/image"/><Relationship Id="rId108" Target="media/46bc86a38dc5927c535d6d057c840c7bc8772197.png" Type="http://schemas.openxmlformats.org/officeDocument/2006/relationships/image"/><Relationship Id="rId109" Target="media/7d014d63f25062f455b2ea91fc39bdc67d3f1da5.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2d15631b7d87a96aea5d7a7d6305286de7f21479.png" Type="http://schemas.openxmlformats.org/officeDocument/2006/relationships/image"/><Relationship Id="rId113" Target="media/c8af412236782526d42694995e93ce690b7b100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Summary handouts</dc:subject>
  <cp:category>Student Book</cp:category>
</cp:coreProperties>
</file>