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The building blocks: elements and the accounti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wrongly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equity</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material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benefit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T-account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 the amount of the item   ·   statements   ·   disclose   ·   record   ·   U.S. GAAP</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49–51</w:t>
      </w:r>
    </w:p>
    <w:p>
      <w:pPr>
        <w:spacing w:before="20" w:after="20" w:line="360" w:lineRule="auto"/>
        <w:ind w:left="200"/>
      </w:pPr>
      <w:r>
        <w:rPr>
          <w:sz w:val="19"/>
          <w:szCs w:val="19"/>
        </w:rPr>
        <w:t xml:space="preserve">Example: Orontes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relevance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decide the amount of the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accounts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than owners. </w:t>
      </w:r>
      <w:r>
        <w:rPr>
          <w:sz w:val="19"/>
          <w:szCs w:val="19"/>
        </w:rPr>
        <w:t xml:space="preserve">The equation always holds, because creditors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Look at the lower part.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buying   ·   Contributed   ·   dividend   ·   Comprehensive   ·   statement   ·   sources   ·   IFRS   ·   instead   ·   Expenses   ·   Revenues   ·   liabilities   ·   Distributions</w:t>
            </w:r>
          </w:p>
        </w:tc>
      </w:tr>
    </w:tbl>
    <w:p/>
    <w:p>
      <w:pPr>
        <w:spacing w:before="44" w:after="14"/>
      </w:pPr>
      <w:r>
        <w:rPr>
          <w:b/>
          <w:bCs/>
          <w:color w:val="353A7C"/>
          <w:sz w:val="18"/>
          <w:szCs w:val="18"/>
        </w:rPr>
        <w:t xml:space="preserve">Summary 3</w:t>
      </w:r>
      <w:r>
        <w:rPr>
          <w:color w:val="6B7280"/>
          <w:sz w:val="16"/>
          <w:szCs w:val="16"/>
        </w:rPr>
        <w:t xml:space="preserve">      gaps 25–29</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of financial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(balance sheet), share capital (common stock) and share premium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additional   ·   obligation   ·   different   ·   statement   ·   position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Words that look familiar</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30–32</w:t>
      </w:r>
    </w:p>
    <w:p>
      <w:pPr>
        <w:spacing w:before="20" w:after="20" w:line="360" w:lineRule="auto"/>
        <w:ind w:left="200"/>
      </w:pPr>
      <w:r>
        <w:rPr>
          <w:sz w:val="19"/>
          <w:szCs w:val="19"/>
        </w:rPr>
        <w:t xml:space="preserve">In a CMA question, inventory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inventory. </w:t>
      </w:r>
      <w:r>
        <w:rPr>
          <w:sz w:val="19"/>
          <w:szCs w:val="19"/>
        </w:rPr>
        <w:t xml:space="preserve">Revenue is the gross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from sales. </w:t>
      </w:r>
      <w:r>
        <w:rPr>
          <w:sz w:val="19"/>
          <w:szCs w:val="19"/>
        </w:rPr>
        <w:t xml:space="preserve">Net income is what remains after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Do not use income when the question means revenue. </w:t>
      </w:r>
      <w:r>
        <w:rPr>
          <w:sz w:val="19"/>
          <w:szCs w:val="19"/>
        </w:rPr>
        <w:t xml:space="preserve">In English, charges usually means fees.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amount   ·   always   ·   Orontes   ·   expenses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34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34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asset   ·   net income   ·   equity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sources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Look at the lower part.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pacing w:before="20" w:after="20"/>
        <w:ind w:left="240" w:hanging="240"/>
      </w:pPr>
      <w:r>
        <w:rPr>
          <w:b/>
          <w:bCs/>
          <w:color w:val="353A7C"/>
          <w:sz w:val="15"/>
          <w:szCs w:val="15"/>
        </w:rPr>
        <w:t xml:space="preserve">Summary 4   </w:t>
      </w:r>
      <w:r>
        <w:rPr>
          <w:color w:val="6B7280"/>
          <w:sz w:val="15"/>
          <w:szCs w:val="15"/>
        </w:rPr>
        <w:t xml:space="preserve">In a CMA question, inventory is always inventory. Revenue is the gross amount from sales. Net income is what remains after expenses. Do not use income when the question means revenue. In English, charges usually means fees.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equation at the bottom is a useful memory aid. </w:t>
      </w:r>
      <w:r>
        <w:rPr>
          <w:sz w:val="19"/>
          <w:szCs w:val="19"/>
        </w:rPr>
        <w:t xml:space="preserve">Accounts on the left side of the equation (assets, expenses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expanded   ·   receivable   ·   Whether   ·   dividends   ·   equity   ·   depreciation   ·   opposite   ·   double-entry   ·   affects   ·   simply   ·   accounting   ·   balances   ·   belongs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expense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44"/>
        <w:gridCol w:w="1344"/>
        <w:gridCol w:w="4224"/>
        <w:gridCol w:w="1344"/>
        <w:gridCol w:w="134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700"/>
            <w:tcMar>
              <w:top w:type="dxa" w:w="50"/>
              <w:left w:type="dxa" w:w="110"/>
              <w:bottom w:type="dxa" w:w="50"/>
              <w:right w:type="dxa" w:w="110"/>
            </w:tcMar>
          </w:tcPr>
          <w:p>
            <w:pPr>
              <w:spacing w:before="28" w:after="28"/>
            </w:pPr>
            <w:r>
              <w:rPr>
                <w:sz w:val="15"/>
                <w:szCs w:val="15"/>
              </w:rPr>
              <w:t xml:space="preserve">1</w:t>
            </w:r>
          </w:p>
        </w:tc>
        <w:tc>
          <w:tcPr>
            <w:tcW w:type="pct" w:w="700"/>
            <w:tcMar>
              <w:top w:type="dxa" w:w="50"/>
              <w:left w:type="dxa" w:w="110"/>
              <w:bottom w:type="dxa" w:w="50"/>
              <w:right w:type="dxa" w:w="110"/>
            </w:tcMar>
          </w:tcPr>
          <w:p>
            <w:pPr>
              <w:spacing w:before="28" w:after="28"/>
            </w:pPr>
            <w:r>
              <w:rPr>
                <w:sz w:val="15"/>
                <w:szCs w:val="15"/>
              </w:rPr>
              <w:t xml:space="preserve">Jan 2</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1,500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Additional paid-in capital</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1,400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2</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800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800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3</w:t>
            </w:r>
          </w:p>
        </w:tc>
        <w:tc>
          <w:tcPr>
            <w:tcW w:type="pct" w:w="700"/>
            <w:shd w:fill="FBFAF6" w:val="clear"/>
            <w:tcMar>
              <w:top w:type="dxa" w:w="50"/>
              <w:left w:type="dxa" w:w="110"/>
              <w:bottom w:type="dxa" w:w="50"/>
              <w:right w:type="dxa" w:w="110"/>
            </w:tcMar>
          </w:tcPr>
          <w:p>
            <w:pPr>
              <w:spacing w:before="28" w:after="28"/>
            </w:pPr>
            <w:r>
              <w:rPr>
                <w:sz w:val="15"/>
                <w:szCs w:val="15"/>
              </w:rPr>
              <w:t xml:space="preserve">Jan 10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700"/>
            <w:shd w:fill="FBFAF6" w:val="clear"/>
            <w:tcMar>
              <w:top w:type="dxa" w:w="50"/>
              <w:left w:type="dxa" w:w="110"/>
              <w:bottom w:type="dxa" w:w="50"/>
              <w:right w:type="dxa" w:w="110"/>
            </w:tcMar>
          </w:tcPr>
          <w:p>
            <w:pPr>
              <w:spacing w:before="28" w:after="28"/>
            </w:pPr>
            <w:r>
              <w:rPr>
                <w:sz w:val="15"/>
                <w:szCs w:val="15"/>
              </w:rPr>
              <w:t xml:space="preserve">1,200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1,200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4</w:t>
            </w:r>
          </w:p>
        </w:tc>
        <w:tc>
          <w:tcPr>
            <w:tcW w:type="pct" w:w="700"/>
            <w:tcMar>
              <w:top w:type="dxa" w:w="50"/>
              <w:left w:type="dxa" w:w="110"/>
              <w:bottom w:type="dxa" w:w="50"/>
              <w:right w:type="dxa" w:w="110"/>
            </w:tcMar>
          </w:tcPr>
          <w:p>
            <w:pPr>
              <w:spacing w:before="28" w:after="28"/>
            </w:pPr>
            <w:r>
              <w:rPr>
                <w:sz w:val="15"/>
                <w:szCs w:val="15"/>
              </w:rPr>
              <w:t xml:space="preserve">Jan 18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700"/>
            <w:tcMar>
              <w:top w:type="dxa" w:w="50"/>
              <w:left w:type="dxa" w:w="110"/>
              <w:bottom w:type="dxa" w:w="50"/>
              <w:right w:type="dxa" w:w="110"/>
            </w:tcMar>
          </w:tcPr>
          <w:p>
            <w:pPr>
              <w:spacing w:before="28" w:after="28"/>
            </w:pPr>
            <w:r>
              <w:rPr>
                <w:sz w:val="15"/>
                <w:szCs w:val="15"/>
              </w:rPr>
              <w:t xml:space="preserve">300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700"/>
            <w:tcMar>
              <w:top w:type="dxa" w:w="50"/>
              <w:left w:type="dxa" w:w="110"/>
              <w:bottom w:type="dxa" w:w="50"/>
              <w:right w:type="dxa" w:w="110"/>
            </w:tcMar>
          </w:tcPr>
          <w:p>
            <w:pPr>
              <w:spacing w:before="28" w:after="28"/>
            </w:pPr>
            <w:r>
              <w:rPr>
                <w:sz w:val="15"/>
                <w:szCs w:val="15"/>
              </w:rPr>
              <w:t xml:space="preserve">180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5</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700"/>
            <w:shd w:fill="FBFAF6" w:val="clear"/>
            <w:tcMar>
              <w:top w:type="dxa" w:w="50"/>
              <w:left w:type="dxa" w:w="110"/>
              <w:bottom w:type="dxa" w:w="50"/>
              <w:right w:type="dxa" w:w="110"/>
            </w:tcMar>
          </w:tcPr>
          <w:p>
            <w:pPr>
              <w:spacing w:before="28" w:after="28"/>
            </w:pPr>
            <w:r>
              <w:rPr>
                <w:sz w:val="15"/>
                <w:szCs w:val="15"/>
              </w:rPr>
              <w:t xml:space="preserve">40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40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6</w:t>
            </w:r>
          </w:p>
        </w:tc>
        <w:tc>
          <w:tcPr>
            <w:tcW w:type="pct" w:w="700"/>
            <w:tcMar>
              <w:top w:type="dxa" w:w="50"/>
              <w:left w:type="dxa" w:w="110"/>
              <w:bottom w:type="dxa" w:w="50"/>
              <w:right w:type="dxa" w:w="110"/>
            </w:tcMar>
          </w:tcPr>
          <w:p>
            <w:pPr>
              <w:spacing w:before="28" w:after="28"/>
            </w:pPr>
            <w:r>
              <w:rPr>
                <w:sz w:val="15"/>
                <w:szCs w:val="15"/>
              </w:rPr>
              <w:t xml:space="preserve">Jan 31</w:t>
            </w:r>
          </w:p>
        </w:tc>
        <w:tc>
          <w:tcPr>
            <w:tcW w:type="pct" w:w="2200"/>
            <w:tcMar>
              <w:top w:type="dxa" w:w="50"/>
              <w:left w:type="dxa" w:w="110"/>
              <w:bottom w:type="dxa" w:w="50"/>
              <w:right w:type="dxa" w:w="110"/>
            </w:tcMar>
          </w:tcPr>
          <w:p>
            <w:pPr>
              <w:spacing w:before="28" w:after="28"/>
            </w:pPr>
            <w:r>
              <w:rPr>
                <w:sz w:val="15"/>
                <w:szCs w:val="15"/>
              </w:rPr>
              <w:t xml:space="preserve">Retained earnings (dividends declared)</w:t>
            </w:r>
          </w:p>
        </w:tc>
        <w:tc>
          <w:tcPr>
            <w:tcW w:type="pct" w:w="700"/>
            <w:tcMar>
              <w:top w:type="dxa" w:w="50"/>
              <w:left w:type="dxa" w:w="110"/>
              <w:bottom w:type="dxa" w:w="50"/>
              <w:right w:type="dxa" w:w="110"/>
            </w:tcMar>
          </w:tcPr>
          <w:p>
            <w:pPr>
              <w:spacing w:before="28" w:after="28"/>
            </w:pPr>
            <w:r>
              <w:rPr>
                <w:sz w:val="15"/>
                <w:szCs w:val="15"/>
              </w:rPr>
              <w:t xml:space="preserve">50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Jan 31   ·   bottling   ·   Wages expense   ·   Borrowed   ·   Equipment   ·   Sales revenue   ·   Accounts receivable   ·   Cash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27–35</w:t>
      </w:r>
    </w:p>
    <w:p>
      <w:pPr>
        <w:spacing w:before="20" w:after="20" w:line="360" w:lineRule="auto"/>
        <w:ind w:left="200"/>
      </w:pPr>
      <w:r>
        <w:rPr>
          <w:sz w:val="19"/>
          <w:szCs w:val="19"/>
        </w:rPr>
        <w:t xml:space="preserve">Check each entry: the debits equal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and lenders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owners   ·   February   ·   delivers   ·   points   ·   liability   ·   equation   ·   credits   ·   advance   ·   financing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36–39</w:t>
      </w:r>
    </w:p>
    <w:p>
      <w:pPr>
        <w:spacing w:before="20" w:after="20" w:line="360" w:lineRule="auto"/>
        <w:ind w:left="200"/>
      </w:pPr>
      <w:r>
        <w:rPr>
          <w:sz w:val="19"/>
          <w:szCs w:val="19"/>
        </w:rPr>
        <w:t xml:space="preserve">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equation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40–48</w:t>
      </w:r>
    </w:p>
    <w:p>
      <w:pPr>
        <w:spacing w:before="20" w:after="20" w:line="360" w:lineRule="auto"/>
        <w:ind w:left="200"/>
      </w:pPr>
      <w:r>
        <w:rPr>
          <w:sz w:val="19"/>
          <w:szCs w:val="19"/>
        </w:rPr>
        <w:t xml:space="preserve">Here are six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Feb 3: Paid a supplier for olives bought on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in January. </w:t>
      </w:r>
      <w:r>
        <w:rPr>
          <w:sz w:val="19"/>
          <w:szCs w:val="19"/>
        </w:rPr>
        <w:t xml:space="preserve">Feb 8: Collected part of the January receivable from GreenBasket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Feb 10: Paid 12 months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rent in advance. </w:t>
      </w:r>
      <w:r>
        <w:rPr>
          <w:sz w:val="19"/>
          <w:szCs w:val="19"/>
        </w:rPr>
        <w:t xml:space="preserve">Feb 12: A Dubai hotel group paid cash in advance for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that Orontes will deliver in March. </w:t>
      </w:r>
      <w:r>
        <w:rPr>
          <w:sz w:val="19"/>
          <w:szCs w:val="19"/>
        </w:rPr>
        <w:t xml:space="preserve">Feb 15: Paid the </w:t>
      </w:r>
      <w:r>
        <w:rPr>
          <w:b/>
          <w:bCs/>
          <w:color w:val="8186EF"/>
          <w:sz w:val="15"/>
          <w:szCs w:val="15"/>
        </w:rPr>
        <w:t xml:space="preserve"> (45) </w:t>
      </w:r>
      <w:r>
        <w:rPr>
          <w:u w:val="single"/>
          <w:sz w:val="19"/>
          <w:szCs w:val="19"/>
        </w:rPr>
        <w:t xml:space="preserve">           </w:t>
      </w:r>
      <w:r>
        <w:rPr>
          <w:sz w:val="19"/>
          <w:szCs w:val="19"/>
        </w:rPr>
        <w:t xml:space="preserve"> </w:t>
      </w:r>
      <w:r>
        <w:rPr>
          <w:sz w:val="19"/>
          <w:szCs w:val="19"/>
        </w:rPr>
        <w:t xml:space="preserve"> declared on January 31. </w:t>
      </w:r>
      <w:r>
        <w:rPr>
          <w:sz w:val="19"/>
          <w:szCs w:val="19"/>
        </w:rPr>
        <w:t xml:space="preserve">Feb 28: </w:t>
      </w:r>
      <w:r>
        <w:rPr>
          <w:b/>
          <w:bCs/>
          <w:color w:val="8186EF"/>
          <w:sz w:val="15"/>
          <w:szCs w:val="15"/>
        </w:rPr>
        <w:t xml:space="preserve"> (46) </w:t>
      </w:r>
      <w:r>
        <w:rPr>
          <w:u w:val="single"/>
          <w:sz w:val="19"/>
          <w:szCs w:val="19"/>
        </w:rPr>
        <w:t xml:space="preserve">           </w:t>
      </w:r>
      <w:r>
        <w:rPr>
          <w:sz w:val="19"/>
          <w:szCs w:val="19"/>
        </w:rPr>
        <w:t xml:space="preserve"> </w:t>
      </w:r>
      <w:r>
        <w:rPr>
          <w:sz w:val="19"/>
          <w:szCs w:val="19"/>
        </w:rPr>
        <w:t xml:space="preserve"> one month of interest on the bank note. </w:t>
      </w:r>
      <w:r>
        <w:rPr>
          <w:sz w:val="19"/>
          <w:szCs w:val="19"/>
        </w:rPr>
        <w:t xml:space="preserve">Orontes has not paid it yet. </w:t>
      </w:r>
      <w:r>
        <w:rPr>
          <w:sz w:val="19"/>
          <w:szCs w:val="19"/>
        </w:rPr>
        <w:t xml:space="preserve">Rows 1 to 3 are done for you. </w:t>
      </w:r>
      <w:r>
        <w:rPr>
          <w:sz w:val="19"/>
          <w:szCs w:val="19"/>
        </w:rPr>
        <w:t xml:space="preserve"/>
      </w:r>
      <w:r>
        <w:rPr>
          <w:b/>
          <w:bCs/>
          <w:color w:val="8186EF"/>
          <w:sz w:val="15"/>
          <w:szCs w:val="15"/>
        </w:rPr>
        <w:t xml:space="preserve"> (47)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w:t>
      </w:r>
      <w:r>
        <w:rPr>
          <w:b/>
          <w:bCs/>
          <w:color w:val="8186EF"/>
          <w:sz w:val="15"/>
          <w:szCs w:val="15"/>
        </w:rPr>
        <w:t xml:space="preserve"> (48) </w:t>
      </w:r>
      <w:r>
        <w:rPr>
          <w:u w:val="single"/>
          <w:sz w:val="19"/>
          <w:szCs w:val="19"/>
        </w:rPr>
        <w:t xml:space="preserve">           </w:t>
      </w:r>
      <w:r>
        <w:rPr>
          <w:sz w:val="19"/>
          <w:szCs w:val="19"/>
        </w:rPr>
        <w:t xml:space="preserve"> </w:t>
      </w:r>
      <w:r>
        <w:rPr>
          <w:sz w:val="19"/>
          <w:szCs w:val="19"/>
        </w:rPr>
        <w:t xml:space="preserve">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Complete   ·   warehouse   ·   pastries   ·   equation   ·   credit   ·   journal   ·   transactions   ·   Supermarkets   ·   dividend   ·   Recorded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pageBreakBefore w:val="true"/>
        <w:spacing w:after="0"/>
      </w:pPr>
      <w:r>
        <w:rPr>
          <w:sz w:val="2"/>
        </w:rPr>
        <w:t xml:space="preserve"> </w:t>
      </w:r>
    </w:p>
    <w:p>
      <w:pPr>
        <w:spacing w:before="44" w:after="14"/>
      </w:pPr>
      <w:r>
        <w:rPr>
          <w:b/>
          <w:bCs/>
          <w:color w:val="353A7C"/>
          <w:sz w:val="18"/>
          <w:szCs w:val="18"/>
        </w:rPr>
        <w:t xml:space="preserve">Summary 6</w:t>
      </w:r>
      <w:r>
        <w:rPr>
          <w:color w:val="6B7280"/>
          <w:sz w:val="16"/>
          <w:szCs w:val="16"/>
        </w:rPr>
        <w:t xml:space="preserve">      gaps 49–54</w:t>
      </w:r>
    </w:p>
    <w:p>
      <w:pPr>
        <w:spacing w:before="20" w:after="20" w:line="360" w:lineRule="auto"/>
        <w:ind w:left="200"/>
      </w:pPr>
      <w:r>
        <w:rPr>
          <w:sz w:val="19"/>
          <w:szCs w:val="19"/>
        </w:rPr>
        <w:t xml:space="preserve">X is debited (or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is to increase... </w:t>
      </w:r>
      <w:r>
        <w:rPr>
          <w:sz w:val="19"/>
          <w:szCs w:val="19"/>
        </w:rPr>
        <w:t xml:space="preserve">In English, always say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w:t>
      </w:r>
      <w:r>
        <w:rPr>
          <w:sz w:val="19"/>
          <w:szCs w:val="19"/>
        </w:rPr>
        <w:t xml:space="preserve">An allowance (for example, the allowance for credit losses) reduces an </w:t>
      </w:r>
      <w:r>
        <w:rPr>
          <w:b/>
          <w:bCs/>
          <w:color w:val="8186EF"/>
          <w:sz w:val="15"/>
          <w:szCs w:val="15"/>
        </w:rPr>
        <w:t xml:space="preserve"> (52) </w:t>
      </w:r>
      <w:r>
        <w:rPr>
          <w:u w:val="single"/>
          <w:sz w:val="19"/>
          <w:szCs w:val="19"/>
        </w:rPr>
        <w:t xml:space="preserve">           </w:t>
      </w:r>
      <w:r>
        <w:rPr>
          <w:sz w:val="19"/>
          <w:szCs w:val="19"/>
        </w:rPr>
        <w:t xml:space="preserve"> </w:t>
      </w:r>
      <w:r>
        <w:rPr>
          <w:sz w:val="19"/>
          <w:szCs w:val="19"/>
        </w:rPr>
        <w:t xml:space="preserve">. </w:t>
      </w:r>
      <w:r>
        <w:rPr>
          <w:sz w:val="19"/>
          <w:szCs w:val="19"/>
        </w:rPr>
        <w:t xml:space="preserve">A provision is a </w:t>
      </w:r>
      <w:r>
        <w:rPr>
          <w:b/>
          <w:bCs/>
          <w:color w:val="8186EF"/>
          <w:sz w:val="15"/>
          <w:szCs w:val="15"/>
        </w:rPr>
        <w:t xml:space="preserve"> (53) </w:t>
      </w:r>
      <w:r>
        <w:rPr>
          <w:u w:val="single"/>
          <w:sz w:val="19"/>
          <w:szCs w:val="19"/>
        </w:rPr>
        <w:t xml:space="preserve">           </w:t>
      </w:r>
      <w:r>
        <w:rPr>
          <w:sz w:val="19"/>
          <w:szCs w:val="19"/>
        </w:rPr>
        <w:t xml:space="preserve"> </w:t>
      </w:r>
      <w:r>
        <w:rPr>
          <w:sz w:val="19"/>
          <w:szCs w:val="19"/>
        </w:rPr>
        <w:t xml:space="preserve">. </w:t>
      </w:r>
      <w:r>
        <w:rPr>
          <w:sz w:val="19"/>
          <w:szCs w:val="19"/>
        </w:rPr>
        <w:t xml:space="preserve">Never say </w:t>
      </w:r>
      <w:r>
        <w:rPr>
          <w:b/>
          <w:bCs/>
          <w:color w:val="8186EF"/>
          <w:sz w:val="15"/>
          <w:szCs w:val="15"/>
        </w:rPr>
        <w:t xml:space="preserve"> (54) </w:t>
      </w:r>
      <w:r>
        <w:rPr>
          <w:u w:val="single"/>
          <w:sz w:val="19"/>
          <w:szCs w:val="19"/>
        </w:rPr>
        <w:t xml:space="preserve">           </w:t>
      </w:r>
      <w:r>
        <w:rPr>
          <w:sz w:val="19"/>
          <w:szCs w:val="19"/>
        </w:rPr>
        <w:t xml:space="preserve"> </w:t>
      </w:r>
      <w:r>
        <w:rPr>
          <w:sz w:val="19"/>
          <w:szCs w:val="19"/>
        </w:rPr>
        <w:t xml:space="preserve"> for bad debts in a U.S. GAAP answer. </w:t>
      </w:r>
      <w:r>
        <w:rPr>
          <w:sz w:val="19"/>
          <w:szCs w:val="19"/>
        </w:rPr>
        <w:t xml:space="preserve">That is the bank's view. </w:t>
      </w:r>
      <w:r>
        <w:rPr>
          <w:sz w:val="19"/>
          <w:szCs w:val="19"/>
        </w:rPr>
        <w:t xml:space="preserve">Do not use banking habits to guess the accounting side.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   belongs   ·   reserve   ·   credited   ·   liability   ·   depreciation   ·   asset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 value   ·   normal balance   ·   double-entry system   ·   debit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expanded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pastries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journal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Jan 31</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Wages expense</w:t>
            </w:r>
          </w:p>
        </w:tc>
        <w:tc>
          <w:tcPr>
            <w:tcW w:type="pct" w:w="2500"/>
            <w:tcMar>
              <w:top w:type="dxa" w:w="20"/>
              <w:left w:type="dxa" w:w="80"/>
              <w:bottom w:type="dxa" w:w="20"/>
              <w:right w:type="dxa" w:w="80"/>
            </w:tcMar>
          </w:tcPr>
          <w:p>
            <w:pPr>
              <w:spacing w:before="12" w:after="12"/>
            </w:pPr>
            <w:r>
              <w:rPr>
                <w:b/>
                <w:bCs/>
                <w:color w:val="8186EF"/>
                <w:sz w:val="16"/>
                <w:szCs w:val="16"/>
              </w:rPr>
              <w:t xml:space="preserve">54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55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56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57  </w:t>
            </w:r>
            <w:r>
              <w:rPr>
                <w:sz w:val="16"/>
                <w:szCs w:val="16"/>
              </w:rPr>
              <w:t xml:space="preserve">normal 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owners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The expanded equation at the bottom is a useful memory aid.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Feb 3: Paid a supplier for olives bought on credit in January. Feb 8: Collected part of the January receivable from GreenBasket Supermarkets. Feb 10: Paid 12 months of warehouse rent in advance. Feb 12: A Dubai hotel group paid cash in advance for pastries that Orontes will deliver in March. Feb 15: Paid the dividend declared on January 31. Feb 28: Recorded one month of interest on the bank note. Orontes has not paid it yet. Rows 1 to 3 are done for you.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 In English, always say depreciation. An allowance (for example, the allowance for credit losses) reduces an asset. A provision is a liability. Never say reserve for bad debts in a U.S. GAAP answer. That is the bank's view. Do not use banking habits to guess the accounting side.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20, 2025, Orontes ships olive oil to GreenBasket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sends an invoice for 90. </w:t>
      </w:r>
      <w:r>
        <w:rPr>
          <w:sz w:val="19"/>
          <w:szCs w:val="19"/>
        </w:rPr>
        <w:t xml:space="preserve">The goods cost Orontes 54. </w:t>
      </w:r>
      <w:r>
        <w:rPr>
          <w:sz w:val="19"/>
          <w:szCs w:val="19"/>
        </w:rPr>
        <w:t xml:space="preserve">GreenBasket pays on January 15, 2026. </w:t>
      </w:r>
      <w:r>
        <w:rPr>
          <w:sz w:val="19"/>
          <w:szCs w:val="19"/>
        </w:rPr>
        <w:t xml:space="preserve">Under the accrual basis, Orontes records the revenue and the cost of goods sold in fiscal 2025, the year it delivered the goods. </w:t>
      </w:r>
      <w:r>
        <w:rPr>
          <w:sz w:val="19"/>
          <w:szCs w:val="19"/>
        </w:rPr>
        <w:t xml:space="preserve">The gross profit of 36 belongs to 2025.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December   ·   decide   ·   belongs   ·   revenues   ·   received   ·   statements   ·   Supermarkets   ·   timing</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cash receipt only changes one asset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into another asset (cash). </w:t>
      </w:r>
      <w:r>
        <w:rPr>
          <w:sz w:val="19"/>
          <w:szCs w:val="19"/>
        </w:rPr>
        <w:t xml:space="preserve">Under the cash basis, the revenue would fall in 2026, which is the wrong period. </w:t>
      </w:r>
      <w:r>
        <w:rPr>
          <w:sz w:val="19"/>
          <w:szCs w:val="19"/>
        </w:rPr>
        <w:t xml:space="preserve">The matching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bottling   ·   transactions   ·   classic   ·   T-account   ·   principle   ·   receivable   ·   Depreciation   ·   incurred   ·   Systematic   ·   directly   ·   January   ·   adjustment</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Two of these names are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30–31</w:t>
      </w:r>
    </w:p>
    <w:p>
      <w:pPr>
        <w:spacing w:before="20" w:after="20" w:line="360" w:lineRule="auto"/>
        <w:ind w:left="200"/>
      </w:pPr>
      <w:r>
        <w:rPr>
          <w:sz w:val="19"/>
          <w:szCs w:val="19"/>
        </w:rPr>
        <w:t xml:space="preserve">Cash received in advance is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expense   ·   liability</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prepaid expense   ·   contract liability (unearned revenue)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Systematic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contract liability (unearned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classic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On December 20, 2025, Orontes ships olive oil to GreenBasket Supermarkets and sends an invoice for 90. The goods cost Orontes 54. GreenBasket pays on January 15, 2026. Under the accrual basis, Orontes records the revenue and the cost of goods sold in fiscal 2025, the year it delivered the goods. The gross profit of 36 belongs to 2025.</w:t>
      </w:r>
    </w:p>
    <w:p>
      <w:pPr>
        <w:spacing w:before="20" w:after="20"/>
        <w:ind w:left="240" w:hanging="240"/>
      </w:pPr>
      <w:r>
        <w:rPr>
          <w:b/>
          <w:bCs/>
          <w:color w:val="353A7C"/>
          <w:sz w:val="15"/>
          <w:szCs w:val="15"/>
        </w:rPr>
        <w:t xml:space="preserve">Summary 2   </w:t>
      </w:r>
      <w:r>
        <w:rPr>
          <w:color w:val="6B7280"/>
          <w:sz w:val="15"/>
          <w:szCs w:val="15"/>
        </w:rPr>
        <w:t xml:space="preserve">In January, the cash receipt only changes one asset (the receivable) into another asset (cash). Under the cash basis, the revenue would fall in 2026, which is the wrong period. 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 the United States, the accounting rules are called 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accepted accounting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generally   ·   recognizes   ·   changes   ·   oversees   ·   nongovernmental   ·   report   ·   principles   ·   Securities   ·   writes   ·   organization   ·   authoritative   ·   revenue   ·   organized</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The PCAOB 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primary users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30–31</w:t>
      </w:r>
    </w:p>
    <w:p>
      <w:pPr>
        <w:spacing w:before="20" w:after="20" w:line="360" w:lineRule="auto"/>
        <w:ind w:left="200"/>
      </w:pPr>
      <w:r>
        <w:rPr>
          <w:sz w:val="19"/>
          <w:szCs w:val="19"/>
        </w:rPr>
        <w:t xml:space="preserve">FASB: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generally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Middle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SEC</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double-entry system</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describes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statement of financial position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disclose</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   ·   6   ·   dividend   ·   4</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tcMar>
              <w:top w:type="dxa" w:w="50"/>
              <w:left w:type="dxa" w:w="110"/>
              <w:bottom w:type="dxa" w:w="50"/>
              <w:right w:type="dxa" w:w="110"/>
            </w:tcMar>
          </w:tcPr>
          <w:p>
            <w:pPr>
              <w:spacing w:before="28" w:after="28"/>
            </w:pPr>
            <w:r>
              <w:rPr>
                <w:sz w:val="15"/>
                <w:szCs w:val="15"/>
              </w:rPr>
              <w:t xml:space="preserve">Revenue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Expense</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Asset   ·   Equity   ·   Debit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fb3409c59d5ba967155659445d60da5da01136b.png" Type="http://schemas.openxmlformats.org/officeDocument/2006/relationships/image"/><Relationship Id="rId102" Target="media/e6cd6c3f15face523ac58431cbe41acddf35ae08.png" Type="http://schemas.openxmlformats.org/officeDocument/2006/relationships/image"/><Relationship Id="rId103" Target="media/21f6a451e2701825b997f01d8e7ac7d40d3a3ac5.png" Type="http://schemas.openxmlformats.org/officeDocument/2006/relationships/image"/><Relationship Id="rId104" Target="media/e394543c29ca0c7e7e02f4ee2e2ffca62c555660.png" Type="http://schemas.openxmlformats.org/officeDocument/2006/relationships/image"/><Relationship Id="rId105" Target="media/a5ba304055d8dc8bf74baa59f834ffa0d8b6b2b1.png" Type="http://schemas.openxmlformats.org/officeDocument/2006/relationships/image"/><Relationship Id="rId106" Target="media/9274e320d00cc1f15fc5d976bc9a92aad3a8d9a9.png" Type="http://schemas.openxmlformats.org/officeDocument/2006/relationships/image"/><Relationship Id="rId107" Target="media/a21839203d8366da0bdb003e8f133c171c18bfcf.png" Type="http://schemas.openxmlformats.org/officeDocument/2006/relationships/image"/><Relationship Id="rId108" Target="media/606b29f8e606b81a649bb3ab3cb2a9fdad59a237.png" Type="http://schemas.openxmlformats.org/officeDocument/2006/relationships/image"/><Relationship Id="rId109" Target="media/efef428e16f6bcd528bc2d7543a0c9f34eefe1aa.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0dece7206b1150af26055271d0da2e81b778f13e.png" Type="http://schemas.openxmlformats.org/officeDocument/2006/relationships/image"/><Relationship Id="rId113" Target="media/bc498578c61b76cbb87adfe3bbe9e1d2d1297a7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Summary handouts</dc:subject>
  <cp:category>Student Book</cp:category>
</cp:coreProperties>
</file>