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2.1  Purpose and structure of the balance sheet</w:t>
            </w:r>
          </w:p>
          <w:p>
            <w:pPr>
              <w:spacing w:before="0" w:after="46"/>
            </w:pPr>
            <w:r>
              <w:rPr>
                <w:color w:val="E8EAF6"/>
                <w:sz w:val="16"/>
                <w:szCs w:val="16"/>
              </w:rPr>
              <w:t xml:space="preserve">Chapter 2 · section 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Purpose and structure of the balance sheet   ·   right of setoff   ·   Other presentation matters</w:t>
            </w:r>
          </w:p>
        </w:tc>
      </w:tr>
    </w:tbl>
    <w:p/>
    <w:p>
      <w:pPr>
        <w:spacing w:before="44" w:after="14"/>
      </w:pPr>
      <w:r>
        <w:rPr>
          <w:b/>
          <w:bCs/>
          <w:color w:val="353A7C"/>
          <w:sz w:val="18"/>
          <w:szCs w:val="18"/>
        </w:rPr>
        <w:t xml:space="preserve">Summary 1</w:t>
      </w:r>
      <w:r>
        <w:rPr>
          <w:color w:val="6B7280"/>
          <w:sz w:val="16"/>
          <w:szCs w:val="16"/>
        </w:rPr>
        <w:t xml:space="preserve">      gaps 3–14</w:t>
      </w:r>
    </w:p>
    <w:p>
      <w:pPr>
        <w:spacing w:before="20" w:after="20" w:line="360" w:lineRule="auto"/>
        <w:ind w:left="200"/>
      </w:pPr>
      <w:r>
        <w:rPr>
          <w:sz w:val="19"/>
          <w:szCs w:val="19"/>
        </w:rPr>
        <w:t xml:space="preserve">The balance sheet reports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assets, liabilities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at one point in time. </w:t>
      </w:r>
      <w:r>
        <w:rPr>
          <w:sz w:val="19"/>
          <w:szCs w:val="19"/>
        </w:rPr>
        <w:t xml:space="preserve">It answers three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investors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Can the company pay its bills in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months? This is liquidity. </w:t>
      </w:r>
      <w:r>
        <w:rPr>
          <w:sz w:val="19"/>
          <w:szCs w:val="19"/>
        </w:rPr>
        <w:t xml:space="preserve">Can it pay all its debts over time? This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Can it raise cash or change its plans if something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happens? This is financial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U.S. companies that file with the SEC present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balance sheet. </w:t>
      </w:r>
      <w:r>
        <w:rPr>
          <w:sz w:val="19"/>
          <w:szCs w:val="19"/>
        </w:rPr>
        <w:t xml:space="preserve">It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current from noncurrent assets and current from noncurrent liabilities, so users can see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position at once. </w:t>
      </w:r>
      <w:r>
        <w:rPr>
          <w:sz w:val="19"/>
          <w:szCs w:val="19"/>
        </w:rPr>
        <w:t xml:space="preserve">Some companies, such as banks, list items in order of liquidity instead, without a current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All the amounts come from the same records as the earlier chapters on receivables, inventory, investments and long-lived assets. </w:t>
      </w:r>
      <w:r>
        <w:rPr>
          <w:sz w:val="19"/>
          <w:szCs w:val="19"/>
        </w:rPr>
        <w:t xml:space="preserve">For example, the equity-method investments include Jordan Glass Co. from, and goodwill fell after the impairments.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unexpected   ·   questions   ·   company's   ·   solvency   ·   lenders   ·   equity   ·   current   ·   classified   ·   subtotal   ·   separates   ·   coming   ·   flexibility   ·   short-term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 classified balance sheets at December 31, 2025 and 2024</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Orontes Foods Inc. (whole USD)</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Dec 31, 2025</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Dec 31, 2024</w:t>
            </w:r>
          </w:p>
        </w:tc>
      </w:tr>
      <w:tr>
        <w:tc>
          <w:tcPr>
            <w:tcW w:type="pct" w:w="2200"/>
            <w:tcMar>
              <w:top w:type="dxa" w:w="50"/>
              <w:left w:type="dxa" w:w="110"/>
              <w:bottom w:type="dxa" w:w="50"/>
              <w:right w:type="dxa" w:w="110"/>
            </w:tcMar>
          </w:tcPr>
          <w:p>
            <w:pPr>
              <w:spacing w:before="28" w:after="28"/>
            </w:pPr>
            <w:r>
              <w:rPr>
                <w:sz w:val="15"/>
                <w:szCs w:val="15"/>
              </w:rPr>
              <w:t xml:space="preserve">ASSETS</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Current assets</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Cash</w:t>
            </w:r>
          </w:p>
        </w:tc>
        <w:tc>
          <w:tcPr>
            <w:tcW w:type="pct" w:w="1400"/>
            <w:tcMar>
              <w:top w:type="dxa" w:w="50"/>
              <w:left w:type="dxa" w:w="110"/>
              <w:bottom w:type="dxa" w:w="50"/>
              <w:right w:type="dxa" w:w="110"/>
            </w:tcMar>
          </w:tcPr>
          <w:p>
            <w:pPr>
              <w:spacing w:before="28" w:after="28"/>
            </w:pPr>
            <w:r>
              <w:rPr>
                <w:sz w:val="15"/>
                <w:szCs w:val="15"/>
              </w:rPr>
              <w:t xml:space="preserve">7,302,100</w:t>
            </w:r>
          </w:p>
        </w:tc>
        <w:tc>
          <w:tcPr>
            <w:tcW w:type="pct" w:w="1400"/>
            <w:tcMar>
              <w:top w:type="dxa" w:w="50"/>
              <w:left w:type="dxa" w:w="110"/>
              <w:bottom w:type="dxa" w:w="50"/>
              <w:right w:type="dxa" w:w="110"/>
            </w:tcMar>
          </w:tcPr>
          <w:p>
            <w:pPr>
              <w:spacing w:before="28" w:after="28"/>
            </w:pPr>
            <w:r>
              <w:rPr>
                <w:sz w:val="15"/>
                <w:szCs w:val="15"/>
              </w:rPr>
              <w:t xml:space="preserve">2,100,000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Trading securities</w:t>
            </w:r>
          </w:p>
        </w:tc>
        <w:tc>
          <w:tcPr>
            <w:tcW w:type="pct" w:w="1400"/>
            <w:shd w:fill="FBFAF6" w:val="clear"/>
            <w:tcMar>
              <w:top w:type="dxa" w:w="50"/>
              <w:left w:type="dxa" w:w="110"/>
              <w:bottom w:type="dxa" w:w="50"/>
              <w:right w:type="dxa" w:w="110"/>
            </w:tcMar>
          </w:tcPr>
          <w:p>
            <w:pPr>
              <w:spacing w:before="28" w:after="28"/>
            </w:pPr>
            <w:r>
              <w:rPr>
                <w:sz w:val="15"/>
                <w:szCs w:val="15"/>
              </w:rPr>
              <w:t xml:space="preserve">42,000</w:t>
            </w:r>
          </w:p>
        </w:tc>
        <w:tc>
          <w:tcPr>
            <w:tcW w:type="pct" w:w="1400"/>
            <w:shd w:fill="FBFAF6" w:val="clear"/>
            <w:tcMar>
              <w:top w:type="dxa" w:w="50"/>
              <w:left w:type="dxa" w:w="110"/>
              <w:bottom w:type="dxa" w:w="50"/>
              <w:right w:type="dxa" w:w="110"/>
            </w:tcMar>
          </w:tcPr>
          <w:p>
            <w:pPr>
              <w:spacing w:before="28" w:after="28"/>
            </w:pPr>
            <w:r>
              <w:rPr>
                <w:sz w:val="15"/>
                <w:szCs w:val="15"/>
              </w:rPr>
              <w:t xml:space="preserve">40,000</w:t>
            </w:r>
          </w:p>
        </w:tc>
      </w:tr>
      <w:tr>
        <w:tc>
          <w:tcPr>
            <w:tcW w:type="pct" w:w="2200"/>
            <w:tcMar>
              <w:top w:type="dxa" w:w="50"/>
              <w:left w:type="dxa" w:w="110"/>
              <w:bottom w:type="dxa" w:w="50"/>
              <w:right w:type="dxa" w:w="110"/>
            </w:tcMar>
          </w:tcPr>
          <w:p>
            <w:pPr>
              <w:spacing w:before="28" w:after="28"/>
            </w:pPr>
            <w:r>
              <w:rPr>
                <w:sz w:val="15"/>
                <w:szCs w:val="15"/>
              </w:rPr>
              <w:t xml:space="preserve">Accounts </w:t>
            </w:r>
            <w:r>
              <w:rPr>
                <w:b/>
                <w:bCs/>
                <w:color w:val="8186EF"/>
                <w:sz w:val="14"/>
                <w:szCs w:val="14"/>
              </w:rPr>
              <w:t xml:space="preserve"> (15) </w:t>
            </w:r>
            <w:r>
              <w:rPr>
                <w:u w:val="single"/>
                <w:sz w:val="15"/>
                <w:szCs w:val="15"/>
              </w:rPr>
              <w:t xml:space="preserve">              </w:t>
            </w:r>
            <w:r>
              <w:rPr>
                <w:sz w:val="15"/>
                <w:szCs w:val="15"/>
              </w:rPr>
              <w:t xml:space="preserve"> </w:t>
            </w:r>
            <w:r>
              <w:rPr>
                <w:sz w:val="15"/>
                <w:szCs w:val="15"/>
              </w:rPr>
              <w:t xml:space="preserve">, net of allowance (2025: 156,000; 2024: 140,000)</w:t>
            </w:r>
          </w:p>
        </w:tc>
        <w:tc>
          <w:tcPr>
            <w:tcW w:type="pct" w:w="1400"/>
            <w:tcMar>
              <w:top w:type="dxa" w:w="50"/>
              <w:left w:type="dxa" w:w="110"/>
              <w:bottom w:type="dxa" w:w="50"/>
              <w:right w:type="dxa" w:w="110"/>
            </w:tcMar>
          </w:tcPr>
          <w:p>
            <w:pPr>
              <w:spacing w:before="28" w:after="28"/>
            </w:pPr>
            <w:r>
              <w:rPr>
                <w:sz w:val="15"/>
                <w:szCs w:val="15"/>
              </w:rPr>
              <w:t xml:space="preserve">4,144,000</w:t>
            </w:r>
          </w:p>
        </w:tc>
        <w:tc>
          <w:tcPr>
            <w:tcW w:type="pct" w:w="1400"/>
            <w:tcMar>
              <w:top w:type="dxa" w:w="50"/>
              <w:left w:type="dxa" w:w="110"/>
              <w:bottom w:type="dxa" w:w="50"/>
              <w:right w:type="dxa" w:w="110"/>
            </w:tcMar>
          </w:tcPr>
          <w:p>
            <w:pPr>
              <w:spacing w:before="28" w:after="28"/>
            </w:pPr>
            <w:r>
              <w:rPr>
                <w:sz w:val="15"/>
                <w:szCs w:val="15"/>
              </w:rPr>
              <w:t xml:space="preserve">3,760,000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Inventory</w:t>
            </w:r>
          </w:p>
        </w:tc>
        <w:tc>
          <w:tcPr>
            <w:tcW w:type="pct" w:w="1400"/>
            <w:shd w:fill="FBFAF6" w:val="clear"/>
            <w:tcMar>
              <w:top w:type="dxa" w:w="50"/>
              <w:left w:type="dxa" w:w="110"/>
              <w:bottom w:type="dxa" w:w="50"/>
              <w:right w:type="dxa" w:w="110"/>
            </w:tcMar>
          </w:tcPr>
          <w:p>
            <w:pPr>
              <w:spacing w:before="28" w:after="28"/>
            </w:pPr>
            <w:r>
              <w:rPr>
                <w:sz w:val="15"/>
                <w:szCs w:val="15"/>
              </w:rPr>
              <w:t xml:space="preserve">2,450,000</w:t>
            </w:r>
          </w:p>
        </w:tc>
        <w:tc>
          <w:tcPr>
            <w:tcW w:type="pct" w:w="1400"/>
            <w:shd w:fill="FBFAF6" w:val="clear"/>
            <w:tcMar>
              <w:top w:type="dxa" w:w="50"/>
              <w:left w:type="dxa" w:w="110"/>
              <w:bottom w:type="dxa" w:w="50"/>
              <w:right w:type="dxa" w:w="110"/>
            </w:tcMar>
          </w:tcPr>
          <w:p>
            <w:pPr>
              <w:spacing w:before="28" w:after="28"/>
            </w:pPr>
            <w:r>
              <w:rPr>
                <w:sz w:val="15"/>
                <w:szCs w:val="15"/>
              </w:rPr>
              <w:t xml:space="preserve">2,300,000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400"/>
            <w:tcMar>
              <w:top w:type="dxa" w:w="50"/>
              <w:left w:type="dxa" w:w="110"/>
              <w:bottom w:type="dxa" w:w="50"/>
              <w:right w:type="dxa" w:w="110"/>
            </w:tcMar>
          </w:tcPr>
          <w:p>
            <w:pPr>
              <w:spacing w:before="28" w:after="28"/>
            </w:pPr>
            <w:r>
              <w:rPr>
                <w:sz w:val="15"/>
                <w:szCs w:val="15"/>
              </w:rPr>
              <w:t xml:space="preserve">204,000</w:t>
            </w:r>
          </w:p>
        </w:tc>
        <w:tc>
          <w:tcPr>
            <w:tcW w:type="pct" w:w="1400"/>
            <w:tcMar>
              <w:top w:type="dxa" w:w="50"/>
              <w:left w:type="dxa" w:w="110"/>
              <w:bottom w:type="dxa" w:w="50"/>
              <w:right w:type="dxa" w:w="110"/>
            </w:tcMar>
          </w:tcPr>
          <w:p>
            <w:pPr>
              <w:spacing w:before="28" w:after="28"/>
            </w:pPr>
            <w:r>
              <w:rPr>
                <w:sz w:val="15"/>
                <w:szCs w:val="15"/>
              </w:rPr>
              <w:t xml:space="preserve">180,000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Assets held for sale</w:t>
            </w:r>
          </w:p>
        </w:tc>
        <w:tc>
          <w:tcPr>
            <w:tcW w:type="pct" w:w="1400"/>
            <w:shd w:fill="FBFAF6" w:val="clear"/>
            <w:tcMar>
              <w:top w:type="dxa" w:w="50"/>
              <w:left w:type="dxa" w:w="110"/>
              <w:bottom w:type="dxa" w:w="50"/>
              <w:right w:type="dxa" w:w="110"/>
            </w:tcMar>
          </w:tcPr>
          <w:p>
            <w:pPr>
              <w:spacing w:before="28" w:after="28"/>
            </w:pPr>
            <w:r>
              <w:rPr>
                <w:sz w:val="15"/>
                <w:szCs w:val="15"/>
              </w:rPr>
              <w:t xml:space="preserve">46,000</w:t>
            </w:r>
          </w:p>
        </w:tc>
        <w:tc>
          <w:tcPr>
            <w:tcW w:type="pct" w:w="1400"/>
            <w:shd w:fill="FBFAF6" w:val="clear"/>
            <w:tcMar>
              <w:top w:type="dxa" w:w="50"/>
              <w:left w:type="dxa" w:w="110"/>
              <w:bottom w:type="dxa" w:w="50"/>
              <w:right w:type="dxa" w:w="110"/>
            </w:tcMar>
          </w:tcPr>
          <w:p>
            <w:pPr>
              <w:spacing w:before="28" w:after="28"/>
            </w:pPr>
            <w:r>
              <w:rPr>
                <w:sz w:val="15"/>
                <w:szCs w:val="15"/>
              </w:rPr>
              <w:t xml:space="preserve">—</w:t>
            </w:r>
          </w:p>
        </w:tc>
      </w:tr>
      <w:tr>
        <w:tc>
          <w:tcPr>
            <w:tcW w:type="pct" w:w="2200"/>
            <w:tcMar>
              <w:top w:type="dxa" w:w="50"/>
              <w:left w:type="dxa" w:w="110"/>
              <w:bottom w:type="dxa" w:w="50"/>
              <w:right w:type="dxa" w:w="110"/>
            </w:tcMar>
          </w:tcPr>
          <w:p>
            <w:pPr>
              <w:spacing w:before="28" w:after="28"/>
            </w:pPr>
            <w:r>
              <w:rPr>
                <w:sz w:val="15"/>
                <w:szCs w:val="15"/>
              </w:rPr>
              <w:t xml:space="preserve">Total current assets</w:t>
            </w:r>
          </w:p>
        </w:tc>
        <w:tc>
          <w:tcPr>
            <w:tcW w:type="pct" w:w="1400"/>
            <w:tcMar>
              <w:top w:type="dxa" w:w="50"/>
              <w:left w:type="dxa" w:w="110"/>
              <w:bottom w:type="dxa" w:w="50"/>
              <w:right w:type="dxa" w:w="110"/>
            </w:tcMar>
          </w:tcPr>
          <w:p>
            <w:pPr>
              <w:spacing w:before="28" w:after="28"/>
            </w:pPr>
            <w:r>
              <w:rPr>
                <w:sz w:val="15"/>
                <w:szCs w:val="15"/>
              </w:rPr>
              <w:t xml:space="preserve">14,188,100</w:t>
            </w:r>
          </w:p>
        </w:tc>
        <w:tc>
          <w:tcPr>
            <w:tcW w:type="pct" w:w="1400"/>
            <w:tcMar>
              <w:top w:type="dxa" w:w="50"/>
              <w:left w:type="dxa" w:w="110"/>
              <w:bottom w:type="dxa" w:w="50"/>
              <w:right w:type="dxa" w:w="110"/>
            </w:tcMar>
          </w:tcPr>
          <w:p>
            <w:pPr>
              <w:spacing w:before="28" w:after="28"/>
            </w:pPr>
            <w:r>
              <w:rPr>
                <w:sz w:val="15"/>
                <w:szCs w:val="15"/>
              </w:rPr>
              <w:t xml:space="preserve">8,380,000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Noncurrent assets</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Debt securities (held-to-maturity and available-for-sale)</w:t>
            </w:r>
          </w:p>
        </w:tc>
        <w:tc>
          <w:tcPr>
            <w:tcW w:type="pct" w:w="1400"/>
            <w:tcMar>
              <w:top w:type="dxa" w:w="50"/>
              <w:left w:type="dxa" w:w="110"/>
              <w:bottom w:type="dxa" w:w="50"/>
              <w:right w:type="dxa" w:w="110"/>
            </w:tcMar>
          </w:tcPr>
          <w:p>
            <w:pPr>
              <w:spacing w:before="28" w:after="28"/>
            </w:pPr>
            <w:r>
              <w:rPr>
                <w:sz w:val="15"/>
                <w:szCs w:val="15"/>
              </w:rPr>
              <w:t xml:space="preserve">88,500</w:t>
            </w:r>
          </w:p>
        </w:tc>
        <w:tc>
          <w:tcPr>
            <w:tcW w:type="pct" w:w="1400"/>
            <w:tcMar>
              <w:top w:type="dxa" w:w="50"/>
              <w:left w:type="dxa" w:w="110"/>
              <w:bottom w:type="dxa" w:w="50"/>
              <w:right w:type="dxa" w:w="110"/>
            </w:tcMar>
          </w:tcPr>
          <w:p>
            <w:pPr>
              <w:spacing w:before="28" w:after="28"/>
            </w:pPr>
            <w:r>
              <w:rPr>
                <w:sz w:val="15"/>
                <w:szCs w:val="15"/>
              </w:rPr>
              <w:t xml:space="preserve">90,000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Equity securities</w:t>
            </w:r>
          </w:p>
        </w:tc>
        <w:tc>
          <w:tcPr>
            <w:tcW w:type="pct" w:w="1400"/>
            <w:shd w:fill="FBFAF6" w:val="clear"/>
            <w:tcMar>
              <w:top w:type="dxa" w:w="50"/>
              <w:left w:type="dxa" w:w="110"/>
              <w:bottom w:type="dxa" w:w="50"/>
              <w:right w:type="dxa" w:w="110"/>
            </w:tcMar>
          </w:tcPr>
          <w:p>
            <w:pPr>
              <w:spacing w:before="28" w:after="28"/>
            </w:pPr>
            <w:r>
              <w:rPr>
                <w:sz w:val="15"/>
                <w:szCs w:val="15"/>
              </w:rPr>
              <w:t xml:space="preserve">27,000</w:t>
            </w:r>
          </w:p>
        </w:tc>
        <w:tc>
          <w:tcPr>
            <w:tcW w:type="pct" w:w="1400"/>
            <w:shd w:fill="FBFAF6" w:val="clear"/>
            <w:tcMar>
              <w:top w:type="dxa" w:w="50"/>
              <w:left w:type="dxa" w:w="110"/>
              <w:bottom w:type="dxa" w:w="50"/>
              <w:right w:type="dxa" w:w="110"/>
            </w:tcMar>
          </w:tcPr>
          <w:p>
            <w:pPr>
              <w:spacing w:before="28" w:after="28"/>
            </w:pPr>
            <w:r>
              <w:rPr>
                <w:sz w:val="15"/>
                <w:szCs w:val="15"/>
              </w:rPr>
              <w:t xml:space="preserve">25,000</w:t>
            </w:r>
          </w:p>
        </w:tc>
      </w:tr>
      <w:tr>
        <w:tc>
          <w:tcPr>
            <w:tcW w:type="pct" w:w="2200"/>
            <w:tcMar>
              <w:top w:type="dxa" w:w="50"/>
              <w:left w:type="dxa" w:w="110"/>
              <w:bottom w:type="dxa" w:w="50"/>
              <w:right w:type="dxa" w:w="110"/>
            </w:tcMar>
          </w:tcPr>
          <w:p>
            <w:pPr>
              <w:spacing w:before="28" w:after="28"/>
            </w:pPr>
            <w:r>
              <w:rPr>
                <w:sz w:val="15"/>
                <w:szCs w:val="15"/>
              </w:rPr>
              <w:t xml:space="preserve">Equity-method investments</w:t>
            </w:r>
          </w:p>
        </w:tc>
        <w:tc>
          <w:tcPr>
            <w:tcW w:type="pct" w:w="1400"/>
            <w:tcMar>
              <w:top w:type="dxa" w:w="50"/>
              <w:left w:type="dxa" w:w="110"/>
              <w:bottom w:type="dxa" w:w="50"/>
              <w:right w:type="dxa" w:w="110"/>
            </w:tcMar>
          </w:tcPr>
          <w:p>
            <w:pPr>
              <w:spacing w:before="28" w:after="28"/>
            </w:pPr>
            <w:r>
              <w:rPr>
                <w:sz w:val="15"/>
                <w:szCs w:val="15"/>
              </w:rPr>
              <w:t xml:space="preserve">1,807,000</w:t>
            </w:r>
          </w:p>
        </w:tc>
        <w:tc>
          <w:tcPr>
            <w:tcW w:type="pct" w:w="1400"/>
            <w:tcMar>
              <w:top w:type="dxa" w:w="50"/>
              <w:left w:type="dxa" w:w="110"/>
              <w:bottom w:type="dxa" w:w="50"/>
              <w:right w:type="dxa" w:w="110"/>
            </w:tcMar>
          </w:tcPr>
          <w:p>
            <w:pPr>
              <w:spacing w:before="28" w:after="28"/>
            </w:pPr>
            <w:r>
              <w:rPr>
                <w:sz w:val="15"/>
                <w:szCs w:val="15"/>
              </w:rPr>
              <w:t xml:space="preserve">500,000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Property, plant and equipment, net of accumulated </w:t>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 (2025: 11,988,000; 2024: 8,000,000)</w:t>
            </w:r>
          </w:p>
        </w:tc>
        <w:tc>
          <w:tcPr>
            <w:tcW w:type="pct" w:w="1400"/>
            <w:shd w:fill="FBFAF6" w:val="clear"/>
            <w:tcMar>
              <w:top w:type="dxa" w:w="50"/>
              <w:left w:type="dxa" w:w="110"/>
              <w:bottom w:type="dxa" w:w="50"/>
              <w:right w:type="dxa" w:w="110"/>
            </w:tcMar>
          </w:tcPr>
          <w:p>
            <w:pPr>
              <w:spacing w:before="28" w:after="28"/>
            </w:pPr>
            <w:r>
              <w:rPr>
                <w:sz w:val="15"/>
                <w:szCs w:val="15"/>
              </w:rPr>
              <w:t xml:space="preserve">14,802,000</w:t>
            </w:r>
          </w:p>
        </w:tc>
        <w:tc>
          <w:tcPr>
            <w:tcW w:type="pct" w:w="1400"/>
            <w:shd w:fill="FBFAF6" w:val="clear"/>
            <w:tcMar>
              <w:top w:type="dxa" w:w="50"/>
              <w:left w:type="dxa" w:w="110"/>
              <w:bottom w:type="dxa" w:w="50"/>
              <w:right w:type="dxa" w:w="110"/>
            </w:tcMar>
          </w:tcPr>
          <w:p>
            <w:pPr>
              <w:spacing w:before="28" w:after="28"/>
            </w:pPr>
            <w:r>
              <w:rPr>
                <w:sz w:val="15"/>
                <w:szCs w:val="15"/>
              </w:rPr>
              <w:t xml:space="preserve">16,000,000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400"/>
            <w:tcMar>
              <w:top w:type="dxa" w:w="50"/>
              <w:left w:type="dxa" w:w="110"/>
              <w:bottom w:type="dxa" w:w="50"/>
              <w:right w:type="dxa" w:w="110"/>
            </w:tcMar>
          </w:tcPr>
          <w:p>
            <w:pPr>
              <w:spacing w:before="28" w:after="28"/>
            </w:pPr>
            <w:r>
              <w:rPr>
                <w:sz w:val="15"/>
                <w:szCs w:val="15"/>
              </w:rPr>
              <w:t xml:space="preserve">260,000</w:t>
            </w:r>
          </w:p>
        </w:tc>
        <w:tc>
          <w:tcPr>
            <w:tcW w:type="pct" w:w="1400"/>
            <w:tcMar>
              <w:top w:type="dxa" w:w="50"/>
              <w:left w:type="dxa" w:w="110"/>
              <w:bottom w:type="dxa" w:w="50"/>
              <w:right w:type="dxa" w:w="110"/>
            </w:tcMar>
          </w:tcPr>
          <w:p>
            <w:pPr>
              <w:spacing w:before="28" w:after="28"/>
            </w:pPr>
            <w:r>
              <w:rPr>
                <w:sz w:val="15"/>
                <w:szCs w:val="15"/>
              </w:rPr>
              <w:t xml:space="preserve">300,000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Goodwill</w:t>
            </w:r>
          </w:p>
        </w:tc>
        <w:tc>
          <w:tcPr>
            <w:tcW w:type="pct" w:w="1400"/>
            <w:shd w:fill="FBFAF6" w:val="clear"/>
            <w:tcMar>
              <w:top w:type="dxa" w:w="50"/>
              <w:left w:type="dxa" w:w="110"/>
              <w:bottom w:type="dxa" w:w="50"/>
              <w:right w:type="dxa" w:w="110"/>
            </w:tcMar>
          </w:tcPr>
          <w:p>
            <w:pPr>
              <w:spacing w:before="28" w:after="28"/>
            </w:pPr>
            <w:r>
              <w:rPr>
                <w:sz w:val="15"/>
                <w:szCs w:val="15"/>
              </w:rPr>
              <w:t xml:space="preserve">300,000</w:t>
            </w:r>
          </w:p>
        </w:tc>
        <w:tc>
          <w:tcPr>
            <w:tcW w:type="pct" w:w="1400"/>
            <w:shd w:fill="FBFAF6" w:val="clear"/>
            <w:tcMar>
              <w:top w:type="dxa" w:w="50"/>
              <w:left w:type="dxa" w:w="110"/>
              <w:bottom w:type="dxa" w:w="50"/>
              <w:right w:type="dxa" w:w="110"/>
            </w:tcMar>
          </w:tcPr>
          <w:p>
            <w:pPr>
              <w:spacing w:before="28" w:after="28"/>
            </w:pPr>
            <w:r>
              <w:rPr>
                <w:sz w:val="15"/>
                <w:szCs w:val="15"/>
              </w:rPr>
              <w:t xml:space="preserve">950,000</w:t>
            </w:r>
          </w:p>
        </w:tc>
      </w:tr>
      <w:tr>
        <w:tc>
          <w:tcPr>
            <w:tcW w:type="pct" w:w="2200"/>
            <w:tcMar>
              <w:top w:type="dxa" w:w="50"/>
              <w:left w:type="dxa" w:w="110"/>
              <w:bottom w:type="dxa" w:w="50"/>
              <w:right w:type="dxa" w:w="110"/>
            </w:tcMar>
          </w:tcPr>
          <w:p>
            <w:pPr>
              <w:spacing w:before="28" w:after="28"/>
            </w:pPr>
            <w:r>
              <w:rPr>
                <w:sz w:val="15"/>
                <w:szCs w:val="15"/>
              </w:rPr>
              <w:t xml:space="preserve">Other noncurrent assets</w:t>
            </w:r>
          </w:p>
        </w:tc>
        <w:tc>
          <w:tcPr>
            <w:tcW w:type="pct" w:w="1400"/>
            <w:tcMar>
              <w:top w:type="dxa" w:w="50"/>
              <w:left w:type="dxa" w:w="110"/>
              <w:bottom w:type="dxa" w:w="50"/>
              <w:right w:type="dxa" w:w="110"/>
            </w:tcMar>
          </w:tcPr>
          <w:p>
            <w:pPr>
              <w:spacing w:before="28" w:after="28"/>
            </w:pPr>
            <w:r>
              <w:rPr>
                <w:sz w:val="15"/>
                <w:szCs w:val="15"/>
              </w:rPr>
              <w:t xml:space="preserve">200,000</w:t>
            </w:r>
          </w:p>
        </w:tc>
        <w:tc>
          <w:tcPr>
            <w:tcW w:type="pct" w:w="1400"/>
            <w:tcMar>
              <w:top w:type="dxa" w:w="50"/>
              <w:left w:type="dxa" w:w="110"/>
              <w:bottom w:type="dxa" w:w="50"/>
              <w:right w:type="dxa" w:w="110"/>
            </w:tcMar>
          </w:tcPr>
          <w:p>
            <w:pPr>
              <w:spacing w:before="28" w:after="28"/>
            </w:pPr>
            <w:r>
              <w:rPr>
                <w:sz w:val="15"/>
                <w:szCs w:val="15"/>
              </w:rPr>
              <w:t xml:space="preserve">200,000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 ASSETS</w:t>
            </w:r>
          </w:p>
        </w:tc>
        <w:tc>
          <w:tcPr>
            <w:tcW w:type="pct" w:w="1400"/>
            <w:shd w:fill="FBFAF6" w:val="clear"/>
            <w:tcMar>
              <w:top w:type="dxa" w:w="50"/>
              <w:left w:type="dxa" w:w="110"/>
              <w:bottom w:type="dxa" w:w="50"/>
              <w:right w:type="dxa" w:w="110"/>
            </w:tcMar>
          </w:tcPr>
          <w:p>
            <w:pPr>
              <w:spacing w:before="28" w:after="28"/>
            </w:pPr>
            <w:r>
              <w:rPr>
                <w:sz w:val="15"/>
                <w:szCs w:val="15"/>
              </w:rPr>
              <w:t xml:space="preserve">31,672,600</w:t>
            </w:r>
          </w:p>
        </w:tc>
        <w:tc>
          <w:tcPr>
            <w:tcW w:type="pct" w:w="1400"/>
            <w:shd w:fill="FBFAF6" w:val="clear"/>
            <w:tcMar>
              <w:top w:type="dxa" w:w="50"/>
              <w:left w:type="dxa" w:w="110"/>
              <w:bottom w:type="dxa" w:w="50"/>
              <w:right w:type="dxa" w:w="110"/>
            </w:tcMar>
          </w:tcPr>
          <w:p>
            <w:pPr>
              <w:spacing w:before="28" w:after="28"/>
            </w:pPr>
            <w:r>
              <w:rPr>
                <w:sz w:val="15"/>
                <w:szCs w:val="15"/>
              </w:rPr>
              <w:t xml:space="preserve">26,445,000</w:t>
            </w:r>
          </w:p>
        </w:tc>
      </w:tr>
      <w:tr>
        <w:tc>
          <w:tcPr>
            <w:tcW w:type="pct" w:w="2200"/>
            <w:tcMar>
              <w:top w:type="dxa" w:w="50"/>
              <w:left w:type="dxa" w:w="110"/>
              <w:bottom w:type="dxa" w:w="50"/>
              <w:right w:type="dxa" w:w="110"/>
            </w:tcMar>
          </w:tcPr>
          <w:p>
            <w:pPr>
              <w:spacing w:before="28" w:after="28"/>
            </w:pPr>
            <w:r>
              <w:rPr>
                <w:sz w:val="15"/>
                <w:szCs w:val="15"/>
              </w:rPr>
              <w:t xml:space="preserve">LIABILITIES AND STOCKHOLDERS' EQUITY</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Current liabilities</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400"/>
            <w:tcMar>
              <w:top w:type="dxa" w:w="50"/>
              <w:left w:type="dxa" w:w="110"/>
              <w:bottom w:type="dxa" w:w="50"/>
              <w:right w:type="dxa" w:w="110"/>
            </w:tcMar>
          </w:tcPr>
          <w:p>
            <w:pPr>
              <w:spacing w:before="28" w:after="28"/>
            </w:pPr>
            <w:r>
              <w:rPr>
                <w:sz w:val="15"/>
                <w:szCs w:val="15"/>
              </w:rPr>
              <w:t xml:space="preserve">2,050,000</w:t>
            </w:r>
          </w:p>
        </w:tc>
        <w:tc>
          <w:tcPr>
            <w:tcW w:type="pct" w:w="1400"/>
            <w:tcMar>
              <w:top w:type="dxa" w:w="50"/>
              <w:left w:type="dxa" w:w="110"/>
              <w:bottom w:type="dxa" w:w="50"/>
              <w:right w:type="dxa" w:w="110"/>
            </w:tcMar>
          </w:tcPr>
          <w:p>
            <w:pPr>
              <w:spacing w:before="28" w:after="28"/>
            </w:pPr>
            <w:r>
              <w:rPr>
                <w:sz w:val="15"/>
                <w:szCs w:val="15"/>
              </w:rPr>
              <w:t xml:space="preserve">1,900,000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Accrued liabilities</w:t>
            </w:r>
          </w:p>
        </w:tc>
        <w:tc>
          <w:tcPr>
            <w:tcW w:type="pct" w:w="1400"/>
            <w:shd w:fill="FBFAF6" w:val="clear"/>
            <w:tcMar>
              <w:top w:type="dxa" w:w="50"/>
              <w:left w:type="dxa" w:w="110"/>
              <w:bottom w:type="dxa" w:w="50"/>
              <w:right w:type="dxa" w:w="110"/>
            </w:tcMar>
          </w:tcPr>
          <w:p>
            <w:pPr>
              <w:spacing w:before="28" w:after="28"/>
            </w:pPr>
            <w:r>
              <w:rPr>
                <w:sz w:val="15"/>
                <w:szCs w:val="15"/>
              </w:rPr>
              <w:t xml:space="preserve">900,000</w:t>
            </w:r>
          </w:p>
        </w:tc>
        <w:tc>
          <w:tcPr>
            <w:tcW w:type="pct" w:w="1400"/>
            <w:shd w:fill="FBFAF6" w:val="clear"/>
            <w:tcMar>
              <w:top w:type="dxa" w:w="50"/>
              <w:left w:type="dxa" w:w="110"/>
              <w:bottom w:type="dxa" w:w="50"/>
              <w:right w:type="dxa" w:w="110"/>
            </w:tcMar>
          </w:tcPr>
          <w:p>
            <w:pPr>
              <w:spacing w:before="28" w:after="28"/>
            </w:pPr>
            <w:r>
              <w:rPr>
                <w:sz w:val="15"/>
                <w:szCs w:val="15"/>
              </w:rPr>
              <w:t xml:space="preserve">850,000</w:t>
            </w:r>
          </w:p>
        </w:tc>
      </w:tr>
      <w:tr>
        <w:tc>
          <w:tcPr>
            <w:tcW w:type="pct" w:w="2200"/>
            <w:tcMar>
              <w:top w:type="dxa" w:w="50"/>
              <w:left w:type="dxa" w:w="110"/>
              <w:bottom w:type="dxa" w:w="50"/>
              <w:right w:type="dxa" w:w="110"/>
            </w:tcMar>
          </w:tcPr>
          <w:p>
            <w:pPr>
              <w:spacing w:before="28" w:after="28"/>
            </w:pPr>
            <w:r>
              <w:rPr>
                <w:sz w:val="15"/>
                <w:szCs w:val="15"/>
              </w:rPr>
              <w:t xml:space="preserve">Income taxes payable</w:t>
            </w:r>
          </w:p>
        </w:tc>
        <w:tc>
          <w:tcPr>
            <w:tcW w:type="pct" w:w="1400"/>
            <w:tcMar>
              <w:top w:type="dxa" w:w="50"/>
              <w:left w:type="dxa" w:w="110"/>
              <w:bottom w:type="dxa" w:w="50"/>
              <w:right w:type="dxa" w:w="110"/>
            </w:tcMar>
          </w:tcPr>
          <w:p>
            <w:pPr>
              <w:spacing w:before="28" w:after="28"/>
            </w:pPr>
            <w:r>
              <w:rPr>
                <w:sz w:val="15"/>
                <w:szCs w:val="15"/>
              </w:rPr>
              <w:t xml:space="preserve">350,000</w:t>
            </w:r>
          </w:p>
        </w:tc>
        <w:tc>
          <w:tcPr>
            <w:tcW w:type="pct" w:w="1400"/>
            <w:tcMar>
              <w:top w:type="dxa" w:w="50"/>
              <w:left w:type="dxa" w:w="110"/>
              <w:bottom w:type="dxa" w:w="50"/>
              <w:right w:type="dxa" w:w="110"/>
            </w:tcMar>
          </w:tcPr>
          <w:p>
            <w:pPr>
              <w:spacing w:before="28" w:after="28"/>
            </w:pPr>
            <w:r>
              <w:rPr>
                <w:sz w:val="15"/>
                <w:szCs w:val="15"/>
              </w:rPr>
              <w:t xml:space="preserve">300,000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Contract liabilities</w:t>
            </w:r>
          </w:p>
        </w:tc>
        <w:tc>
          <w:tcPr>
            <w:tcW w:type="pct" w:w="1400"/>
            <w:shd w:fill="FBFAF6" w:val="clear"/>
            <w:tcMar>
              <w:top w:type="dxa" w:w="50"/>
              <w:left w:type="dxa" w:w="110"/>
              <w:bottom w:type="dxa" w:w="50"/>
              <w:right w:type="dxa" w:w="110"/>
            </w:tcMar>
          </w:tcPr>
          <w:p>
            <w:pPr>
              <w:spacing w:before="28" w:after="28"/>
            </w:pPr>
            <w:r>
              <w:rPr>
                <w:sz w:val="15"/>
                <w:szCs w:val="15"/>
              </w:rPr>
              <w:t xml:space="preserve">180,000</w:t>
            </w:r>
          </w:p>
        </w:tc>
        <w:tc>
          <w:tcPr>
            <w:tcW w:type="pct" w:w="1400"/>
            <w:shd w:fill="FBFAF6" w:val="clear"/>
            <w:tcMar>
              <w:top w:type="dxa" w:w="50"/>
              <w:left w:type="dxa" w:w="110"/>
              <w:bottom w:type="dxa" w:w="50"/>
              <w:right w:type="dxa" w:w="110"/>
            </w:tcMar>
          </w:tcPr>
          <w:p>
            <w:pPr>
              <w:spacing w:before="28" w:after="28"/>
            </w:pPr>
            <w:r>
              <w:rPr>
                <w:sz w:val="15"/>
                <w:szCs w:val="15"/>
              </w:rPr>
              <w:t xml:space="preserve">120,000</w:t>
            </w:r>
          </w:p>
        </w:tc>
      </w:tr>
      <w:tr>
        <w:tc>
          <w:tcPr>
            <w:tcW w:type="pct" w:w="2200"/>
            <w:tcMar>
              <w:top w:type="dxa" w:w="50"/>
              <w:left w:type="dxa" w:w="110"/>
              <w:bottom w:type="dxa" w:w="50"/>
              <w:right w:type="dxa" w:w="110"/>
            </w:tcMar>
          </w:tcPr>
          <w:p>
            <w:pPr>
              <w:spacing w:before="28" w:after="28"/>
            </w:pPr>
            <w:r>
              <w:rPr>
                <w:sz w:val="15"/>
                <w:szCs w:val="15"/>
              </w:rPr>
              <w:t xml:space="preserve">Dividends payable</w:t>
            </w:r>
          </w:p>
        </w:tc>
        <w:tc>
          <w:tcPr>
            <w:tcW w:type="pct" w:w="1400"/>
            <w:tcMar>
              <w:top w:type="dxa" w:w="50"/>
              <w:left w:type="dxa" w:w="110"/>
              <w:bottom w:type="dxa" w:w="50"/>
              <w:right w:type="dxa" w:w="110"/>
            </w:tcMar>
          </w:tcPr>
          <w:p>
            <w:pPr>
              <w:spacing w:before="28" w:after="28"/>
            </w:pPr>
            <w:r>
              <w:rPr>
                <w:sz w:val="15"/>
                <w:szCs w:val="15"/>
              </w:rPr>
              <w:t xml:space="preserve">400,000</w:t>
            </w:r>
          </w:p>
        </w:tc>
        <w:tc>
          <w:tcPr>
            <w:tcW w:type="pct" w:w="1400"/>
            <w:tcMar>
              <w:top w:type="dxa" w:w="50"/>
              <w:left w:type="dxa" w:w="110"/>
              <w:bottom w:type="dxa" w:w="50"/>
              <w:right w:type="dxa" w:w="110"/>
            </w:tcMar>
          </w:tcPr>
          <w:p>
            <w:pPr>
              <w:spacing w:before="28" w:after="28"/>
            </w:pPr>
            <w:r>
              <w:rPr>
                <w:sz w:val="15"/>
                <w:szCs w:val="15"/>
              </w:rPr>
              <w:t xml:space="preserve">—</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400"/>
            <w:shd w:fill="FBFAF6" w:val="clear"/>
            <w:tcMar>
              <w:top w:type="dxa" w:w="50"/>
              <w:left w:type="dxa" w:w="110"/>
              <w:bottom w:type="dxa" w:w="50"/>
              <w:right w:type="dxa" w:w="110"/>
            </w:tcMar>
          </w:tcPr>
          <w:p>
            <w:pPr>
              <w:spacing w:before="28" w:after="28"/>
            </w:pPr>
            <w:r>
              <w:rPr>
                <w:sz w:val="15"/>
                <w:szCs w:val="15"/>
              </w:rPr>
              <w:t xml:space="preserve">400,000</w:t>
            </w:r>
          </w:p>
        </w:tc>
        <w:tc>
          <w:tcPr>
            <w:tcW w:type="pct" w:w="1400"/>
            <w:shd w:fill="FBFAF6" w:val="clear"/>
            <w:tcMar>
              <w:top w:type="dxa" w:w="50"/>
              <w:left w:type="dxa" w:w="110"/>
              <w:bottom w:type="dxa" w:w="50"/>
              <w:right w:type="dxa" w:w="110"/>
            </w:tcMar>
          </w:tcPr>
          <w:p>
            <w:pPr>
              <w:spacing w:before="28" w:after="28"/>
            </w:pPr>
            <w:r>
              <w:rPr>
                <w:sz w:val="15"/>
                <w:szCs w:val="15"/>
              </w:rPr>
              <w:t xml:space="preserve">400,000</w:t>
            </w:r>
          </w:p>
        </w:tc>
      </w:tr>
      <w:tr>
        <w:tc>
          <w:tcPr>
            <w:tcW w:type="pct" w:w="2200"/>
            <w:tcMar>
              <w:top w:type="dxa" w:w="50"/>
              <w:left w:type="dxa" w:w="110"/>
              <w:bottom w:type="dxa" w:w="50"/>
              <w:right w:type="dxa" w:w="110"/>
            </w:tcMar>
          </w:tcPr>
          <w:p>
            <w:pPr>
              <w:spacing w:before="28" w:after="28"/>
            </w:pPr>
            <w:r>
              <w:rPr>
                <w:sz w:val="15"/>
                <w:szCs w:val="15"/>
              </w:rPr>
              <w:t xml:space="preserve">Total current liabilities</w:t>
            </w:r>
          </w:p>
        </w:tc>
        <w:tc>
          <w:tcPr>
            <w:tcW w:type="pct" w:w="1400"/>
            <w:tcMar>
              <w:top w:type="dxa" w:w="50"/>
              <w:left w:type="dxa" w:w="110"/>
              <w:bottom w:type="dxa" w:w="50"/>
              <w:right w:type="dxa" w:w="110"/>
            </w:tcMar>
          </w:tcPr>
          <w:p>
            <w:pPr>
              <w:spacing w:before="28" w:after="28"/>
            </w:pPr>
            <w:r>
              <w:rPr>
                <w:sz w:val="15"/>
                <w:szCs w:val="15"/>
              </w:rPr>
              <w:t xml:space="preserve">4,280,000</w:t>
            </w:r>
          </w:p>
        </w:tc>
        <w:tc>
          <w:tcPr>
            <w:tcW w:type="pct" w:w="1400"/>
            <w:tcMar>
              <w:top w:type="dxa" w:w="50"/>
              <w:left w:type="dxa" w:w="110"/>
              <w:bottom w:type="dxa" w:w="50"/>
              <w:right w:type="dxa" w:w="110"/>
            </w:tcMar>
          </w:tcPr>
          <w:p>
            <w:pPr>
              <w:spacing w:before="28" w:after="28"/>
            </w:pPr>
            <w:r>
              <w:rPr>
                <w:sz w:val="15"/>
                <w:szCs w:val="15"/>
              </w:rPr>
              <w:t xml:space="preserve">3,570,000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400"/>
            <w:shd w:fill="FBFAF6" w:val="clear"/>
            <w:tcMar>
              <w:top w:type="dxa" w:w="50"/>
              <w:left w:type="dxa" w:w="110"/>
              <w:bottom w:type="dxa" w:w="50"/>
              <w:right w:type="dxa" w:w="110"/>
            </w:tcMar>
          </w:tcPr>
          <w:p>
            <w:pPr>
              <w:spacing w:before="28" w:after="28"/>
            </w:pPr>
            <w:r>
              <w:rPr>
                <w:sz w:val="15"/>
                <w:szCs w:val="15"/>
              </w:rPr>
              <w:t xml:space="preserve">6,000,000</w:t>
            </w:r>
          </w:p>
        </w:tc>
        <w:tc>
          <w:tcPr>
            <w:tcW w:type="pct" w:w="1400"/>
            <w:shd w:fill="FBFAF6" w:val="clear"/>
            <w:tcMar>
              <w:top w:type="dxa" w:w="50"/>
              <w:left w:type="dxa" w:w="110"/>
              <w:bottom w:type="dxa" w:w="50"/>
              <w:right w:type="dxa" w:w="110"/>
            </w:tcMar>
          </w:tcPr>
          <w:p>
            <w:pPr>
              <w:spacing w:before="28" w:after="28"/>
            </w:pPr>
            <w:r>
              <w:rPr>
                <w:sz w:val="15"/>
                <w:szCs w:val="15"/>
              </w:rPr>
              <w:t xml:space="preserve">5,600,000</w:t>
            </w:r>
          </w:p>
        </w:tc>
      </w:tr>
      <w:tr>
        <w:tc>
          <w:tcPr>
            <w:tcW w:type="pct" w:w="2200"/>
            <w:tcMar>
              <w:top w:type="dxa" w:w="50"/>
              <w:left w:type="dxa" w:w="110"/>
              <w:bottom w:type="dxa" w:w="50"/>
              <w:right w:type="dxa" w:w="110"/>
            </w:tcMar>
          </w:tcPr>
          <w:p>
            <w:pPr>
              <w:spacing w:before="28" w:after="28"/>
            </w:pPr>
            <w:r>
              <w:rPr>
                <w:sz w:val="15"/>
                <w:szCs w:val="15"/>
              </w:rPr>
              <w:t xml:space="preserve">Deferred tax liability</w:t>
            </w:r>
          </w:p>
        </w:tc>
        <w:tc>
          <w:tcPr>
            <w:tcW w:type="pct" w:w="1400"/>
            <w:tcMar>
              <w:top w:type="dxa" w:w="50"/>
              <w:left w:type="dxa" w:w="110"/>
              <w:bottom w:type="dxa" w:w="50"/>
              <w:right w:type="dxa" w:w="110"/>
            </w:tcMar>
          </w:tcPr>
          <w:p>
            <w:pPr>
              <w:spacing w:before="28" w:after="28"/>
            </w:pPr>
            <w:r>
              <w:rPr>
                <w:sz w:val="15"/>
                <w:szCs w:val="15"/>
              </w:rPr>
              <w:t xml:space="preserve">999,625</w:t>
            </w:r>
          </w:p>
        </w:tc>
        <w:tc>
          <w:tcPr>
            <w:tcW w:type="pct" w:w="1400"/>
            <w:tcMar>
              <w:top w:type="dxa" w:w="50"/>
              <w:left w:type="dxa" w:w="110"/>
              <w:bottom w:type="dxa" w:w="50"/>
              <w:right w:type="dxa" w:w="110"/>
            </w:tcMar>
          </w:tcPr>
          <w:p>
            <w:pPr>
              <w:spacing w:before="28" w:after="28"/>
            </w:pPr>
            <w:r>
              <w:rPr>
                <w:sz w:val="15"/>
                <w:szCs w:val="15"/>
              </w:rPr>
              <w:t xml:space="preserve">900,000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 liabilities</w:t>
            </w:r>
          </w:p>
        </w:tc>
        <w:tc>
          <w:tcPr>
            <w:tcW w:type="pct" w:w="1400"/>
            <w:shd w:fill="FBFAF6" w:val="clear"/>
            <w:tcMar>
              <w:top w:type="dxa" w:w="50"/>
              <w:left w:type="dxa" w:w="110"/>
              <w:bottom w:type="dxa" w:w="50"/>
              <w:right w:type="dxa" w:w="110"/>
            </w:tcMar>
          </w:tcPr>
          <w:p>
            <w:pPr>
              <w:spacing w:before="28" w:after="28"/>
            </w:pPr>
            <w:r>
              <w:rPr>
                <w:sz w:val="15"/>
                <w:szCs w:val="15"/>
              </w:rPr>
              <w:t xml:space="preserve">11,279,625</w:t>
            </w:r>
          </w:p>
        </w:tc>
        <w:tc>
          <w:tcPr>
            <w:tcW w:type="pct" w:w="1400"/>
            <w:shd w:fill="FBFAF6" w:val="clear"/>
            <w:tcMar>
              <w:top w:type="dxa" w:w="50"/>
              <w:left w:type="dxa" w:w="110"/>
              <w:bottom w:type="dxa" w:w="50"/>
              <w:right w:type="dxa" w:w="110"/>
            </w:tcMar>
          </w:tcPr>
          <w:p>
            <w:pPr>
              <w:spacing w:before="28" w:after="28"/>
            </w:pPr>
            <w:r>
              <w:rPr>
                <w:sz w:val="15"/>
                <w:szCs w:val="15"/>
              </w:rPr>
              <w:t xml:space="preserve">10,070,000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Stockholders' equity</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Common stock, $1 par; shares issued and </w:t>
            </w:r>
            <w:r>
              <w:rPr>
                <w:b/>
                <w:bCs/>
                <w:color w:val="8186EF"/>
                <w:sz w:val="14"/>
                <w:szCs w:val="14"/>
              </w:rPr>
              <w:t xml:space="preserve"> (23) </w:t>
            </w:r>
            <w:r>
              <w:rPr>
                <w:u w:val="single"/>
                <w:sz w:val="15"/>
                <w:szCs w:val="15"/>
              </w:rPr>
              <w:t xml:space="preserve">              </w:t>
            </w:r>
            <w:r>
              <w:rPr>
                <w:sz w:val="15"/>
                <w:szCs w:val="15"/>
              </w:rPr>
              <w:t xml:space="preserve"> </w:t>
            </w:r>
            <w:r>
              <w:rPr>
                <w:sz w:val="15"/>
                <w:szCs w:val="15"/>
              </w:rPr>
              <w:t xml:space="preserve">: 2025 8,100,000, 2024 8,000,000</w:t>
            </w:r>
          </w:p>
        </w:tc>
        <w:tc>
          <w:tcPr>
            <w:tcW w:type="pct" w:w="1400"/>
            <w:tcMar>
              <w:top w:type="dxa" w:w="50"/>
              <w:left w:type="dxa" w:w="110"/>
              <w:bottom w:type="dxa" w:w="50"/>
              <w:right w:type="dxa" w:w="110"/>
            </w:tcMar>
          </w:tcPr>
          <w:p>
            <w:pPr>
              <w:spacing w:before="28" w:after="28"/>
            </w:pPr>
            <w:r>
              <w:rPr>
                <w:sz w:val="15"/>
                <w:szCs w:val="15"/>
              </w:rPr>
              <w:t xml:space="preserve">8,100,000</w:t>
            </w:r>
          </w:p>
        </w:tc>
        <w:tc>
          <w:tcPr>
            <w:tcW w:type="pct" w:w="1400"/>
            <w:tcMar>
              <w:top w:type="dxa" w:w="50"/>
              <w:left w:type="dxa" w:w="110"/>
              <w:bottom w:type="dxa" w:w="50"/>
              <w:right w:type="dxa" w:w="110"/>
            </w:tcMar>
          </w:tcPr>
          <w:p>
            <w:pPr>
              <w:spacing w:before="28" w:after="28"/>
            </w:pPr>
            <w:r>
              <w:rPr>
                <w:sz w:val="15"/>
                <w:szCs w:val="15"/>
              </w:rPr>
              <w:t xml:space="preserve">8,000,000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400"/>
            <w:shd w:fill="FBFAF6" w:val="clear"/>
            <w:tcMar>
              <w:top w:type="dxa" w:w="50"/>
              <w:left w:type="dxa" w:w="110"/>
              <w:bottom w:type="dxa" w:w="50"/>
              <w:right w:type="dxa" w:w="110"/>
            </w:tcMar>
          </w:tcPr>
          <w:p>
            <w:pPr>
              <w:spacing w:before="28" w:after="28"/>
            </w:pPr>
            <w:r>
              <w:rPr>
                <w:sz w:val="15"/>
                <w:szCs w:val="15"/>
              </w:rPr>
              <w:t xml:space="preserve">5,400,000</w:t>
            </w:r>
          </w:p>
        </w:tc>
        <w:tc>
          <w:tcPr>
            <w:tcW w:type="pct" w:w="1400"/>
            <w:shd w:fill="FBFAF6" w:val="clear"/>
            <w:tcMar>
              <w:top w:type="dxa" w:w="50"/>
              <w:left w:type="dxa" w:w="110"/>
              <w:bottom w:type="dxa" w:w="50"/>
              <w:right w:type="dxa" w:w="110"/>
            </w:tcMar>
          </w:tcPr>
          <w:p>
            <w:pPr>
              <w:spacing w:before="28" w:after="28"/>
            </w:pPr>
            <w:r>
              <w:rPr>
                <w:sz w:val="15"/>
                <w:szCs w:val="15"/>
              </w:rPr>
              <w:t xml:space="preserve">4,000,000</w:t>
            </w:r>
          </w:p>
        </w:tc>
      </w:tr>
      <w:tr>
        <w:tc>
          <w:tcPr>
            <w:tcW w:type="pct" w:w="2200"/>
            <w:tcMar>
              <w:top w:type="dxa" w:w="50"/>
              <w:left w:type="dxa" w:w="110"/>
              <w:bottom w:type="dxa" w:w="50"/>
              <w:right w:type="dxa" w:w="110"/>
            </w:tcMar>
          </w:tcPr>
          <w:p>
            <w:pPr>
              <w:spacing w:before="28" w:after="28"/>
            </w:pPr>
            <w:r>
              <w:rPr>
                <w:sz w:val="15"/>
                <w:szCs w:val="15"/>
              </w:rPr>
              <w:t xml:space="preserve">Retained earnings</w:t>
            </w:r>
          </w:p>
        </w:tc>
        <w:tc>
          <w:tcPr>
            <w:tcW w:type="pct" w:w="1400"/>
            <w:tcMar>
              <w:top w:type="dxa" w:w="50"/>
              <w:left w:type="dxa" w:w="110"/>
              <w:bottom w:type="dxa" w:w="50"/>
              <w:right w:type="dxa" w:w="110"/>
            </w:tcMar>
          </w:tcPr>
          <w:p>
            <w:pPr>
              <w:spacing w:before="28" w:after="28"/>
            </w:pPr>
            <w:r>
              <w:rPr>
                <w:sz w:val="15"/>
                <w:szCs w:val="15"/>
              </w:rPr>
              <w:t xml:space="preserve">6,894,100</w:t>
            </w:r>
          </w:p>
        </w:tc>
        <w:tc>
          <w:tcPr>
            <w:tcW w:type="pct" w:w="1400"/>
            <w:tcMar>
              <w:top w:type="dxa" w:w="50"/>
              <w:left w:type="dxa" w:w="110"/>
              <w:bottom w:type="dxa" w:w="50"/>
              <w:right w:type="dxa" w:w="110"/>
            </w:tcMar>
          </w:tcPr>
          <w:p>
            <w:pPr>
              <w:spacing w:before="28" w:after="28"/>
            </w:pPr>
            <w:r>
              <w:rPr>
                <w:sz w:val="15"/>
                <w:szCs w:val="15"/>
              </w:rPr>
              <w:t xml:space="preserve">4,375,000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Accumulated other comprehensive income (loss)</w:t>
            </w:r>
          </w:p>
        </w:tc>
        <w:tc>
          <w:tcPr>
            <w:tcW w:type="pct" w:w="1400"/>
            <w:shd w:fill="FBFAF6" w:val="clear"/>
            <w:tcMar>
              <w:top w:type="dxa" w:w="50"/>
              <w:left w:type="dxa" w:w="110"/>
              <w:bottom w:type="dxa" w:w="50"/>
              <w:right w:type="dxa" w:w="110"/>
            </w:tcMar>
          </w:tcPr>
          <w:p>
            <w:pPr>
              <w:spacing w:before="28" w:after="28"/>
            </w:pPr>
            <w:r>
              <w:rPr>
                <w:sz w:val="15"/>
                <w:szCs w:val="15"/>
              </w:rPr>
              <w:t xml:space="preserve">(1,125)</w:t>
            </w:r>
          </w:p>
        </w:tc>
        <w:tc>
          <w:tcPr>
            <w:tcW w:type="pct" w:w="1400"/>
            <w:shd w:fill="FBFAF6" w:val="clear"/>
            <w:tcMar>
              <w:top w:type="dxa" w:w="50"/>
              <w:left w:type="dxa" w:w="110"/>
              <w:bottom w:type="dxa" w:w="50"/>
              <w:right w:type="dxa" w:w="110"/>
            </w:tcMar>
          </w:tcPr>
          <w:p>
            <w:pPr>
              <w:spacing w:before="28" w:after="28"/>
            </w:pPr>
            <w:r>
              <w:rPr>
                <w:sz w:val="15"/>
                <w:szCs w:val="15"/>
              </w:rPr>
              <w:t xml:space="preserve">—</w:t>
            </w:r>
          </w:p>
        </w:tc>
      </w:tr>
      <w:tr>
        <w:tc>
          <w:tcPr>
            <w:tcW w:type="pct" w:w="2200"/>
            <w:tcMar>
              <w:top w:type="dxa" w:w="50"/>
              <w:left w:type="dxa" w:w="110"/>
              <w:bottom w:type="dxa" w:w="50"/>
              <w:right w:type="dxa" w:w="110"/>
            </w:tcMar>
          </w:tcPr>
          <w:p>
            <w:pPr>
              <w:spacing w:before="28" w:after="28"/>
            </w:pPr>
            <w:r>
              <w:rPr>
                <w:sz w:val="15"/>
                <w:szCs w:val="15"/>
              </w:rPr>
              <w:t xml:space="preserve">Total stockholders' equity</w:t>
            </w:r>
          </w:p>
        </w:tc>
        <w:tc>
          <w:tcPr>
            <w:tcW w:type="pct" w:w="1400"/>
            <w:tcMar>
              <w:top w:type="dxa" w:w="50"/>
              <w:left w:type="dxa" w:w="110"/>
              <w:bottom w:type="dxa" w:w="50"/>
              <w:right w:type="dxa" w:w="110"/>
            </w:tcMar>
          </w:tcPr>
          <w:p>
            <w:pPr>
              <w:spacing w:before="28" w:after="28"/>
            </w:pPr>
            <w:r>
              <w:rPr>
                <w:sz w:val="15"/>
                <w:szCs w:val="15"/>
              </w:rPr>
              <w:t xml:space="preserve">20,392,975</w:t>
            </w:r>
          </w:p>
        </w:tc>
        <w:tc>
          <w:tcPr>
            <w:tcW w:type="pct" w:w="1400"/>
            <w:tcMar>
              <w:top w:type="dxa" w:w="50"/>
              <w:left w:type="dxa" w:w="110"/>
              <w:bottom w:type="dxa" w:w="50"/>
              <w:right w:type="dxa" w:w="110"/>
            </w:tcMar>
          </w:tcPr>
          <w:p>
            <w:pPr>
              <w:spacing w:before="28" w:after="28"/>
            </w:pPr>
            <w:r>
              <w:rPr>
                <w:sz w:val="15"/>
                <w:szCs w:val="15"/>
              </w:rPr>
              <w:t xml:space="preserve">16,375,000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 LIABILITIES AND STOCKHOLDERS' EQUITY</w:t>
            </w:r>
          </w:p>
        </w:tc>
        <w:tc>
          <w:tcPr>
            <w:tcW w:type="pct" w:w="1400"/>
            <w:shd w:fill="FBFAF6" w:val="clear"/>
            <w:tcMar>
              <w:top w:type="dxa" w:w="50"/>
              <w:left w:type="dxa" w:w="110"/>
              <w:bottom w:type="dxa" w:w="50"/>
              <w:right w:type="dxa" w:w="110"/>
            </w:tcMar>
          </w:tcPr>
          <w:p>
            <w:pPr>
              <w:spacing w:before="28" w:after="28"/>
            </w:pPr>
            <w:r>
              <w:rPr>
                <w:sz w:val="15"/>
                <w:szCs w:val="15"/>
              </w:rPr>
              <w:t xml:space="preserve">31,672,600</w:t>
            </w:r>
          </w:p>
        </w:tc>
        <w:tc>
          <w:tcPr>
            <w:tcW w:type="pct" w:w="1400"/>
            <w:shd w:fill="FBFAF6" w:val="clear"/>
            <w:tcMar>
              <w:top w:type="dxa" w:w="50"/>
              <w:left w:type="dxa" w:w="110"/>
              <w:bottom w:type="dxa" w:w="50"/>
              <w:right w:type="dxa" w:w="110"/>
            </w:tcMar>
          </w:tcPr>
          <w:p>
            <w:pPr>
              <w:spacing w:before="28" w:after="28"/>
            </w:pPr>
            <w:r>
              <w:rPr>
                <w:sz w:val="15"/>
                <w:szCs w:val="15"/>
              </w:rPr>
              <w:t xml:space="preserve">26,445,000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Prepaid expenses   ·   Current portion of long-term debt   ·   Equity-method investments   ·   Brand (indefinite-lived)   ·   Long-term debt, less current portion   ·   outstanding   ·   Additional paid-in capital   ·   depreciation   ·   receivable   ·   Accounts payable   ·   Commitments and contingencies (Note 12)</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25–30</w:t>
      </w:r>
    </w:p>
    <w:p>
      <w:pPr>
        <w:spacing w:before="20" w:after="20" w:line="360" w:lineRule="auto"/>
        <w:ind w:left="200"/>
      </w:pPr>
      <w:r>
        <w:rPr>
          <w:sz w:val="19"/>
          <w:szCs w:val="19"/>
        </w:rPr>
        <w:t xml:space="preserve">Read the figure from the top.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assets come first, from cash down to assets held for sale. </w:t>
      </w:r>
      <w:r>
        <w:rPr>
          <w:sz w:val="19"/>
          <w:szCs w:val="19"/>
        </w:rPr>
        <w:t xml:space="preserve">Then come the noncurrent assets: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property, plant and equipment, and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assets. </w:t>
      </w:r>
      <w:r>
        <w:rPr>
          <w:sz w:val="19"/>
          <w:szCs w:val="19"/>
        </w:rPr>
        <w:t xml:space="preserve"/>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follow the same order, and equity comes last. </w:t>
      </w:r>
      <w:r>
        <w:rPr>
          <w:sz w:val="19"/>
          <w:szCs w:val="19"/>
        </w:rPr>
        <w:t xml:space="preserve">Contra accounts, such as the allowance for credit losses and accumulated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are shown with the asset they reduce. </w:t>
      </w:r>
      <w:r>
        <w:rPr>
          <w:sz w:val="19"/>
          <w:szCs w:val="19"/>
        </w:rPr>
        <w:t xml:space="preserve">The line Commitments and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has no amount; it tells the reader to look at a note.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liquidity   ·   intangible   ·   depreciation   ·   Liabilities   ·   Current   ·   investments   ·   contingencies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السيولة   ·   liquidity   ·   classified balance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52"/>
        <w:gridCol w:w="494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2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23"/>
            <w:tcMar>
              <w:top w:type="dxa" w:w="50"/>
              <w:left w:type="dxa" w:w="110"/>
              <w:bottom w:type="dxa" w:w="50"/>
              <w:right w:type="dxa" w:w="110"/>
            </w:tcMar>
          </w:tcPr>
          <w:p>
            <w:pPr>
              <w:spacing w:before="26" w:after="26"/>
            </w:pPr>
            <w:r>
              <w:rPr>
                <w:color w:val="232733"/>
                <w:sz w:val="16"/>
                <w:szCs w:val="16"/>
              </w:rPr>
              <w:t xml:space="preserve">classified balance sheet</w:t>
            </w:r>
          </w:p>
        </w:tc>
        <w:tc>
          <w:tcPr>
            <w:tcW w:type="pct" w:w="2577"/>
            <w:tcMar>
              <w:top w:type="dxa" w:w="50"/>
              <w:left w:type="dxa" w:w="110"/>
              <w:bottom w:type="dxa" w:w="50"/>
              <w:right w:type="dxa" w:w="110"/>
            </w:tcMar>
          </w:tcPr>
          <w:p>
            <w:pPr>
              <w:spacing w:before="26" w:after="26"/>
            </w:pPr>
            <w:r>
              <w:rPr>
                <w:color w:val="232733"/>
                <w:sz w:val="16"/>
                <w:szCs w:val="16"/>
              </w:rPr>
              <w:t xml:space="preserve">قائمة المركز المالي المبوبة</w:t>
            </w:r>
          </w:p>
        </w:tc>
      </w:tr>
      <w:tr>
        <w:tc>
          <w:tcPr>
            <w:tcW w:type="pct" w:w="2423"/>
            <w:shd w:fill="FBFAF6" w:val="clear"/>
            <w:tcMar>
              <w:top w:type="dxa" w:w="50"/>
              <w:left w:type="dxa" w:w="110"/>
              <w:bottom w:type="dxa" w:w="50"/>
              <w:right w:type="dxa" w:w="110"/>
            </w:tcMar>
          </w:tcPr>
          <w:p>
            <w:pPr>
              <w:spacing w:before="26" w:after="26"/>
            </w:pPr>
            <w:r>
              <w:rPr>
                <w:color w:val="232733"/>
                <w:sz w:val="16"/>
                <w:szCs w:val="16"/>
              </w:rPr>
              <w:t xml:space="preserve">liquidity</w:t>
            </w:r>
          </w:p>
        </w:tc>
        <w:tc>
          <w:tcPr>
            <w:tcW w:type="pct" w:w="2577"/>
            <w:shd w:fill="FBFAF6" w:val="clear"/>
            <w:tcMar>
              <w:top w:type="dxa" w:w="50"/>
              <w:left w:type="dxa" w:w="110"/>
              <w:bottom w:type="dxa" w:w="50"/>
              <w:right w:type="dxa" w:w="110"/>
            </w:tcMar>
          </w:tcPr>
          <w:p>
            <w:pPr>
              <w:spacing w:before="26" w:after="26"/>
            </w:pPr>
            <w:r>
              <w:rPr>
                <w:color w:val="232733"/>
                <w:sz w:val="16"/>
                <w:szCs w:val="16"/>
              </w:rPr>
              <w:t xml:space="preserve">السيولة</w:t>
            </w:r>
          </w:p>
        </w:tc>
      </w:tr>
      <w:tr>
        <w:tc>
          <w:tcPr>
            <w:tcW w:type="pct" w:w="2423"/>
            <w:tcMar>
              <w:top w:type="dxa" w:w="50"/>
              <w:left w:type="dxa" w:w="110"/>
              <w:bottom w:type="dxa" w:w="50"/>
              <w:right w:type="dxa" w:w="110"/>
            </w:tcMar>
          </w:tcPr>
          <w:p>
            <w:pPr>
              <w:spacing w:before="26" w:after="26"/>
            </w:pPr>
            <w:r>
              <w:rPr>
                <w:color w:val="232733"/>
                <w:sz w:val="16"/>
                <w:szCs w:val="16"/>
              </w:rPr>
              <w:t xml:space="preserve">solvency</w:t>
            </w:r>
          </w:p>
        </w:tc>
        <w:tc>
          <w:tcPr>
            <w:tcW w:type="pct" w:w="2577"/>
            <w:tcMar>
              <w:top w:type="dxa" w:w="50"/>
              <w:left w:type="dxa" w:w="110"/>
              <w:bottom w:type="dxa" w:w="50"/>
              <w:right w:type="dxa" w:w="110"/>
            </w:tcMar>
          </w:tcPr>
          <w:p>
            <w:pPr>
              <w:spacing w:before="26" w:after="26"/>
            </w:pPr>
            <w:r>
              <w:rPr>
                <w:color w:val="232733"/>
                <w:sz w:val="16"/>
                <w:szCs w:val="16"/>
              </w:rPr>
              <w:t xml:space="preserve">الملاءة المالية</w:t>
            </w:r>
          </w:p>
        </w:tc>
      </w:tr>
      <w:tr>
        <w:tc>
          <w:tcPr>
            <w:tcW w:type="pct" w:w="2423"/>
            <w:shd w:fill="FBFAF6" w:val="clear"/>
            <w:tcMar>
              <w:top w:type="dxa" w:w="50"/>
              <w:left w:type="dxa" w:w="110"/>
              <w:bottom w:type="dxa" w:w="50"/>
              <w:right w:type="dxa" w:w="110"/>
            </w:tcMar>
          </w:tcPr>
          <w:p>
            <w:pPr>
              <w:spacing w:before="26" w:after="26"/>
            </w:pPr>
            <w:r>
              <w:rPr>
                <w:color w:val="232733"/>
                <w:sz w:val="16"/>
                <w:szCs w:val="16"/>
              </w:rPr>
              <w:t xml:space="preserve">financial flexibility</w:t>
            </w:r>
          </w:p>
        </w:tc>
        <w:tc>
          <w:tcPr>
            <w:tcW w:type="pct" w:w="2577"/>
            <w:shd w:fill="FBFAF6" w:val="clear"/>
            <w:tcMar>
              <w:top w:type="dxa" w:w="50"/>
              <w:left w:type="dxa" w:w="110"/>
              <w:bottom w:type="dxa" w:w="50"/>
              <w:right w:type="dxa" w:w="110"/>
            </w:tcMar>
          </w:tcPr>
          <w:p>
            <w:pPr>
              <w:spacing w:before="26" w:after="26"/>
            </w:pPr>
            <w:r>
              <w:rPr>
                <w:color w:val="232733"/>
                <w:sz w:val="16"/>
                <w:szCs w:val="16"/>
              </w:rPr>
              <w:t xml:space="preserve">المرونة المالية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2.1  Purpose and structure of the balance sheet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Purpose and structure of the balance sheet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Other presentation matters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Brand (indefinite-lived)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Accounts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equity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Current portion of long-term debt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Long-term debt, less current portion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lenders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Commitments and contingencies (Note 12)</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outstanding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solvency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Additional paid-in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unexpected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flexibility</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investments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classified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intangible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separates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Liabilities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short-term</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subtotal</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contingencies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receivable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classified balance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Prepaid expenses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liquidity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balance sheet reports a company's assets, liabilities and equity at one point in time. It answers three questions for investors and lenders. Can the company pay its bills in the coming months? This is liquidity. Can it pay all its debts over time? This is solvency. Can it raise cash or change its plans if something unexpected happens? This is financial flexibility. U.S. companies that file with the SEC present a classified balance sheet. It separates current from noncurrent assets and current from noncurrent liabilities, so users can see the short-term position at once. Some companies, such as banks, list items in order of liquidity instead, without a current subtotal. All the amounts come from the same records as the earlier chapters on receivables, inventory, investments and long-lived assets. For example, the equity-method investments include Jordan Glass Co. from, and goodwill fell after the impairments.</w:t>
      </w:r>
    </w:p>
    <w:p>
      <w:pPr>
        <w:spacing w:before="20" w:after="20"/>
        <w:ind w:left="240" w:hanging="240"/>
      </w:pPr>
      <w:r>
        <w:rPr>
          <w:b/>
          <w:bCs/>
          <w:color w:val="353A7C"/>
          <w:sz w:val="15"/>
          <w:szCs w:val="15"/>
        </w:rPr>
        <w:t xml:space="preserve">Summary 2   </w:t>
      </w:r>
      <w:r>
        <w:rPr>
          <w:color w:val="6B7280"/>
          <w:sz w:val="15"/>
          <w:szCs w:val="15"/>
        </w:rPr>
        <w:t xml:space="preserve">Read the figure from the top. Current assets come first, from cash down to assets held for sale. Then come the noncurrent assets: investments, property, plant and equipment, and intangible assets. Liabilities follow the same order, and equity comes last. Contra accounts, such as the allowance for credit losses and accumulated depreciation, are shown with the asset they reduce. The line Commitments and contingencies has no amount; it tells the reader to look at a note.</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2.2  Current and noncurrent items</w:t>
            </w:r>
          </w:p>
          <w:p>
            <w:pPr>
              <w:spacing w:before="0" w:after="46"/>
            </w:pPr>
            <w:r>
              <w:rPr>
                <w:color w:val="E8EAF6"/>
                <w:sz w:val="16"/>
                <w:szCs w:val="16"/>
              </w:rPr>
              <w:t xml:space="preserve">Chapter 2 · section 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Current assets are cash and other assets that the company expects to turn into cash, sell or use up within one year or within its operating cycle,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longer. </w:t>
      </w:r>
      <w:r>
        <w:rPr>
          <w:sz w:val="19"/>
          <w:szCs w:val="19"/>
        </w:rPr>
        <w:t xml:space="preserve">The operating cycle is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time from buying materials 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cash from customers. </w:t>
      </w:r>
      <w:r>
        <w:rPr>
          <w:sz w:val="19"/>
          <w:szCs w:val="19"/>
        </w:rPr>
        <w:t xml:space="preserve">Current liabilities are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company expects to settle by using current assets or by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other current liabilities. </w:t>
      </w:r>
      <w:r>
        <w:rPr>
          <w:sz w:val="19"/>
          <w:szCs w:val="19"/>
        </w:rPr>
        <w:t xml:space="preserve">It takes about 32 days to sell its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34 days to collect from customers: 66 days in total.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cycle is shorter than a year, Orontes uses one year to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its items. </w:t>
      </w:r>
      <w:r>
        <w:rPr>
          <w:sz w:val="19"/>
          <w:szCs w:val="19"/>
        </w:rPr>
        <w:t xml:space="preserve">Some assets that look current are not.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cash set aside to repay long-term debt or to build a plant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So are long-term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receivables that will not be collected within the period, the cash surrender value of life insurance, and long-term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average   ·   noncurrent   ·   investments   ·   classify   ·   obligations   ·   collecting   ·   creating   ·   Working   ·   whichever   ·   Restricted   ·   prepayments   ·   inventory   ·   Because</w:t>
            </w:r>
          </w:p>
        </w:tc>
      </w:tr>
    </w:tbl>
    <w:p/>
    <w:p>
      <w:pPr>
        <w:spacing w:before="44" w:after="14"/>
      </w:pPr>
      <w:r>
        <w:rPr>
          <w:b/>
          <w:bCs/>
          <w:color w:val="353A7C"/>
          <w:sz w:val="18"/>
          <w:szCs w:val="18"/>
        </w:rPr>
        <w:t xml:space="preserve">Summary 2</w:t>
      </w:r>
      <w:r>
        <w:rPr>
          <w:color w:val="6B7280"/>
          <w:sz w:val="16"/>
          <w:szCs w:val="16"/>
        </w:rPr>
        <w:t xml:space="preserve">      gaps 13–19</w:t>
      </w:r>
    </w:p>
    <w:p>
      <w:pPr>
        <w:spacing w:before="20" w:after="20" w:line="360" w:lineRule="auto"/>
        <w:ind w:left="200"/>
      </w:pPr>
      <w:r>
        <w:rPr>
          <w:sz w:val="19"/>
          <w:szCs w:val="19"/>
        </w:rPr>
        <w:t xml:space="preserve">On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side, current portion of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debt is current, because that part of the principal is due within a year. </w:t>
      </w:r>
      <w:r>
        <w:rPr>
          <w:sz w:val="19"/>
          <w:szCs w:val="19"/>
        </w:rPr>
        <w:t xml:space="preserve">Two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come directly from these totals. </w:t>
      </w:r>
      <w:r>
        <w:rPr>
          <w:sz w:val="19"/>
          <w:szCs w:val="19"/>
        </w:rPr>
        <w:t xml:space="preserve">Working capital is current assets minus current liabilities. </w:t>
      </w:r>
      <w:r>
        <w:rPr>
          <w:sz w:val="19"/>
          <w:szCs w:val="19"/>
        </w:rPr>
        <w:t xml:space="preserve">The current ratio is current assets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by current liabilities. </w:t>
      </w:r>
      <w:r>
        <w:rPr>
          <w:sz w:val="19"/>
          <w:szCs w:val="19"/>
        </w:rPr>
        <w:t xml:space="preserve">For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at the end of 2025, working capital is $14,188,100 − $4,280,000 = $9,908,100, and the current ratio is 3.31. </w:t>
      </w:r>
      <w:r>
        <w:rPr>
          <w:sz w:val="19"/>
          <w:szCs w:val="19"/>
        </w:rPr>
        <w:t xml:space="preserve">A year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the ratio was 2.35. </w:t>
      </w:r>
      <w:r>
        <w:rPr>
          <w:sz w:val="19"/>
          <w:szCs w:val="19"/>
        </w:rPr>
        <w:t xml:space="preserve">Part 2 of the CMA exam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these ratios in depth.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   ·   long-term   ·   analyzes   ·   liability   ·   solvency   ·   divided   ·   measures   ·   earlier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Working capital or the ratio?</w:t>
            </w:r>
          </w:p>
        </w:tc>
      </w:tr>
    </w:tbl>
    <w:p/>
    <w:p>
      <w:pPr>
        <w:spacing w:before="44" w:after="14"/>
      </w:pPr>
      <w:r>
        <w:rPr>
          <w:b/>
          <w:bCs/>
          <w:color w:val="353A7C"/>
          <w:sz w:val="18"/>
          <w:szCs w:val="18"/>
        </w:rPr>
        <w:t xml:space="preserve">Summary 3</w:t>
      </w:r>
      <w:r>
        <w:rPr>
          <w:color w:val="6B7280"/>
          <w:sz w:val="16"/>
          <w:szCs w:val="16"/>
        </w:rPr>
        <w:t xml:space="preserve">      gaps 20–23</w:t>
      </w:r>
    </w:p>
    <w:p>
      <w:pPr>
        <w:spacing w:before="20" w:after="20" w:line="360" w:lineRule="auto"/>
        <w:ind w:left="200"/>
      </w:pPr>
      <w:r>
        <w:rPr>
          <w:sz w:val="19"/>
          <w:szCs w:val="19"/>
        </w:rPr>
        <w:t xml:space="preserve">Paying a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in cash reduces current assets and current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by the same amount: working capital does not change, but the current ratio changes. </w:t>
      </w:r>
      <w:r>
        <w:rPr>
          <w:sz w:val="19"/>
          <w:szCs w:val="19"/>
        </w:rPr>
        <w:t xml:space="preserve"/>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debt from current to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increases working capital and the current ratio. </w:t>
      </w:r>
      <w:r>
        <w:rPr>
          <w:sz w:val="19"/>
          <w:szCs w:val="19"/>
        </w:rPr>
        <w:t xml:space="preserve">Use the operating cycle only when it is longer than one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noncurrent   ·   liabilities   ·   measures   ·   Reclassifying   ·   supplier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classifying three Orontes items</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24–29</w:t>
      </w:r>
    </w:p>
    <w:p>
      <w:pPr>
        <w:spacing w:before="20" w:after="20" w:line="360" w:lineRule="auto"/>
        <w:ind w:left="200"/>
      </w:pPr>
      <w:r>
        <w:rPr>
          <w:sz w:val="19"/>
          <w:szCs w:val="19"/>
        </w:rPr>
        <w:t xml:space="preserve">Next year's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on long-term debt, $400,000. </w:t>
      </w:r>
      <w:r>
        <w:rPr>
          <w:sz w:val="19"/>
          <w:szCs w:val="19"/>
        </w:rPr>
        <w:t xml:space="preserve">It is due within one year, so it is a current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the rest of the debt stays noncurrent. </w:t>
      </w:r>
      <w:r>
        <w:rPr>
          <w:sz w:val="19"/>
          <w:szCs w:val="19"/>
        </w:rPr>
        <w:t xml:space="preserve">The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van held for sale, $46,000. </w:t>
      </w:r>
      <w:r>
        <w:rPr>
          <w:sz w:val="19"/>
          <w:szCs w:val="19"/>
        </w:rPr>
        <w:t xml:space="preserve">Orontes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to sell it within the year, so it is a current asset, outside PP&amp;E. </w:t>
      </w:r>
      <w:r>
        <w:rPr>
          <w:sz w:val="19"/>
          <w:szCs w:val="19"/>
        </w:rPr>
        <w:t xml:space="preserve">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investments, $1,807,000. </w:t>
      </w:r>
      <w:r>
        <w:rPr>
          <w:sz w:val="19"/>
          <w:szCs w:val="19"/>
        </w:rPr>
        <w:t xml:space="preserve">Orontes plans to hold them for the long term, so they are noncurrent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delivery   ·   assets   ·   liability   ·   operating   ·   installment   ·   expects   ·   equity-method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Current or noncurrent?</w:t>
            </w:r>
          </w:p>
        </w:tc>
      </w:tr>
    </w:tbl>
    <w:p/>
    <w:p>
      <w:pPr>
        <w:spacing w:before="20" w:after="20" w:line="360" w:lineRule="auto"/>
        <w:ind w:left="200"/>
      </w:pPr>
      <w:r>
        <w:rPr>
          <w:sz w:val="19"/>
          <w:szCs w:val="19"/>
        </w:rPr>
        <w:t xml:space="preserve">The first two are done. Classify the other four and give a reason.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55"/>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Classify each item: current or noncurrent? (complete the blanks)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Classification</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Reason</w:t>
            </w:r>
          </w:p>
        </w:tc>
      </w:tr>
      <w:tr>
        <w:tc>
          <w:tcPr>
            <w:tcW w:type="pct" w:w="2200"/>
            <w:tcMar>
              <w:top w:type="dxa" w:w="50"/>
              <w:left w:type="dxa" w:w="110"/>
              <w:bottom w:type="dxa" w:w="50"/>
              <w:right w:type="dxa" w:w="110"/>
            </w:tcMar>
          </w:tcPr>
          <w:p>
            <w:pPr>
              <w:spacing w:before="28" w:after="28"/>
            </w:pPr>
            <w:r>
              <w:rPr>
                <w:sz w:val="15"/>
                <w:szCs w:val="15"/>
              </w:rPr>
              <w:t xml:space="preserve">Cash set aside in a sinking fund to repay bonds in 2029</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(30)</w:t>
            </w:r>
          </w:p>
        </w:tc>
        <w:tc>
          <w:tcPr>
            <w:tcW w:type="pct" w:w="2042"/>
            <w:tcMar>
              <w:top w:type="dxa" w:w="50"/>
              <w:left w:type="dxa" w:w="110"/>
              <w:bottom w:type="dxa" w:w="50"/>
              <w:right w:type="dxa" w:w="110"/>
            </w:tcMar>
          </w:tcPr>
          <w:p>
            <w:pPr>
              <w:spacing w:before="28" w:after="28"/>
            </w:pPr>
            <w:r>
              <w:rPr>
                <w:sz w:val="15"/>
                <w:szCs w:val="15"/>
              </w:rPr>
              <w:t xml:space="preserve">Restricted for a noncurrent purpose</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Date vinegar that Orontes ages for 18 months before sale</w:t>
            </w:r>
          </w:p>
        </w:tc>
        <w:tc>
          <w:tcPr>
            <w:tcW w:type="pct" w:w="758"/>
            <w:shd w:fill="FBFAF6" w:val="clear"/>
            <w:tcMar>
              <w:top w:type="dxa" w:w="50"/>
              <w:left w:type="dxa" w:w="110"/>
              <w:bottom w:type="dxa" w:w="50"/>
              <w:right w:type="dxa" w:w="110"/>
            </w:tcMar>
          </w:tcPr>
          <w:p>
            <w:pPr>
              <w:spacing w:before="28" w:after="28"/>
            </w:pPr>
            <w:r>
              <w:rPr>
                <w:sz w:val="15"/>
                <w:szCs w:val="15"/>
              </w:rPr>
              <w:t xml:space="preserve">Current asset</w:t>
            </w:r>
          </w:p>
        </w:tc>
        <w:tc>
          <w:tcPr>
            <w:tcW w:type="pct" w:w="2042"/>
            <w:shd w:fill="FBFAF6" w:val="clear"/>
            <w:tcMar>
              <w:top w:type="dxa" w:w="50"/>
              <w:left w:type="dxa" w:w="110"/>
              <w:bottom w:type="dxa" w:w="50"/>
              <w:right w:type="dxa" w:w="110"/>
            </w:tcMar>
          </w:tcPr>
          <w:p>
            <w:pPr>
              <w:spacing w:before="28" w:after="28"/>
            </w:pPr>
            <w:r>
              <w:rPr>
                <w:sz w:val="15"/>
                <w:szCs w:val="15"/>
              </w:rPr>
              <w:t xml:space="preserve">The </w:t>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is longer than one year, so the cycle applies</w:t>
            </w:r>
          </w:p>
        </w:tc>
      </w:tr>
      <w:tr>
        <w:tc>
          <w:tcPr>
            <w:tcW w:type="pct" w:w="2200"/>
            <w:tcMar>
              <w:top w:type="dxa" w:w="50"/>
              <w:left w:type="dxa" w:w="110"/>
              <w:bottom w:type="dxa" w:w="50"/>
              <w:right w:type="dxa" w:w="110"/>
            </w:tcMar>
          </w:tcPr>
          <w:p>
            <w:pPr>
              <w:spacing w:before="28" w:after="28"/>
            </w:pPr>
            <w:r>
              <w:rPr>
                <w:sz w:val="15"/>
                <w:szCs w:val="15"/>
              </w:rPr>
              <w:t xml:space="preserve">Cash surrender value of an executive life insurance policy</w:t>
            </w:r>
          </w:p>
        </w:tc>
        <w:tc>
          <w:tcPr>
            <w:tcW w:type="pct" w:w="758"/>
            <w:tcMar>
              <w:top w:type="dxa" w:w="50"/>
              <w:left w:type="dxa" w:w="110"/>
              <w:bottom w:type="dxa" w:w="50"/>
              <w:right w:type="dxa" w:w="110"/>
            </w:tcMar>
          </w:tcPr>
          <w:p>
            <w:pPr>
              <w:spacing w:before="28" w:after="28"/>
            </w:pPr>
            <w:r>
              <w:rPr>
                <w:sz w:val="15"/>
                <w:szCs w:val="15"/>
              </w:rPr>
              <w:t xml:space="preserve">________</w:t>
            </w:r>
          </w:p>
        </w:tc>
        <w:tc>
          <w:tcPr>
            <w:tcW w:type="pct" w:w="2042"/>
            <w:tcMar>
              <w:top w:type="dxa" w:w="50"/>
              <w:left w:type="dxa" w:w="110"/>
              <w:bottom w:type="dxa" w:w="50"/>
              <w:right w:type="dxa" w:w="110"/>
            </w:tcMar>
          </w:tcPr>
          <w:p>
            <w:pPr>
              <w:spacing w:before="28" w:after="28"/>
            </w:pPr>
            <w:r>
              <w:rPr>
                <w:sz w:val="15"/>
                <w:szCs w:val="15"/>
              </w:rPr>
              <w:t xml:space="preserve">________</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Bank loan due on demand; the bank has never asked for repayment</w:t>
            </w:r>
          </w:p>
        </w:tc>
        <w:tc>
          <w:tcPr>
            <w:tcW w:type="pct" w:w="758"/>
            <w:shd w:fill="FBFAF6" w:val="clear"/>
            <w:tcMar>
              <w:top w:type="dxa" w:w="50"/>
              <w:left w:type="dxa" w:w="110"/>
              <w:bottom w:type="dxa" w:w="50"/>
              <w:right w:type="dxa" w:w="110"/>
            </w:tcMar>
          </w:tcPr>
          <w:p>
            <w:pPr>
              <w:spacing w:before="28" w:after="28"/>
            </w:pPr>
            <w:r>
              <w:rPr>
                <w:sz w:val="15"/>
                <w:szCs w:val="15"/>
              </w:rPr>
              <w:t xml:space="preserve">________</w:t>
            </w:r>
          </w:p>
        </w:tc>
        <w:tc>
          <w:tcPr>
            <w:tcW w:type="pct" w:w="2042"/>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200"/>
            <w:tcMar>
              <w:top w:type="dxa" w:w="50"/>
              <w:left w:type="dxa" w:w="110"/>
              <w:bottom w:type="dxa" w:w="50"/>
              <w:right w:type="dxa" w:w="110"/>
            </w:tcMar>
          </w:tcPr>
          <w:p>
            <w:pPr>
              <w:spacing w:before="28" w:after="28"/>
            </w:pPr>
            <w:r>
              <w:rPr>
                <w:sz w:val="15"/>
                <w:szCs w:val="15"/>
              </w:rPr>
              <w:t xml:space="preserve">Deferred tax asset from warranty costs expected to reverse next year</w:t>
            </w:r>
          </w:p>
        </w:tc>
        <w:tc>
          <w:tcPr>
            <w:tcW w:type="pct" w:w="758"/>
            <w:tcMar>
              <w:top w:type="dxa" w:w="50"/>
              <w:left w:type="dxa" w:w="110"/>
              <w:bottom w:type="dxa" w:w="50"/>
              <w:right w:type="dxa" w:w="110"/>
            </w:tcMar>
          </w:tcPr>
          <w:p>
            <w:pPr>
              <w:spacing w:before="28" w:after="28"/>
            </w:pPr>
            <w:r>
              <w:rPr>
                <w:sz w:val="15"/>
                <w:szCs w:val="15"/>
              </w:rPr>
              <w:t xml:space="preserve">________</w:t>
            </w:r>
          </w:p>
        </w:tc>
        <w:tc>
          <w:tcPr>
            <w:tcW w:type="pct" w:w="2042"/>
            <w:tcMar>
              <w:top w:type="dxa" w:w="50"/>
              <w:left w:type="dxa" w:w="110"/>
              <w:bottom w:type="dxa" w:w="50"/>
              <w:right w:type="dxa" w:w="110"/>
            </w:tcMar>
          </w:tcPr>
          <w:p>
            <w:pPr>
              <w:spacing w:before="28" w:after="28"/>
            </w:pPr>
            <w:r>
              <w:rPr>
                <w:sz w:val="15"/>
                <w:szCs w:val="15"/>
              </w:rPr>
              <w:t xml:space="preserve">________</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Customer deposits for orders to be delivered next month</w:t>
            </w:r>
          </w:p>
        </w:tc>
        <w:tc>
          <w:tcPr>
            <w:tcW w:type="pct" w:w="758"/>
            <w:shd w:fill="FBFAF6" w:val="clear"/>
            <w:tcMar>
              <w:top w:type="dxa" w:w="50"/>
              <w:left w:type="dxa" w:w="110"/>
              <w:bottom w:type="dxa" w:w="50"/>
              <w:right w:type="dxa" w:w="110"/>
            </w:tcMar>
          </w:tcPr>
          <w:p>
            <w:pPr>
              <w:spacing w:before="28" w:after="28"/>
            </w:pPr>
            <w:r>
              <w:rPr>
                <w:sz w:val="15"/>
                <w:szCs w:val="15"/>
              </w:rPr>
              <w:t xml:space="preserve">________</w:t>
            </w:r>
          </w:p>
        </w:tc>
        <w:tc>
          <w:tcPr>
            <w:tcW w:type="pct" w:w="2042"/>
            <w:shd w:fill="FBFAF6" w:val="clear"/>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Noncurrent asset   ·   operating cycle   ·   current assets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2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5275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callable debt   ·   operating cycle   ·   current liabilities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9"/>
        <w:gridCol w:w="479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0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04"/>
            <w:tcMar>
              <w:top w:type="dxa" w:w="50"/>
              <w:left w:type="dxa" w:w="110"/>
              <w:bottom w:type="dxa" w:w="50"/>
              <w:right w:type="dxa" w:w="110"/>
            </w:tcMar>
          </w:tcPr>
          <w:p>
            <w:pPr>
              <w:spacing w:before="26" w:after="26"/>
            </w:pPr>
            <w:r>
              <w:rPr>
                <w:color w:val="232733"/>
                <w:sz w:val="16"/>
                <w:szCs w:val="16"/>
              </w:rPr>
              <w:t xml:space="preserve">current assets</w:t>
            </w:r>
          </w:p>
        </w:tc>
        <w:tc>
          <w:tcPr>
            <w:tcW w:type="pct" w:w="2496"/>
            <w:tcMar>
              <w:top w:type="dxa" w:w="50"/>
              <w:left w:type="dxa" w:w="110"/>
              <w:bottom w:type="dxa" w:w="50"/>
              <w:right w:type="dxa" w:w="110"/>
            </w:tcMar>
          </w:tcPr>
          <w:p>
            <w:pPr>
              <w:spacing w:before="26" w:after="26"/>
            </w:pPr>
            <w:r>
              <w:rPr>
                <w:color w:val="232733"/>
                <w:sz w:val="16"/>
                <w:szCs w:val="16"/>
              </w:rPr>
              <w:t xml:space="preserve">الأصول المتداولة</w:t>
            </w:r>
          </w:p>
        </w:tc>
      </w:tr>
      <w:tr>
        <w:tc>
          <w:tcPr>
            <w:tcW w:type="pct" w:w="2504"/>
            <w:shd w:fill="FBFAF6" w:val="clear"/>
            <w:tcMar>
              <w:top w:type="dxa" w:w="50"/>
              <w:left w:type="dxa" w:w="110"/>
              <w:bottom w:type="dxa" w:w="50"/>
              <w:right w:type="dxa" w:w="110"/>
            </w:tcMar>
          </w:tcPr>
          <w:p>
            <w:pPr>
              <w:spacing w:before="26" w:after="26"/>
            </w:pPr>
            <w:r>
              <w:rPr>
                <w:color w:val="232733"/>
                <w:sz w:val="16"/>
                <w:szCs w:val="16"/>
              </w:rPr>
              <w:t xml:space="preserve">current liabilities</w:t>
            </w:r>
          </w:p>
        </w:tc>
        <w:tc>
          <w:tcPr>
            <w:tcW w:type="pct" w:w="2496"/>
            <w:shd w:fill="FBFAF6" w:val="clear"/>
            <w:tcMar>
              <w:top w:type="dxa" w:w="50"/>
              <w:left w:type="dxa" w:w="110"/>
              <w:bottom w:type="dxa" w:w="50"/>
              <w:right w:type="dxa" w:w="110"/>
            </w:tcMar>
          </w:tcPr>
          <w:p>
            <w:pPr>
              <w:spacing w:before="26" w:after="26"/>
            </w:pPr>
            <w:r>
              <w:rPr>
                <w:color w:val="232733"/>
                <w:sz w:val="16"/>
                <w:szCs w:val="16"/>
              </w:rPr>
              <w:t xml:space="preserve">الالتزامات المتداولة</w:t>
            </w:r>
          </w:p>
        </w:tc>
      </w:tr>
      <w:tr>
        <w:tc>
          <w:tcPr>
            <w:tcW w:type="pct" w:w="2504"/>
            <w:tcMar>
              <w:top w:type="dxa" w:w="50"/>
              <w:left w:type="dxa" w:w="110"/>
              <w:bottom w:type="dxa" w:w="50"/>
              <w:right w:type="dxa" w:w="110"/>
            </w:tcMar>
          </w:tcPr>
          <w:p>
            <w:pPr>
              <w:spacing w:before="26" w:after="26"/>
            </w:pPr>
            <w:r>
              <w:rPr>
                <w:color w:val="232733"/>
                <w:sz w:val="16"/>
                <w:szCs w:val="16"/>
              </w:rPr>
              <w:t xml:space="preserve">operating cycle</w:t>
            </w:r>
          </w:p>
        </w:tc>
        <w:tc>
          <w:tcPr>
            <w:tcW w:type="pct" w:w="2496"/>
            <w:tcMar>
              <w:top w:type="dxa" w:w="50"/>
              <w:left w:type="dxa" w:w="110"/>
              <w:bottom w:type="dxa" w:w="50"/>
              <w:right w:type="dxa" w:w="110"/>
            </w:tcMar>
          </w:tcPr>
          <w:p>
            <w:pPr>
              <w:spacing w:before="26" w:after="26"/>
            </w:pPr>
            <w:r>
              <w:rPr>
                <w:color w:val="232733"/>
                <w:sz w:val="16"/>
                <w:szCs w:val="16"/>
              </w:rPr>
              <w:t xml:space="preserve">دورة التشغيل</w:t>
            </w:r>
          </w:p>
        </w:tc>
      </w:tr>
      <w:tr>
        <w:tc>
          <w:tcPr>
            <w:tcW w:type="pct" w:w="2504"/>
            <w:shd w:fill="FBFAF6" w:val="clear"/>
            <w:tcMar>
              <w:top w:type="dxa" w:w="50"/>
              <w:left w:type="dxa" w:w="110"/>
              <w:bottom w:type="dxa" w:w="50"/>
              <w:right w:type="dxa" w:w="110"/>
            </w:tcMar>
          </w:tcPr>
          <w:p>
            <w:pPr>
              <w:spacing w:before="26" w:after="26"/>
            </w:pPr>
            <w:r>
              <w:rPr>
                <w:color w:val="232733"/>
                <w:sz w:val="16"/>
                <w:szCs w:val="16"/>
              </w:rPr>
              <w:t xml:space="preserve">working capital</w:t>
            </w:r>
          </w:p>
        </w:tc>
        <w:tc>
          <w:tcPr>
            <w:tcW w:type="pct" w:w="2496"/>
            <w:shd w:fill="FBFAF6" w:val="clear"/>
            <w:tcMar>
              <w:top w:type="dxa" w:w="50"/>
              <w:left w:type="dxa" w:w="110"/>
              <w:bottom w:type="dxa" w:w="50"/>
              <w:right w:type="dxa" w:w="110"/>
            </w:tcMar>
          </w:tcPr>
          <w:p>
            <w:pPr>
              <w:spacing w:before="26" w:after="26"/>
            </w:pPr>
            <w:r>
              <w:rPr>
                <w:color w:val="232733"/>
                <w:sz w:val="16"/>
                <w:szCs w:val="16"/>
              </w:rPr>
              <w:t xml:space="preserve">رأس المال العامل</w:t>
            </w:r>
          </w:p>
        </w:tc>
      </w:tr>
      <w:tr>
        <w:tc>
          <w:tcPr>
            <w:tcW w:type="pct" w:w="2504"/>
            <w:tcMar>
              <w:top w:type="dxa" w:w="50"/>
              <w:left w:type="dxa" w:w="110"/>
              <w:bottom w:type="dxa" w:w="50"/>
              <w:right w:type="dxa" w:w="110"/>
            </w:tcMar>
          </w:tcPr>
          <w:p>
            <w:pPr>
              <w:spacing w:before="26" w:after="26"/>
            </w:pPr>
            <w:r>
              <w:rPr>
                <w:color w:val="232733"/>
                <w:sz w:val="16"/>
                <w:szCs w:val="16"/>
              </w:rPr>
              <w:t xml:space="preserve">current ratio</w:t>
            </w:r>
          </w:p>
        </w:tc>
        <w:tc>
          <w:tcPr>
            <w:tcW w:type="pct" w:w="2496"/>
            <w:tcMar>
              <w:top w:type="dxa" w:w="50"/>
              <w:left w:type="dxa" w:w="110"/>
              <w:bottom w:type="dxa" w:w="50"/>
              <w:right w:type="dxa" w:w="110"/>
            </w:tcMar>
          </w:tcPr>
          <w:p>
            <w:pPr>
              <w:spacing w:before="26" w:after="26"/>
            </w:pPr>
            <w:r>
              <w:rPr>
                <w:color w:val="232733"/>
                <w:sz w:val="16"/>
                <w:szCs w:val="16"/>
              </w:rPr>
              <w:t xml:space="preserve">نسبة التداول</w:t>
            </w:r>
          </w:p>
        </w:tc>
      </w:tr>
      <w:tr>
        <w:tc>
          <w:tcPr>
            <w:tcW w:type="pct" w:w="2504"/>
            <w:shd w:fill="FBFAF6" w:val="clear"/>
            <w:tcMar>
              <w:top w:type="dxa" w:w="50"/>
              <w:left w:type="dxa" w:w="110"/>
              <w:bottom w:type="dxa" w:w="50"/>
              <w:right w:type="dxa" w:w="110"/>
            </w:tcMar>
          </w:tcPr>
          <w:p>
            <w:pPr>
              <w:spacing w:before="26" w:after="26"/>
            </w:pPr>
            <w:r>
              <w:rPr>
                <w:color w:val="232733"/>
                <w:sz w:val="16"/>
                <w:szCs w:val="16"/>
              </w:rPr>
              <w:t xml:space="preserve">restricted cash</w:t>
            </w:r>
          </w:p>
        </w:tc>
        <w:tc>
          <w:tcPr>
            <w:tcW w:type="pct" w:w="2496"/>
            <w:shd w:fill="FBFAF6" w:val="clear"/>
            <w:tcMar>
              <w:top w:type="dxa" w:w="50"/>
              <w:left w:type="dxa" w:w="110"/>
              <w:bottom w:type="dxa" w:w="50"/>
              <w:right w:type="dxa" w:w="110"/>
            </w:tcMar>
          </w:tcPr>
          <w:p>
            <w:pPr>
              <w:spacing w:before="26" w:after="26"/>
            </w:pPr>
            <w:r>
              <w:rPr>
                <w:color w:val="232733"/>
                <w:sz w:val="16"/>
                <w:szCs w:val="16"/>
              </w:rPr>
              <w:t xml:space="preserve">النقد المقيد</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2.2  Current and noncurrent items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whichever</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earlier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average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analyzes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collecting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supplier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obligations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liabilities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creating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Reclassifying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noncurrent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installment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classify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Restricted</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delivery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noncurrent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expects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investments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equity-method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prepayments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Noncurrent 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operating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measures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current liabilities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divided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operating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Orontes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Current assets are cash and other assets that the company expects to turn into cash, sell or use up within one year or within its operating cycle, whichever is longer. The operating cycle is the average time from buying materials to collecting cash from customers. Current liabilities are obligations the company expects to settle by using current assets or by creating other current liabilities. It takes about 32 days to sell its inventory and 34 days to collect from customers: 66 days in total. Because the cycle is shorter than a year, Orontes uses one year to classify its items. Some assets that look current are not. Restricted cash set aside to repay long-term debt or to build a plant is noncurrent. So are long-term investments, receivables that will not be collected within the period, the cash surrender value of life insurance, and long-term prepayments.</w:t>
      </w:r>
    </w:p>
    <w:p>
      <w:pPr>
        <w:spacing w:before="20" w:after="20"/>
        <w:ind w:left="240" w:hanging="240"/>
      </w:pPr>
      <w:r>
        <w:rPr>
          <w:b/>
          <w:bCs/>
          <w:color w:val="353A7C"/>
          <w:sz w:val="15"/>
          <w:szCs w:val="15"/>
        </w:rPr>
        <w:t xml:space="preserve">Summary 2   </w:t>
      </w:r>
      <w:r>
        <w:rPr>
          <w:color w:val="6B7280"/>
          <w:sz w:val="15"/>
          <w:szCs w:val="15"/>
        </w:rPr>
        <w:t xml:space="preserve">On the liability side, current portion of long-term debt is current, because that part of the principal is due within a year. Two measures come directly from these totals. Working capital is current assets minus current liabilities. The current ratio is current assets divided by current liabilities. For Orontes at the end of 2025, working capital is $14,188,100 − $4,280,000 = $9,908,100, and the current ratio is 3.31. A year earlier the ratio was 2.35. Part 2 of the CMA exam analyzes these ratios in depth.</w:t>
      </w:r>
    </w:p>
    <w:p>
      <w:pPr>
        <w:spacing w:before="20" w:after="20"/>
        <w:ind w:left="240" w:hanging="240"/>
      </w:pPr>
      <w:r>
        <w:rPr>
          <w:b/>
          <w:bCs/>
          <w:color w:val="353A7C"/>
          <w:sz w:val="15"/>
          <w:szCs w:val="15"/>
        </w:rPr>
        <w:t xml:space="preserve">Summary 3   </w:t>
      </w:r>
      <w:r>
        <w:rPr>
          <w:color w:val="6B7280"/>
          <w:sz w:val="15"/>
          <w:szCs w:val="15"/>
        </w:rPr>
        <w:t xml:space="preserve">Paying a supplier in cash reduces current assets and current liabilities by the same amount: working capital does not change, but the current ratio changes. Reclassifying debt from current to noncurrent increases working capital and the current ratio. Use the operating cycle only when it is longer than one year.</w:t>
      </w:r>
    </w:p>
    <w:p>
      <w:pPr>
        <w:spacing w:before="20" w:after="20"/>
        <w:ind w:left="240" w:hanging="240"/>
      </w:pPr>
      <w:r>
        <w:rPr>
          <w:b/>
          <w:bCs/>
          <w:color w:val="353A7C"/>
          <w:sz w:val="15"/>
          <w:szCs w:val="15"/>
        </w:rPr>
        <w:t xml:space="preserve">Summary 4   </w:t>
      </w:r>
      <w:r>
        <w:rPr>
          <w:color w:val="6B7280"/>
          <w:sz w:val="15"/>
          <w:szCs w:val="15"/>
        </w:rPr>
        <w:t xml:space="preserve">Next year's installment on long-term debt, $400,000. It is due within one year, so it is a current liability; the rest of the debt stays noncurrent. The delivery van held for sale, $46,000. Orontes expects to sell it within the year, so it is a current asset, outside PP&amp;E. The equity-method investments, $1,807,000. Orontes plans to hold them for the long term, so they are noncurrent assets.</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2.3  Classifying debt</w:t>
            </w:r>
          </w:p>
          <w:p>
            <w:pPr>
              <w:spacing w:before="0" w:after="46"/>
            </w:pPr>
            <w:r>
              <w:rPr>
                <w:color w:val="E8EAF6"/>
                <w:sz w:val="16"/>
                <w:szCs w:val="16"/>
              </w:rPr>
              <w:t xml:space="preserve">Chapter 2 · section 2.3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Debt is where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gets difficult, and where the exam likes to test. </w:t>
      </w:r>
      <w:r>
        <w:rPr>
          <w:sz w:val="19"/>
          <w:szCs w:val="19"/>
        </w:rPr>
        <w:t xml:space="preserve">Long-term debt that is due in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split: the current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long-term debt is current and the rest is noncurrent.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shows $400,000 as current and $6,000,000 as long-term. </w:t>
      </w:r>
      <w:r>
        <w:rPr>
          <w:sz w:val="19"/>
          <w:szCs w:val="19"/>
        </w:rPr>
        <w:t xml:space="preserve">Loan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contain conditions called covenants, for example a maximum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ratio. </w:t>
      </w:r>
      <w:r>
        <w:rPr>
          <w:sz w:val="19"/>
          <w:szCs w:val="19"/>
        </w:rPr>
        <w:t xml:space="preserve">If a company breaks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lender may be able to demand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at once. </w:t>
      </w:r>
      <w:r>
        <w:rPr>
          <w:sz w:val="19"/>
          <w:szCs w:val="19"/>
        </w:rPr>
        <w:t xml:space="preserve">Such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debt is current, even if the company does not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lender to act. </w:t>
      </w:r>
      <w:r>
        <w:rPr>
          <w:sz w:val="19"/>
          <w:szCs w:val="19"/>
        </w:rPr>
        <w:t xml:space="preserve">It stays noncurrent only if, before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are issued, the lender gives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for more than one year, or a grace period exists and the company will probably cure the violation within it. </w:t>
      </w:r>
      <w:r>
        <w:rPr>
          <w:sz w:val="19"/>
          <w:szCs w:val="19"/>
        </w:rPr>
        <w:t xml:space="preserve">A subjective acceleration clause, such as a right to demand payment after a 'material adverse change', makes debt current only if acceleration is probable.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portion   ·   covenant   ·   debt-to-equity   ·   signing   ·   Orontes   ·   classification   ·   statements   ·   expect   ·   installments   ·   agreements   ·   callable   ·   repayment   ·   waiver</w:t>
            </w:r>
          </w:p>
        </w:tc>
      </w:tr>
    </w:tbl>
    <w:p/>
    <w:p>
      <w:pPr>
        <w:spacing w:before="44" w:after="14"/>
      </w:pPr>
      <w:r>
        <w:rPr>
          <w:b/>
          <w:bCs/>
          <w:color w:val="353A7C"/>
          <w:sz w:val="18"/>
          <w:szCs w:val="18"/>
        </w:rPr>
        <w:t xml:space="preserve">Summary 2</w:t>
      </w:r>
      <w:r>
        <w:rPr>
          <w:color w:val="6B7280"/>
          <w:sz w:val="16"/>
          <w:szCs w:val="16"/>
        </w:rPr>
        <w:t xml:space="preserve">      gaps 13–22</w:t>
      </w:r>
    </w:p>
    <w:p>
      <w:pPr>
        <w:spacing w:before="20" w:after="20" w:line="360" w:lineRule="auto"/>
        <w:ind w:left="200"/>
      </w:pPr>
      <w:r>
        <w:rPr>
          <w:sz w:val="19"/>
          <w:szCs w:val="19"/>
        </w:rPr>
        <w:t xml:space="preserve">Debt that is due on demand is always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debt can be shown as noncurrent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refinancing, but only if the company intends to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it on a long-term basis and shows that it can. </w:t>
      </w:r>
      <w:r>
        <w:rPr>
          <w:sz w:val="19"/>
          <w:szCs w:val="19"/>
        </w:rPr>
        <w:t xml:space="preserve">It shows this by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long-term debt or shares after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sheet date but before the statements are issued, or by signing a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financing agreement. </w:t>
      </w:r>
      <w:r>
        <w:rPr>
          <w:sz w:val="19"/>
          <w:szCs w:val="19"/>
        </w:rPr>
        <w:t xml:space="preserve">IAS 1 asks one question: at the reporting date, does the company have a right to defer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for at least twelve months? A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or refinancing obtained after the reporting date does not count. </w:t>
      </w:r>
      <w:r>
        <w:rPr>
          <w:sz w:val="19"/>
          <w:szCs w:val="19"/>
        </w:rPr>
        <w:t xml:space="preserve">U.S. GAAP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events up to the date the statements are issued.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counts   ·   Short-term   ·   refinance   ·   current   ·   through   ·   waiver   ·   issuing   ·   balance   ·   intends   ·   settlement   ·   qualifying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472"/>
        <w:gridCol w:w="290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Debt classification: U.S. GAAP versus IFRS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Situation at the reporting date</w:t>
            </w:r>
          </w:p>
        </w:tc>
        <w:tc>
          <w:tcPr>
            <w:tcW w:type="pct" w:w="1287"/>
            <w:shd w:fill="353A7C" w:val="clear"/>
            <w:tcMar>
              <w:top w:type="dxa" w:w="50"/>
              <w:left w:type="dxa" w:w="110"/>
              <w:bottom w:type="dxa" w:w="50"/>
              <w:right w:type="dxa" w:w="110"/>
            </w:tcMar>
          </w:tcPr>
          <w:p>
            <w:pPr>
              <w:spacing w:before="30" w:after="30"/>
            </w:pPr>
            <w:r>
              <w:rPr>
                <w:b/>
                <w:bCs/>
                <w:color w:val="FFFFFF"/>
                <w:sz w:val="15"/>
                <w:szCs w:val="15"/>
              </w:rPr>
              <w:t xml:space="preserve">U.S. GAAP (ASC 470-10)</w:t>
            </w:r>
          </w:p>
        </w:tc>
        <w:tc>
          <w:tcPr>
            <w:tcW w:type="pct" w:w="1513"/>
            <w:shd w:fill="353A7C" w:val="clear"/>
            <w:tcMar>
              <w:top w:type="dxa" w:w="50"/>
              <w:left w:type="dxa" w:w="110"/>
              <w:bottom w:type="dxa" w:w="50"/>
              <w:right w:type="dxa" w:w="110"/>
            </w:tcMar>
          </w:tcPr>
          <w:p>
            <w:pPr>
              <w:spacing w:before="30" w:after="30"/>
            </w:pPr>
            <w:r>
              <w:rPr>
                <w:b/>
                <w:bCs/>
                <w:color w:val="FFFFFF"/>
                <w:sz w:val="15"/>
                <w:szCs w:val="15"/>
              </w:rPr>
              <w:t xml:space="preserve">IFRS (IAS 1)</w:t>
            </w:r>
          </w:p>
        </w:tc>
      </w:tr>
      <w:tr>
        <w:tc>
          <w:tcPr>
            <w:tcW w:type="pct" w:w="2200"/>
            <w:tcMar>
              <w:top w:type="dxa" w:w="50"/>
              <w:left w:type="dxa" w:w="110"/>
              <w:bottom w:type="dxa" w:w="50"/>
              <w:right w:type="dxa" w:w="110"/>
            </w:tcMar>
          </w:tcPr>
          <w:p>
            <w:pPr>
              <w:spacing w:before="28" w:after="28"/>
            </w:pPr>
            <w:r>
              <w:rPr>
                <w:sz w:val="15"/>
                <w:szCs w:val="15"/>
              </w:rPr>
              <w:t xml:space="preserve">Short-term debt refinanced long-term after year-end, before issuance</w:t>
            </w:r>
          </w:p>
        </w:tc>
        <w:tc>
          <w:tcPr>
            <w:tcW w:type="pct" w:w="1287"/>
            <w:tcMar>
              <w:top w:type="dxa" w:w="50"/>
              <w:left w:type="dxa" w:w="110"/>
              <w:bottom w:type="dxa" w:w="50"/>
              <w:right w:type="dxa" w:w="110"/>
            </w:tcMar>
          </w:tcPr>
          <w:p>
            <w:pPr>
              <w:spacing w:before="28" w:after="28"/>
            </w:pPr>
            <w:r>
              <w:rPr>
                <w:sz w:val="15"/>
                <w:szCs w:val="15"/>
              </w:rPr>
              <w:t xml:space="preserve">Noncurrent (intent and </w:t>
            </w:r>
            <w:r>
              <w:rPr>
                <w:b/>
                <w:bCs/>
                <w:color w:val="8186EF"/>
                <w:sz w:val="14"/>
                <w:szCs w:val="14"/>
              </w:rPr>
              <w:t xml:space="preserve"> (23) </w:t>
            </w:r>
            <w:r>
              <w:rPr>
                <w:u w:val="single"/>
                <w:sz w:val="15"/>
                <w:szCs w:val="15"/>
              </w:rPr>
              <w:t xml:space="preserve">              </w:t>
            </w:r>
            <w:r>
              <w:rPr>
                <w:sz w:val="15"/>
                <w:szCs w:val="15"/>
              </w:rPr>
              <w:t xml:space="preserve"> </w:t>
            </w:r>
            <w:r>
              <w:rPr>
                <w:sz w:val="15"/>
                <w:szCs w:val="15"/>
              </w:rPr>
              <w:t xml:space="preserve"> ability)</w:t>
            </w:r>
          </w:p>
        </w:tc>
        <w:tc>
          <w:tcPr>
            <w:tcW w:type="pct" w:w="1513"/>
            <w:tcMar>
              <w:top w:type="dxa" w:w="50"/>
              <w:left w:type="dxa" w:w="110"/>
              <w:bottom w:type="dxa" w:w="50"/>
              <w:right w:type="dxa" w:w="110"/>
            </w:tcMar>
          </w:tcPr>
          <w:p>
            <w:pPr>
              <w:spacing w:before="28" w:after="28"/>
            </w:pPr>
            <w:r>
              <w:rPr>
                <w:sz w:val="15"/>
                <w:szCs w:val="15"/>
              </w:rPr>
              <w:t xml:space="preserve">Current (no right to defer at the reporting date)</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Covenant broken at year-end; waiver for more than 12 months obtained after year-end</w:t>
            </w:r>
          </w:p>
        </w:tc>
        <w:tc>
          <w:tcPr>
            <w:tcW w:type="pct" w:w="1287"/>
            <w:shd w:fill="FBFAF6" w:val="clear"/>
            <w:tcMar>
              <w:top w:type="dxa" w:w="50"/>
              <w:left w:type="dxa" w:w="110"/>
              <w:bottom w:type="dxa" w:w="50"/>
              <w:right w:type="dxa" w:w="110"/>
            </w:tcMar>
          </w:tcPr>
          <w:p>
            <w:pPr>
              <w:spacing w:before="28" w:after="28"/>
            </w:pPr>
            <w:r>
              <w:rPr>
                <w:sz w:val="15"/>
                <w:szCs w:val="15"/>
              </w:rPr>
              <w:t xml:space="preserve">Noncurrent</w:t>
            </w:r>
          </w:p>
        </w:tc>
        <w:tc>
          <w:tcPr>
            <w:tcW w:type="pct" w:w="1513"/>
            <w:shd w:fill="FBFAF6" w:val="clear"/>
            <w:tcMar>
              <w:top w:type="dxa" w:w="50"/>
              <w:left w:type="dxa" w:w="110"/>
              <w:bottom w:type="dxa" w:w="50"/>
              <w:right w:type="dxa" w:w="110"/>
            </w:tcMar>
          </w:tcPr>
          <w:p>
            <w:pPr>
              <w:spacing w:before="28" w:after="28"/>
            </w:pPr>
            <w:r>
              <w:rPr>
                <w:sz w:val="15"/>
                <w:szCs w:val="15"/>
              </w:rPr>
              <w:t xml:space="preserve">Current</w:t>
            </w:r>
          </w:p>
        </w:tc>
      </w:tr>
      <w:tr>
        <w:tc>
          <w:tcPr>
            <w:tcW w:type="pct" w:w="2200"/>
            <w:tcMar>
              <w:top w:type="dxa" w:w="50"/>
              <w:left w:type="dxa" w:w="110"/>
              <w:bottom w:type="dxa" w:w="50"/>
              <w:right w:type="dxa" w:w="110"/>
            </w:tcMar>
          </w:tcPr>
          <w:p>
            <w:pPr>
              <w:spacing w:before="28" w:after="28"/>
            </w:pPr>
            <w:r>
              <w:rPr>
                <w:sz w:val="15"/>
                <w:szCs w:val="15"/>
              </w:rPr>
              <w:t xml:space="preserve">Covenant broken at year-end; waiver obtained on or before year-end</w:t>
            </w:r>
          </w:p>
        </w:tc>
        <w:tc>
          <w:tcPr>
            <w:tcW w:type="pct" w:w="1287"/>
            <w:tcMar>
              <w:top w:type="dxa" w:w="50"/>
              <w:left w:type="dxa" w:w="110"/>
              <w:bottom w:type="dxa" w:w="50"/>
              <w:right w:type="dxa" w:w="110"/>
            </w:tcMar>
          </w:tcPr>
          <w:p>
            <w:pPr>
              <w:spacing w:before="28" w:after="28"/>
            </w:pPr>
            <w:r>
              <w:rPr>
                <w:sz w:val="15"/>
                <w:szCs w:val="15"/>
              </w:rPr>
              <w:t xml:space="preserve">Noncurrent</w:t>
            </w:r>
          </w:p>
        </w:tc>
        <w:tc>
          <w:tcPr>
            <w:tcW w:type="pct" w:w="1513"/>
            <w:tcMar>
              <w:top w:type="dxa" w:w="50"/>
              <w:left w:type="dxa" w:w="110"/>
              <w:bottom w:type="dxa" w:w="50"/>
              <w:right w:type="dxa" w:w="110"/>
            </w:tcMar>
          </w:tcPr>
          <w:p>
            <w:pPr>
              <w:spacing w:before="28" w:after="28"/>
            </w:pPr>
            <w:r>
              <w:rPr>
                <w:sz w:val="15"/>
                <w:szCs w:val="15"/>
              </w:rPr>
              <w:t xml:space="preserve">Noncurrent</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Covenant tested only after year-end (future compliance doubtful)</w:t>
            </w:r>
          </w:p>
        </w:tc>
        <w:tc>
          <w:tcPr>
            <w:tcW w:type="pct" w:w="1287"/>
            <w:shd w:fill="FBFAF6" w:val="clear"/>
            <w:tcMar>
              <w:top w:type="dxa" w:w="50"/>
              <w:left w:type="dxa" w:w="110"/>
              <w:bottom w:type="dxa" w:w="50"/>
              <w:right w:type="dxa" w:w="110"/>
            </w:tcMar>
          </w:tcPr>
          <w:p>
            <w:pPr>
              <w:spacing w:before="28" w:after="28"/>
            </w:pPr>
            <w:r>
              <w:rPr>
                <w:sz w:val="15"/>
                <w:szCs w:val="15"/>
              </w:rPr>
              <w:t xml:space="preserve">Noncurrent; disclose</w:t>
            </w:r>
          </w:p>
        </w:tc>
        <w:tc>
          <w:tcPr>
            <w:tcW w:type="pct" w:w="1513"/>
            <w:shd w:fill="FBFAF6" w:val="clear"/>
            <w:tcMar>
              <w:top w:type="dxa" w:w="50"/>
              <w:left w:type="dxa" w:w="110"/>
              <w:bottom w:type="dxa" w:w="50"/>
              <w:right w:type="dxa" w:w="110"/>
            </w:tcMar>
          </w:tcPr>
          <w:p>
            <w:pPr>
              <w:spacing w:before="28" w:after="28"/>
            </w:pPr>
            <w:r>
              <w:rPr>
                <w:sz w:val="15"/>
                <w:szCs w:val="15"/>
              </w:rPr>
              <w:t xml:space="preserve">Noncurrent; disclose the risk</w:t>
            </w:r>
          </w:p>
        </w:tc>
      </w:tr>
      <w:tr>
        <w:tc>
          <w:tcPr>
            <w:tcW w:type="pct" w:w="2200"/>
            <w:tcMar>
              <w:top w:type="dxa" w:w="50"/>
              <w:left w:type="dxa" w:w="110"/>
              <w:bottom w:type="dxa" w:w="50"/>
              <w:right w:type="dxa" w:w="110"/>
            </w:tcMar>
          </w:tcPr>
          <w:p>
            <w:pPr>
              <w:spacing w:before="28" w:after="28"/>
            </w:pPr>
            <w:r>
              <w:rPr>
                <w:sz w:val="15"/>
                <w:szCs w:val="15"/>
              </w:rPr>
              <w:t xml:space="preserve">Subjective acceleration clause</w:t>
            </w:r>
          </w:p>
        </w:tc>
        <w:tc>
          <w:tcPr>
            <w:tcW w:type="pct" w:w="1287"/>
            <w:tcMar>
              <w:top w:type="dxa" w:w="50"/>
              <w:left w:type="dxa" w:w="110"/>
              <w:bottom w:type="dxa" w:w="50"/>
              <w:right w:type="dxa" w:w="110"/>
            </w:tcMar>
          </w:tcPr>
          <w:p>
            <w:pPr>
              <w:spacing w:before="28" w:after="28"/>
            </w:pPr>
            <w:r>
              <w:rPr>
                <w:sz w:val="15"/>
                <w:szCs w:val="15"/>
              </w:rPr>
              <w:t xml:space="preserve">Current only if acceleration is probable</w:t>
            </w:r>
          </w:p>
        </w:tc>
        <w:tc>
          <w:tcPr>
            <w:tcW w:type="pct" w:w="1513"/>
            <w:tcMar>
              <w:top w:type="dxa" w:w="50"/>
              <w:left w:type="dxa" w:w="110"/>
              <w:bottom w:type="dxa" w:w="50"/>
              <w:right w:type="dxa" w:w="110"/>
            </w:tcMar>
          </w:tcPr>
          <w:p>
            <w:pPr>
              <w:spacing w:before="28" w:after="28"/>
            </w:pPr>
            <w:r>
              <w:rPr>
                <w:sz w:val="15"/>
                <w:szCs w:val="15"/>
              </w:rPr>
              <w:t xml:space="preserve">Ignored unless it removes the right to defer</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Deferred tax assets and liabilities</w:t>
            </w:r>
          </w:p>
        </w:tc>
        <w:tc>
          <w:tcPr>
            <w:tcW w:type="pct" w:w="1287"/>
            <w:shd w:fill="FBFAF6" w:val="clear"/>
            <w:tcMar>
              <w:top w:type="dxa" w:w="50"/>
              <w:left w:type="dxa" w:w="110"/>
              <w:bottom w:type="dxa" w:w="50"/>
              <w:right w:type="dxa" w:w="110"/>
            </w:tcMar>
          </w:tcPr>
          <w:p>
            <w:pPr>
              <w:spacing w:before="28" w:after="28"/>
            </w:pPr>
            <w:r>
              <w:rPr>
                <w:sz w:val="15"/>
                <w:szCs w:val="15"/>
              </w:rPr>
              <w:t xml:space="preserve">All noncurrent</w:t>
            </w:r>
          </w:p>
        </w:tc>
        <w:tc>
          <w:tcPr>
            <w:tcW w:type="pct" w:w="1513"/>
            <w:shd w:fill="FFFFFF" w:val="clear"/>
            <w:tcMar>
              <w:top w:type="dxa" w:w="50"/>
              <w:left w:type="dxa" w:w="110"/>
              <w:bottom w:type="dxa" w:w="50"/>
              <w:right w:type="dxa" w:w="110"/>
            </w:tcMar>
          </w:tcPr>
          <w:p>
            <w:pPr>
              <w:spacing w:before="46" w:after="46"/>
            </w:pPr>
            <w:r>
              <w:rPr>
                <w:b/>
                <w:bCs/>
                <w:color w:val="8186EF"/>
                <w:sz w:val="14"/>
                <w:szCs w:val="14"/>
              </w:rPr>
              <w:t xml:space="preserve">(24)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demonstrated   ·   All non-current   ·   working capital</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25–26</w:t>
      </w:r>
    </w:p>
    <w:p>
      <w:pPr>
        <w:spacing w:before="20" w:after="20" w:line="360" w:lineRule="auto"/>
        <w:ind w:left="200"/>
      </w:pPr>
      <w:r>
        <w:rPr>
          <w:sz w:val="19"/>
          <w:szCs w:val="19"/>
        </w:rPr>
        <w:t xml:space="preserve">The FASB proposed a simpler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rule in 2017 and again in 2019, but removed the project from its agenda in April 2021. </w:t>
      </w:r>
      <w:r>
        <w:rPr>
          <w:sz w:val="19"/>
          <w:szCs w:val="19"/>
        </w:rPr>
        <w:t xml:space="preserve">Do not use the old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on the exam.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agreements   ·   debt-classification   ·   proposal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Debt traps</w:t>
            </w:r>
          </w:p>
        </w:tc>
      </w:tr>
    </w:tbl>
    <w:p/>
    <w:p>
      <w:pPr>
        <w:spacing w:before="44" w:after="14"/>
      </w:pPr>
      <w:r>
        <w:rPr>
          <w:b/>
          <w:bCs/>
          <w:color w:val="353A7C"/>
          <w:sz w:val="18"/>
          <w:szCs w:val="18"/>
        </w:rPr>
        <w:t xml:space="preserve">Summary 4</w:t>
      </w:r>
      <w:r>
        <w:rPr>
          <w:color w:val="6B7280"/>
          <w:sz w:val="16"/>
          <w:szCs w:val="16"/>
        </w:rPr>
        <w:t xml:space="preserve">      gaps 27–28</w:t>
      </w:r>
    </w:p>
    <w:p>
      <w:pPr>
        <w:spacing w:before="20" w:after="20" w:line="360" w:lineRule="auto"/>
        <w:ind w:left="200"/>
      </w:pPr>
      <w:r>
        <w:rPr>
          <w:sz w:val="19"/>
          <w:szCs w:val="19"/>
        </w:rPr>
        <w:t xml:space="preserve">Refinanced after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but before issuance: noncurrent under U.S. GAAP, current under IFRS. </w:t>
      </w:r>
      <w:r>
        <w:rPr>
          <w:sz w:val="19"/>
          <w:szCs w:val="19"/>
        </w:rPr>
        <w:t xml:space="preserve">Due on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always current. </w:t>
      </w:r>
      <w:r>
        <w:rPr>
          <w:sz w:val="19"/>
          <w:szCs w:val="19"/>
        </w:rPr>
        <w:t xml:space="preserve">A waiver obtained before issuance, for more than a year: noncurrent under U.S. GAAP.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reporting   ·   demand   ·   year-end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flexibility   ·   waiver   ·   callable debt   ·   subjective acceleration clause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2600"/>
            <w:tcMar>
              <w:top w:type="dxa" w:w="50"/>
              <w:left w:type="dxa" w:w="110"/>
              <w:bottom w:type="dxa" w:w="50"/>
              <w:right w:type="dxa" w:w="110"/>
            </w:tcMar>
          </w:tcPr>
          <w:p>
            <w:pPr>
              <w:spacing w:before="26" w:after="26"/>
            </w:pPr>
            <w:r>
              <w:rPr>
                <w:color w:val="232733"/>
                <w:sz w:val="16"/>
                <w:szCs w:val="16"/>
              </w:rPr>
              <w:t xml:space="preserve">الجزء المتداول من الديون طويلة الأجل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covenant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تعهد (شرط) في اتفاقية القرض</w:t>
            </w:r>
          </w:p>
        </w:tc>
      </w:tr>
      <w:tr>
        <w:tc>
          <w:tcPr>
            <w:tcW w:type="pct" w:w="2400"/>
            <w:tcMar>
              <w:top w:type="dxa" w:w="50"/>
              <w:left w:type="dxa" w:w="110"/>
              <w:bottom w:type="dxa" w:w="50"/>
              <w:right w:type="dxa" w:w="110"/>
            </w:tcMar>
          </w:tcPr>
          <w:p>
            <w:pPr>
              <w:spacing w:before="26" w:after="26"/>
            </w:pPr>
            <w:r>
              <w:rPr>
                <w:color w:val="232733"/>
                <w:sz w:val="16"/>
                <w:szCs w:val="16"/>
              </w:rPr>
              <w:t xml:space="preserve">callable debt</w:t>
            </w:r>
          </w:p>
        </w:tc>
        <w:tc>
          <w:tcPr>
            <w:tcW w:type="pct" w:w="2600"/>
            <w:tcMar>
              <w:top w:type="dxa" w:w="50"/>
              <w:left w:type="dxa" w:w="110"/>
              <w:bottom w:type="dxa" w:w="50"/>
              <w:right w:type="dxa" w:w="110"/>
            </w:tcMar>
          </w:tcPr>
          <w:p>
            <w:pPr>
              <w:spacing w:before="26" w:after="26"/>
            </w:pPr>
            <w:r>
              <w:rPr>
                <w:color w:val="232733"/>
                <w:sz w:val="16"/>
                <w:szCs w:val="16"/>
              </w:rPr>
              <w:t xml:space="preserve">دين قابل للاستدعاء (مستحق عند الطلب)</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waiver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تنازل (إعفاء) من الدائن</w:t>
            </w:r>
          </w:p>
        </w:tc>
      </w:tr>
      <w:tr>
        <w:tc>
          <w:tcPr>
            <w:tcW w:type="pct" w:w="2400"/>
            <w:tcMar>
              <w:top w:type="dxa" w:w="50"/>
              <w:left w:type="dxa" w:w="110"/>
              <w:bottom w:type="dxa" w:w="50"/>
              <w:right w:type="dxa" w:w="110"/>
            </w:tcMar>
          </w:tcPr>
          <w:p>
            <w:pPr>
              <w:spacing w:before="26" w:after="26"/>
            </w:pPr>
            <w:r>
              <w:rPr>
                <w:color w:val="232733"/>
                <w:sz w:val="16"/>
                <w:szCs w:val="16"/>
              </w:rPr>
              <w:t xml:space="preserve">grace period</w:t>
            </w:r>
          </w:p>
        </w:tc>
        <w:tc>
          <w:tcPr>
            <w:tcW w:type="pct" w:w="2600"/>
            <w:tcMar>
              <w:top w:type="dxa" w:w="50"/>
              <w:left w:type="dxa" w:w="110"/>
              <w:bottom w:type="dxa" w:w="50"/>
              <w:right w:type="dxa" w:w="110"/>
            </w:tcMar>
          </w:tcPr>
          <w:p>
            <w:pPr>
              <w:spacing w:before="26" w:after="26"/>
            </w:pPr>
            <w:r>
              <w:rPr>
                <w:color w:val="232733"/>
                <w:sz w:val="16"/>
                <w:szCs w:val="16"/>
              </w:rPr>
              <w:t xml:space="preserve">فترة سماح</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subjective acceleration clause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شرط التعجيل التقديري</w:t>
            </w:r>
          </w:p>
        </w:tc>
      </w:tr>
      <w:tr>
        <w:tc>
          <w:tcPr>
            <w:tcW w:type="pct" w:w="2400"/>
            <w:tcMar>
              <w:top w:type="dxa" w:w="50"/>
              <w:left w:type="dxa" w:w="110"/>
              <w:bottom w:type="dxa" w:w="50"/>
              <w:right w:type="dxa" w:w="110"/>
            </w:tcMar>
          </w:tcPr>
          <w:p>
            <w:pPr>
              <w:spacing w:before="26" w:after="26"/>
            </w:pPr>
            <w:r>
              <w:rPr>
                <w:color w:val="232733"/>
                <w:sz w:val="16"/>
                <w:szCs w:val="16"/>
              </w:rPr>
              <w:t xml:space="preserve">refinancing</w:t>
            </w:r>
          </w:p>
        </w:tc>
        <w:tc>
          <w:tcPr>
            <w:tcW w:type="pct" w:w="2600"/>
            <w:tcMar>
              <w:top w:type="dxa" w:w="50"/>
              <w:left w:type="dxa" w:w="110"/>
              <w:bottom w:type="dxa" w:w="50"/>
              <w:right w:type="dxa" w:w="110"/>
            </w:tcMar>
          </w:tcPr>
          <w:p>
            <w:pPr>
              <w:spacing w:before="26" w:after="26"/>
            </w:pPr>
            <w:r>
              <w:rPr>
                <w:color w:val="232733"/>
                <w:sz w:val="16"/>
                <w:szCs w:val="16"/>
              </w:rPr>
              <w:t xml:space="preserve">إعادة التمويل</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2.3  Classifying debt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classification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issuing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installments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portion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qualifying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settlement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agreements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waiver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debt-to-equity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covenant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demonstrated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repayment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All non-current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callable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debt-classification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expect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proposal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year-end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waiver</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demand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current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callable debt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Short-term</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waiver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subjective acceleration clause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refinance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Debt is where classification gets difficult, and where the exam likes to test. Long-term debt that is due in installments is split: the current portion of long-term debt is current and the rest is noncurrent. Orontes shows $400,000 as current and $6,000,000 as long-term. Loan agreements contain conditions called covenants, for example a maximum debt-to-equity ratio. If a company breaks a covenant, the lender may be able to demand repayment at once. Such callable debt is current, even if the company does not expect the lender to act. It stays noncurrent only if, before the statements are issued, the lender gives a waiver for more than one year, or a grace period exists and the company will probably cure the violation within it. A subjective acceleration clause, such as a right to demand payment after a 'material adverse change', makes debt current only if acceleration is probable.</w:t>
      </w:r>
    </w:p>
    <w:p>
      <w:pPr>
        <w:spacing w:before="20" w:after="20"/>
        <w:ind w:left="240" w:hanging="240"/>
      </w:pPr>
      <w:r>
        <w:rPr>
          <w:b/>
          <w:bCs/>
          <w:color w:val="353A7C"/>
          <w:sz w:val="15"/>
          <w:szCs w:val="15"/>
        </w:rPr>
        <w:t xml:space="preserve">Summary 2   </w:t>
      </w:r>
      <w:r>
        <w:rPr>
          <w:color w:val="6B7280"/>
          <w:sz w:val="15"/>
          <w:szCs w:val="15"/>
        </w:rPr>
        <w:t xml:space="preserve">Debt that is due on demand is always current. Short-term debt can be shown as noncurrent through refinancing, but only if the company intends to refinance it on a long-term basis and shows that it can. It shows this by issuing long-term debt or shares after the balance sheet date but before the statements are issued, or by signing a qualifying financing agreement. IAS 1 asks one question: at the reporting date, does the company have a right to defer settlement for at least twelve months? A waiver or refinancing obtained after the reporting date does not count. U.S. GAAP counts events up to the date the statements are issued.</w:t>
      </w:r>
    </w:p>
    <w:p>
      <w:pPr>
        <w:spacing w:before="20" w:after="20"/>
        <w:ind w:left="240" w:hanging="240"/>
      </w:pPr>
      <w:r>
        <w:rPr>
          <w:b/>
          <w:bCs/>
          <w:color w:val="353A7C"/>
          <w:sz w:val="15"/>
          <w:szCs w:val="15"/>
        </w:rPr>
        <w:t xml:space="preserve">Summary 3   </w:t>
      </w:r>
      <w:r>
        <w:rPr>
          <w:color w:val="6B7280"/>
          <w:sz w:val="15"/>
          <w:szCs w:val="15"/>
        </w:rPr>
        <w:t xml:space="preserve">The FASB proposed a simpler debt-classification rule in 2017 and again in 2019, but removed the project from its agenda in April 2021. Do not use the old proposal on the exam.</w:t>
      </w:r>
    </w:p>
    <w:p>
      <w:pPr>
        <w:spacing w:before="20" w:after="20"/>
        <w:ind w:left="240" w:hanging="240"/>
      </w:pPr>
      <w:r>
        <w:rPr>
          <w:b/>
          <w:bCs/>
          <w:color w:val="353A7C"/>
          <w:sz w:val="15"/>
          <w:szCs w:val="15"/>
        </w:rPr>
        <w:t xml:space="preserve">Summary 4   </w:t>
      </w:r>
      <w:r>
        <w:rPr>
          <w:color w:val="6B7280"/>
          <w:sz w:val="15"/>
          <w:szCs w:val="15"/>
        </w:rPr>
        <w:t xml:space="preserve">Refinanced after year-end but before issuance: noncurrent under U.S. GAAP, current under IFRS. Due on demand: always current. A waiver obtained before issuance, for more than a year: noncurrent under U.S. GAAP.</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2.4  Other presentation matters</w:t>
            </w:r>
          </w:p>
          <w:p>
            <w:pPr>
              <w:spacing w:before="0" w:after="46"/>
            </w:pPr>
            <w:r>
              <w:rPr>
                <w:color w:val="E8EAF6"/>
                <w:sz w:val="16"/>
                <w:szCs w:val="16"/>
              </w:rPr>
              <w:t xml:space="preserve">Chapter 2 · section 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few more rules decide what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 the balance sheet and how. </w:t>
      </w:r>
      <w:r>
        <w:rPr>
          <w:sz w:val="19"/>
          <w:szCs w:val="19"/>
        </w:rPr>
        <w:t xml:space="preserve">All deferred tax assets and liabilities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Orontes shows its deferred tax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$999,625 below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debt. </w:t>
      </w:r>
      <w:r>
        <w:rPr>
          <w:sz w:val="19"/>
          <w:szCs w:val="19"/>
        </w:rPr>
        <w:t xml:space="preserve">Assets and liabilities may be offset only when a right of setoff exists: the two parties owe each other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amounts, the company has the legal right and the intent to set them off, and the right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A loss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an existing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that may cause a loss, such as a lawsuit. </w:t>
      </w:r>
      <w:r>
        <w:rPr>
          <w:sz w:val="19"/>
          <w:szCs w:val="19"/>
        </w:rPr>
        <w:t xml:space="preserve">Gain contingencies are never recorded before they are realized.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liability   ·   determinable   ·   contingency   ·   enforceable   ·   appears   ·   liquidity   ·   noncurrent   ·   situation   ·   long-term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Loss contingencies: recognition and disclosure</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Likelihood of the loss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Recognition (if reasonably estimable)</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Disclosure</w:t>
            </w:r>
          </w:p>
        </w:tc>
      </w:tr>
      <w:tr>
        <w:tc>
          <w:tcPr>
            <w:tcW w:type="pct" w:w="758"/>
            <w:tcMar>
              <w:top w:type="dxa" w:w="50"/>
              <w:left w:type="dxa" w:w="110"/>
              <w:bottom w:type="dxa" w:w="50"/>
              <w:right w:type="dxa" w:w="110"/>
            </w:tcMar>
          </w:tcPr>
          <w:p>
            <w:pPr>
              <w:spacing w:before="28" w:after="28"/>
            </w:pPr>
            <w:r>
              <w:rPr>
                <w:sz w:val="15"/>
                <w:szCs w:val="15"/>
              </w:rPr>
              <w:t xml:space="preserve">Probable</w:t>
            </w:r>
          </w:p>
        </w:tc>
        <w:tc>
          <w:tcPr>
            <w:tcW w:type="pct" w:w="2200"/>
            <w:tcMar>
              <w:top w:type="dxa" w:w="50"/>
              <w:left w:type="dxa" w:w="110"/>
              <w:bottom w:type="dxa" w:w="50"/>
              <w:right w:type="dxa" w:w="110"/>
            </w:tcMar>
          </w:tcPr>
          <w:p>
            <w:pPr>
              <w:spacing w:before="28" w:after="28"/>
            </w:pPr>
            <w:r>
              <w:rPr>
                <w:sz w:val="15"/>
                <w:szCs w:val="15"/>
              </w:rPr>
              <w:t xml:space="preserve">Accrue a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and a loss (best estimate; if no best estimate, the minimum of the range)</w:t>
            </w:r>
          </w:p>
        </w:tc>
        <w:tc>
          <w:tcPr>
            <w:tcW w:type="pct" w:w="2042"/>
            <w:tcMar>
              <w:top w:type="dxa" w:w="50"/>
              <w:left w:type="dxa" w:w="110"/>
              <w:bottom w:type="dxa" w:w="50"/>
              <w:right w:type="dxa" w:w="110"/>
            </w:tcMar>
          </w:tcPr>
          <w:p>
            <w:pPr>
              <w:spacing w:before="28" w:after="28"/>
            </w:pPr>
            <w:r>
              <w:rPr>
                <w:sz w:val="15"/>
                <w:szCs w:val="15"/>
              </w:rPr>
              <w:t xml:space="preserve">Accrue and disclose</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Reasonably possible</w:t>
            </w:r>
          </w:p>
        </w:tc>
        <w:tc>
          <w:tcPr>
            <w:tcW w:type="pct" w:w="2200"/>
            <w:shd w:fill="FBFAF6" w:val="clear"/>
            <w:tcMar>
              <w:top w:type="dxa" w:w="50"/>
              <w:left w:type="dxa" w:w="110"/>
              <w:bottom w:type="dxa" w:w="50"/>
              <w:right w:type="dxa" w:w="110"/>
            </w:tcMar>
          </w:tcPr>
          <w:p>
            <w:pPr>
              <w:spacing w:before="28" w:after="28"/>
            </w:pPr>
            <w:r>
              <w:rPr>
                <w:sz w:val="15"/>
                <w:szCs w:val="15"/>
              </w:rPr>
              <w:t xml:space="preserve">No accrual</w:t>
            </w:r>
          </w:p>
        </w:tc>
        <w:tc>
          <w:tcPr>
            <w:tcW w:type="pct" w:w="2042"/>
            <w:shd w:fill="FBFAF6" w:val="clear"/>
            <w:tcMar>
              <w:top w:type="dxa" w:w="50"/>
              <w:left w:type="dxa" w:w="110"/>
              <w:bottom w:type="dxa" w:w="50"/>
              <w:right w:type="dxa" w:w="110"/>
            </w:tcMar>
          </w:tcPr>
          <w:p>
            <w:pPr>
              <w:spacing w:before="28" w:after="28"/>
            </w:pPr>
            <w:r>
              <w:rPr>
                <w:sz w:val="15"/>
                <w:szCs w:val="15"/>
              </w:rPr>
              <w:t xml:space="preserve">Disclose the nature and an estimate (or say it cannot be </w:t>
            </w:r>
            <w:r>
              <w:rPr>
                <w:b/>
                <w:bCs/>
                <w:color w:val="8186EF"/>
                <w:sz w:val="14"/>
                <w:szCs w:val="14"/>
              </w:rPr>
              <w:t xml:space="preserve"> (10) </w:t>
            </w:r>
            <w:r>
              <w:rPr>
                <w:u w:val="single"/>
                <w:sz w:val="15"/>
                <w:szCs w:val="15"/>
              </w:rPr>
              <w:t xml:space="preserve">              </w:t>
            </w:r>
            <w:r>
              <w:rPr>
                <w:sz w:val="15"/>
                <w:szCs w:val="15"/>
              </w:rPr>
              <w:t xml:space="preserve"> </w:t>
            </w:r>
            <w:r>
              <w:rPr>
                <w:sz w:val="15"/>
                <w:szCs w:val="15"/>
              </w:rPr>
              <w:t xml:space="preserve">)</w:t>
            </w:r>
          </w:p>
        </w:tc>
      </w:tr>
      <w:tr>
        <w:tc>
          <w:tcPr>
            <w:tcW w:type="pct" w:w="758"/>
            <w:tcMar>
              <w:top w:type="dxa" w:w="50"/>
              <w:left w:type="dxa" w:w="110"/>
              <w:bottom w:type="dxa" w:w="50"/>
              <w:right w:type="dxa" w:w="110"/>
            </w:tcMar>
          </w:tcPr>
          <w:p>
            <w:pPr>
              <w:spacing w:before="28" w:after="28"/>
            </w:pPr>
            <w:r>
              <w:rPr>
                <w:sz w:val="15"/>
                <w:szCs w:val="15"/>
              </w:rPr>
              <w:t xml:space="preserve">Remote</w:t>
            </w:r>
          </w:p>
        </w:tc>
        <w:tc>
          <w:tcPr>
            <w:tcW w:type="pct" w:w="2200"/>
            <w:tcMar>
              <w:top w:type="dxa" w:w="50"/>
              <w:left w:type="dxa" w:w="110"/>
              <w:bottom w:type="dxa" w:w="50"/>
              <w:right w:type="dxa" w:w="110"/>
            </w:tcMar>
          </w:tcPr>
          <w:p>
            <w:pPr>
              <w:spacing w:before="28" w:after="28"/>
            </w:pPr>
            <w:r>
              <w:rPr>
                <w:sz w:val="15"/>
                <w:szCs w:val="15"/>
              </w:rPr>
              <w:t xml:space="preserve">No accrual</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758"/>
            <w:shd w:fill="FBFAF6" w:val="clear"/>
            <w:tcMar>
              <w:top w:type="dxa" w:w="50"/>
              <w:left w:type="dxa" w:w="110"/>
              <w:bottom w:type="dxa" w:w="50"/>
              <w:right w:type="dxa" w:w="110"/>
            </w:tcMar>
          </w:tcPr>
          <w:p>
            <w:pPr>
              <w:spacing w:before="28" w:after="28"/>
            </w:pPr>
            <w:r>
              <w:rPr>
                <w:sz w:val="15"/>
                <w:szCs w:val="15"/>
              </w:rPr>
              <w:t xml:space="preserve">Gain contingency</w:t>
            </w:r>
          </w:p>
        </w:tc>
        <w:tc>
          <w:tcPr>
            <w:tcW w:type="pct" w:w="2200"/>
            <w:shd w:fill="FBFAF6" w:val="clear"/>
            <w:tcMar>
              <w:top w:type="dxa" w:w="50"/>
              <w:left w:type="dxa" w:w="110"/>
              <w:bottom w:type="dxa" w:w="50"/>
              <w:right w:type="dxa" w:w="110"/>
            </w:tcMar>
          </w:tcPr>
          <w:p>
            <w:pPr>
              <w:spacing w:before="28" w:after="28"/>
            </w:pPr>
            <w:r>
              <w:rPr>
                <w:sz w:val="15"/>
                <w:szCs w:val="15"/>
              </w:rPr>
              <w:t xml:space="preserve">Never recognized before it is realized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loss contingency   ·   liability   ·   estimated   ·   No disclosure (except guarantees)   ·   Disclose carefully, without misleading</w:t>
            </w:r>
          </w:p>
        </w:tc>
      </w:tr>
    </w:tbl>
    <w:p/>
    <w:p>
      <w:pPr>
        <w:spacing w:before="44" w:after="10"/>
      </w:pPr>
      <w:r>
        <w:rPr>
          <w:b/>
          <w:bCs/>
          <w:color w:val="353A7C"/>
          <w:sz w:val="18"/>
          <w:szCs w:val="18"/>
        </w:rPr>
        <w:t xml:space="preserve">Each fact, and what it settles</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company discloses it in a note   ·   the company does nothing   ·   it is only reasonably possible   ·   liability</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16–25</w:t>
      </w:r>
    </w:p>
    <w:p>
      <w:pPr>
        <w:spacing w:before="20" w:after="20" w:line="360" w:lineRule="auto"/>
        <w:ind w:left="200"/>
      </w:pPr>
      <w:r>
        <w:rPr>
          <w:sz w:val="19"/>
          <w:szCs w:val="19"/>
        </w:rPr>
        <w:t xml:space="preserve">Subsequent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happen after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sheet date but before the statements are issued. </w:t>
      </w:r>
      <w:r>
        <w:rPr>
          <w:sz w:val="19"/>
          <w:szCs w:val="19"/>
        </w:rPr>
        <w:t xml:space="preserve">If an event gives more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about a condition that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existed at year-end, the company adjusts the statements. </w:t>
      </w:r>
      <w:r>
        <w:rPr>
          <w:sz w:val="19"/>
          <w:szCs w:val="19"/>
        </w:rPr>
        <w:t xml:space="preserve">If the condition arose after year-end, the company only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it. </w:t>
      </w:r>
      <w:r>
        <w:rPr>
          <w:sz w:val="19"/>
          <w:szCs w:val="19"/>
        </w:rPr>
        <w:t xml:space="preserve">Finally, the notes begin with a summary of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accounting policies, such as the inventory method and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methods. </w:t>
      </w:r>
      <w:r>
        <w:rPr>
          <w:sz w:val="19"/>
          <w:szCs w:val="19"/>
        </w:rPr>
        <w:t xml:space="preserve">The notes are part of the statements, not an extra. </w:t>
      </w:r>
      <w:r>
        <w:rPr>
          <w:sz w:val="19"/>
          <w:szCs w:val="19"/>
        </w:rPr>
        <w:t xml:space="preserve">IFRS records a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when a loss is more likely than not, a lower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than the U.S. 'probable'. </w:t>
      </w:r>
      <w:r>
        <w:rPr>
          <w:sz w:val="19"/>
          <w:szCs w:val="19"/>
        </w:rPr>
        <w:t xml:space="preserve">When the estimate is a range, IFRS usually uses the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U.S. GAAP uses the best estimate or, if none, the minimum.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threshold   ·   reasonably   ·   depreciation   ·   already   ·   midpoint   ·   events   ·   information   ·   balance   ·   provision   ·   discloses   ·   significant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Reserve, provision, allowance</w:t>
            </w:r>
          </w:p>
        </w:tc>
      </w:tr>
    </w:tbl>
    <w:p/>
    <w:p>
      <w:pPr>
        <w:spacing w:before="44" w:after="14"/>
      </w:pPr>
      <w:r>
        <w:rPr>
          <w:b/>
          <w:bCs/>
          <w:color w:val="353A7C"/>
          <w:sz w:val="18"/>
          <w:szCs w:val="18"/>
        </w:rPr>
        <w:t xml:space="preserve">Summary 3</w:t>
      </w:r>
      <w:r>
        <w:rPr>
          <w:color w:val="6B7280"/>
          <w:sz w:val="16"/>
          <w:szCs w:val="16"/>
        </w:rPr>
        <w:t xml:space="preserve">      gaps 26–27</w:t>
      </w:r>
    </w:p>
    <w:p>
      <w:pPr>
        <w:spacing w:before="20" w:after="20" w:line="360" w:lineRule="auto"/>
        <w:ind w:left="200"/>
      </w:pPr>
      <w:r>
        <w:rPr>
          <w:sz w:val="19"/>
          <w:szCs w:val="19"/>
        </w:rPr>
        <w:t xml:space="preserve">In U.S. GAAP answers, use allowance for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accrued liability or loss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for liabilities, and never call either a 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contingency   ·   contra-assets   ·   reserve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cycle   ·   subsequent events   ·   right of setoff</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right of setoff</w:t>
            </w:r>
          </w:p>
        </w:tc>
        <w:tc>
          <w:tcPr>
            <w:tcW w:type="pct" w:w="2600"/>
            <w:tcMar>
              <w:top w:type="dxa" w:w="50"/>
              <w:left w:type="dxa" w:w="110"/>
              <w:bottom w:type="dxa" w:w="50"/>
              <w:right w:type="dxa" w:w="110"/>
            </w:tcMar>
          </w:tcPr>
          <w:p>
            <w:pPr>
              <w:spacing w:before="26" w:after="26"/>
            </w:pPr>
            <w:r>
              <w:rPr>
                <w:color w:val="232733"/>
                <w:sz w:val="16"/>
                <w:szCs w:val="16"/>
              </w:rPr>
              <w:t xml:space="preserve">حق المقاصة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loss contingency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خسارة محتملة (التزام محتمل)</w:t>
            </w:r>
          </w:p>
        </w:tc>
      </w:tr>
      <w:tr>
        <w:tc>
          <w:tcPr>
            <w:tcW w:type="pct" w:w="2400"/>
            <w:tcMar>
              <w:top w:type="dxa" w:w="50"/>
              <w:left w:type="dxa" w:w="110"/>
              <w:bottom w:type="dxa" w:w="50"/>
              <w:right w:type="dxa" w:w="110"/>
            </w:tcMar>
          </w:tcPr>
          <w:p>
            <w:pPr>
              <w:spacing w:before="26" w:after="26"/>
            </w:pPr>
            <w:r>
              <w:rPr>
                <w:color w:val="232733"/>
                <w:sz w:val="16"/>
                <w:szCs w:val="16"/>
              </w:rPr>
              <w:t xml:space="preserve">subsequent events</w:t>
            </w:r>
          </w:p>
        </w:tc>
        <w:tc>
          <w:tcPr>
            <w:tcW w:type="pct" w:w="2600"/>
            <w:tcMar>
              <w:top w:type="dxa" w:w="50"/>
              <w:left w:type="dxa" w:w="110"/>
              <w:bottom w:type="dxa" w:w="50"/>
              <w:right w:type="dxa" w:w="110"/>
            </w:tcMar>
          </w:tcPr>
          <w:p>
            <w:pPr>
              <w:spacing w:before="26" w:after="26"/>
            </w:pPr>
            <w:r>
              <w:rPr>
                <w:color w:val="232733"/>
                <w:sz w:val="16"/>
                <w:szCs w:val="16"/>
              </w:rPr>
              <w:t xml:space="preserve">الأحداث اللاحقة لتاريخ الميزانية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2.4  Other presentation matters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appears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events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noncurrent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already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determinable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discloses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enforceable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significant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contingency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situation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provision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threshold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estimated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midpoint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 disclosure (except guarantees)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contra-assets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Disclose carefully, without misleading</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contingency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right of setoff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the company discloses it in a note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subsequent events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the company does nothing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few more rules decide what appears on the balance sheet and how. All deferred tax assets and liabilities are noncurrent. Orontes shows its deferred tax liability of $999,625 below long-term debt. Assets and liabilities may be offset only when a right of setoff exists: the two parties owe each other determinable amounts, the company has the legal right and the intent to set them off, and the right is enforceable. A loss contingency is an existing situation that may cause a loss, such as a lawsuit. Gain contingencies are never recorded before they are realized.</w:t>
      </w:r>
    </w:p>
    <w:p>
      <w:pPr>
        <w:spacing w:before="20" w:after="20"/>
        <w:ind w:left="240" w:hanging="240"/>
      </w:pPr>
      <w:r>
        <w:rPr>
          <w:b/>
          <w:bCs/>
          <w:color w:val="353A7C"/>
          <w:sz w:val="15"/>
          <w:szCs w:val="15"/>
        </w:rPr>
        <w:t xml:space="preserve">Summary 2   </w:t>
      </w:r>
      <w:r>
        <w:rPr>
          <w:color w:val="6B7280"/>
          <w:sz w:val="15"/>
          <w:szCs w:val="15"/>
        </w:rPr>
        <w:t xml:space="preserve">Subsequent events happen after the balance sheet date but before the statements are issued. If an event gives more information about a condition that already existed at year-end, the company adjusts the statements. If the condition arose after year-end, the company only discloses it. Finally, the notes begin with a summary of significant accounting policies, such as the inventory method and depreciation methods. The notes are part of the statements, not an extra. IFRS records a provision when a loss is more likely than not, a lower threshold than the U.S. 'probable'. When the estimate is a range, IFRS usually uses the midpoint; U.S. GAAP uses the best estimate or, if none, the minimum.</w:t>
      </w:r>
    </w:p>
    <w:p>
      <w:pPr>
        <w:spacing w:before="20" w:after="20"/>
        <w:ind w:left="240" w:hanging="240"/>
      </w:pPr>
      <w:r>
        <w:rPr>
          <w:b/>
          <w:bCs/>
          <w:color w:val="353A7C"/>
          <w:sz w:val="15"/>
          <w:szCs w:val="15"/>
        </w:rPr>
        <w:t xml:space="preserve">Summary 3   </w:t>
      </w:r>
      <w:r>
        <w:rPr>
          <w:color w:val="6B7280"/>
          <w:sz w:val="15"/>
          <w:szCs w:val="15"/>
        </w:rPr>
        <w:t xml:space="preserve">In U.S. GAAP answers, use allowance for contra-assets, accrued liability or loss contingency for liabilities, and never call either a reserve.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2.5  Limitations and links to the other statements</w:t>
            </w:r>
          </w:p>
          <w:p>
            <w:pPr>
              <w:spacing w:before="0" w:after="46"/>
            </w:pPr>
            <w:r>
              <w:rPr>
                <w:color w:val="E8EAF6"/>
                <w:sz w:val="16"/>
                <w:szCs w:val="16"/>
              </w:rPr>
              <w:t xml:space="preserve">Chapter 2 · section 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balance sheet is useful, but it is not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the company. </w:t>
      </w:r>
      <w:r>
        <w:rPr>
          <w:sz w:val="19"/>
          <w:szCs w:val="19"/>
        </w:rPr>
        <w:t xml:space="preserve">Most assets are 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 not current value: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land and buildings are shown at what they cost years ago. </w:t>
      </w:r>
      <w:r>
        <w:rPr>
          <w:sz w:val="19"/>
          <w:szCs w:val="19"/>
        </w:rPr>
        <w:t xml:space="preserve">Many amounts depend on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such as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credit losses and useful lives.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resources are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developed brands, customer loyalty and a skilled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not recorded, so the balance sheet usually shows much less than the market value of the company. </w:t>
      </w:r>
      <w:r>
        <w:rPr>
          <w:sz w:val="19"/>
          <w:szCs w:val="19"/>
        </w:rPr>
        <w:t xml:space="preserve">Some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are only in the notes.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balance sheet shows one day. </w:t>
      </w:r>
      <w:r>
        <w:rPr>
          <w:sz w:val="19"/>
          <w:szCs w:val="19"/>
        </w:rPr>
        <w:t xml:space="preserve">A company can improve its year-end picture, for example by delaying payments to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for a few days. </w:t>
      </w:r>
      <w:r>
        <w:rPr>
          <w:sz w:val="19"/>
          <w:szCs w:val="19"/>
        </w:rPr>
        <w:t xml:space="preserve">Readers therefore compare several dates and read the other statements too. </w:t>
      </w:r>
      <w:r>
        <w:rPr>
          <w:sz w:val="19"/>
          <w:szCs w:val="19"/>
        </w:rPr>
        <w:t xml:space="preserve">The four statements are connected. </w:t>
      </w:r>
      <w:r>
        <w:rPr>
          <w:sz w:val="19"/>
          <w:szCs w:val="19"/>
        </w:rPr>
        <w:t xml:space="preserve">Net income from the income statement increases retained earnings in the statement of changes in equity, and the closing retained earnings appear on the balance sheet.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suppliers   ·   historical   ·   missing   ·   Finally   ·   Orontes's   ·   obligations   ·   allowance   ·   workforce   ·   Important   ·   Internally   ·   improve   ·   estimates   ·   valuation</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The net change in cash in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 cash flows explains the change in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cash. </w:t>
      </w:r>
      <w:r>
        <w:rPr>
          <w:sz w:val="19"/>
          <w:szCs w:val="19"/>
        </w:rPr>
        <w:t xml:space="preserve">Other comprehensive income works the same way.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OCI of $(1,125) does not go into retained earnings. </w:t>
      </w:r>
      <w:r>
        <w:rPr>
          <w:sz w:val="19"/>
          <w:szCs w:val="19"/>
        </w:rPr>
        <w:t xml:space="preserve">It goes into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other comprehensive income, which is $(1,125) on the balance sheet.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accumulated   ·   missing   ·   Orontes's   ·   balance-sheet   ·   statement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Book value is not market value</w:t>
            </w:r>
          </w:p>
        </w:tc>
      </w:tr>
    </w:tbl>
    <w:p/>
    <w:p>
      <w:pPr>
        <w:spacing w:before="44" w:after="14"/>
      </w:pPr>
      <w:r>
        <w:rPr>
          <w:b/>
          <w:bCs/>
          <w:color w:val="353A7C"/>
          <w:sz w:val="18"/>
          <w:szCs w:val="18"/>
        </w:rPr>
        <w:t xml:space="preserve">Summary 3</w:t>
      </w:r>
      <w:r>
        <w:rPr>
          <w:color w:val="6B7280"/>
          <w:sz w:val="16"/>
          <w:szCs w:val="16"/>
        </w:rPr>
        <w:t xml:space="preserve">      gaps 17–18</w:t>
      </w:r>
    </w:p>
    <w:p>
      <w:pPr>
        <w:spacing w:before="20" w:after="20" w:line="360" w:lineRule="auto"/>
        <w:ind w:left="200"/>
      </w:pPr>
      <w:r>
        <w:rPr>
          <w:sz w:val="19"/>
          <w:szCs w:val="19"/>
        </w:rPr>
        <w:t xml:space="preserve">Total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equity is a book amount. </w:t>
      </w:r>
      <w:r>
        <w:rPr>
          <w:sz w:val="19"/>
          <w:szCs w:val="19"/>
        </w:rPr>
        <w:t xml:space="preserve">It is not what the company is worth, and it is not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value of the shares.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stockholders   ·   market   ·   compare</w:t>
            </w:r>
          </w:p>
        </w:tc>
      </w:tr>
    </w:tbl>
    <w:p/>
    <w:p>
      <w:pPr>
        <w:pageBreakBefore w:val="true"/>
        <w:spacing w:after="0"/>
      </w:pPr>
      <w:r>
        <w:rPr>
          <w:sz w:val="2"/>
        </w:rPr>
        <w:t xml:space="preserve"> </w:t>
      </w:r>
    </w:p>
    <w:p>
      <w:pPr>
        <w:spacing w:before="44" w:after="10"/>
      </w:pPr>
      <w:r>
        <w:rPr>
          <w:b/>
          <w:bCs/>
          <w:color w:val="353A7C"/>
          <w:sz w:val="18"/>
          <w:szCs w:val="18"/>
        </w:rPr>
        <w:t xml:space="preserve">Book value is not market value</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25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251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Prepaid rent   ·   Allowance for credit losses   ·   Accounts payable   ·   Additional paid-in capital   ·   Accounts receivable   ·   Notes payable (long-term)   ·   Cash   ·   Inventory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Cash surrender value</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(26) </w:t>
            </w:r>
            <w:r>
              <w:rPr>
                <w:u w:val="single"/>
                <w:sz w:val="15"/>
                <w:szCs w:val="15"/>
              </w:rPr>
              <w:t xml:space="preserve">              </w:t>
            </w:r>
            <w:r>
              <w:rPr>
                <w:sz w:val="15"/>
                <w:szCs w:val="15"/>
              </w:rPr>
              <w:t xml:space="preserve"> </w:t>
            </w:r>
            <w:r>
              <w:rPr>
                <w:sz w:val="15"/>
                <w:szCs w:val="15"/>
              </w:rPr>
              <w:t xml:space="preserve">: it is not expected to be turned into cash in the operating cycle.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Loan due on demand</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(27) </w:t>
            </w:r>
            <w:r>
              <w:rPr>
                <w:u w:val="single"/>
                <w:sz w:val="15"/>
                <w:szCs w:val="15"/>
              </w:rPr>
              <w:t xml:space="preserve">              </w:t>
            </w:r>
            <w:r>
              <w:rPr>
                <w:sz w:val="15"/>
                <w:szCs w:val="15"/>
              </w:rPr>
              <w:t xml:space="preserve"> </w:t>
            </w:r>
            <w:r>
              <w:rPr>
                <w:sz w:val="15"/>
                <w:szCs w:val="15"/>
              </w:rPr>
              <w:t xml:space="preserve">: debt due on demand is current, whatever the bank's expected behaviour.</w:t>
            </w:r>
          </w:p>
        </w:tc>
      </w:tr>
      <w:tr>
        <w:tc>
          <w:tcPr>
            <w:tcW w:type="pct" w:w="2400"/>
            <w:tcMar>
              <w:top w:type="dxa" w:w="50"/>
              <w:left w:type="dxa" w:w="110"/>
              <w:bottom w:type="dxa" w:w="50"/>
              <w:right w:type="dxa" w:w="110"/>
            </w:tcMar>
          </w:tcPr>
          <w:p>
            <w:pPr>
              <w:spacing w:before="28" w:after="28"/>
            </w:pPr>
            <w:r>
              <w:rPr>
                <w:sz w:val="15"/>
                <w:szCs w:val="15"/>
              </w:rPr>
              <w:t xml:space="preserve">Deferred tax asset</w:t>
            </w:r>
          </w:p>
        </w:tc>
        <w:tc>
          <w:tcPr>
            <w:tcW w:type="pct" w:w="2600"/>
            <w:tcMar>
              <w:top w:type="dxa" w:w="50"/>
              <w:left w:type="dxa" w:w="110"/>
              <w:bottom w:type="dxa" w:w="50"/>
              <w:right w:type="dxa" w:w="110"/>
            </w:tcMar>
          </w:tcPr>
          <w:p>
            <w:pPr>
              <w:spacing w:before="28" w:after="28"/>
            </w:pPr>
            <w:r>
              <w:rPr>
                <w:sz w:val="15"/>
                <w:szCs w:val="15"/>
              </w:rPr>
              <w:t xml:space="preserve">Noncurrent asset: all deferred taxes are noncurrent.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Customer deposits</w:t>
            </w:r>
          </w:p>
        </w:tc>
        <w:tc>
          <w:tcPr>
            <w:tcW w:type="pct" w:w="2600"/>
            <w:shd w:fill="FBFAF6" w:val="clear"/>
            <w:tcMar>
              <w:top w:type="dxa" w:w="50"/>
              <w:left w:type="dxa" w:w="110"/>
              <w:bottom w:type="dxa" w:w="50"/>
              <w:right w:type="dxa" w:w="110"/>
            </w:tcMar>
          </w:tcPr>
          <w:p>
            <w:pPr>
              <w:spacing w:before="28" w:after="28"/>
            </w:pPr>
            <w:r>
              <w:rPr>
                <w:sz w:val="15"/>
                <w:szCs w:val="15"/>
              </w:rPr>
              <w:t xml:space="preserve">Current liability (contract liability): it will be settled by delivering goods within a year.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Current liability   ·   callable debt   ·   Noncurrent asset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Account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Prepaid rent</w:t>
            </w:r>
          </w:p>
        </w:tc>
        <w:tc>
          <w:tcPr>
            <w:tcW w:type="pct" w:w="2400"/>
            <w:tcMar>
              <w:top w:type="dxa" w:w="50"/>
              <w:left w:type="dxa" w:w="110"/>
              <w:bottom w:type="dxa" w:w="50"/>
              <w:right w:type="dxa" w:w="110"/>
            </w:tcMar>
          </w:tcPr>
          <w:p>
            <w:pPr>
              <w:spacing w:before="28" w:after="28"/>
            </w:pPr>
            <w:r>
              <w:rPr>
                <w:sz w:val="15"/>
                <w:szCs w:val="15"/>
              </w:rPr>
              <w:t xml:space="preserve">Current asset</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Land</w:t>
            </w:r>
          </w:p>
        </w:tc>
        <w:tc>
          <w:tcPr>
            <w:tcW w:type="pct" w:w="2400"/>
            <w:shd w:fill="FBFAF6" w:val="clear"/>
            <w:tcMar>
              <w:top w:type="dxa" w:w="50"/>
              <w:left w:type="dxa" w:w="110"/>
              <w:bottom w:type="dxa" w:w="50"/>
              <w:right w:type="dxa" w:w="110"/>
            </w:tcMar>
          </w:tcPr>
          <w:p>
            <w:pPr>
              <w:spacing w:before="28" w:after="28"/>
            </w:pPr>
            <w:r>
              <w:rPr>
                <w:sz w:val="15"/>
                <w:szCs w:val="15"/>
              </w:rPr>
              <w:t xml:space="preserve">Noncurrent asset</w:t>
            </w:r>
          </w:p>
        </w:tc>
      </w:tr>
      <w:tr>
        <w:tc>
          <w:tcPr>
            <w:tcW w:type="pct" w:w="2600"/>
            <w:tcMar>
              <w:top w:type="dxa" w:w="50"/>
              <w:left w:type="dxa" w:w="110"/>
              <w:bottom w:type="dxa" w:w="50"/>
              <w:right w:type="dxa" w:w="110"/>
            </w:tcMar>
          </w:tcPr>
          <w:p>
            <w:pPr>
              <w:spacing w:before="28" w:after="28"/>
            </w:pPr>
            <w:r>
              <w:rPr>
                <w:sz w:val="15"/>
                <w:szCs w:val="15"/>
              </w:rPr>
              <w:t xml:space="preserve">Allowance for credit losses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(28)</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(29)</w:t>
            </w:r>
          </w:p>
        </w:tc>
      </w:tr>
      <w:tr>
        <w:tc>
          <w:tcPr>
            <w:tcW w:type="pct" w:w="2600"/>
            <w:tcMar>
              <w:top w:type="dxa" w:w="50"/>
              <w:left w:type="dxa" w:w="110"/>
              <w:bottom w:type="dxa" w:w="50"/>
              <w:right w:type="dxa" w:w="110"/>
            </w:tcMar>
          </w:tcPr>
          <w:p>
            <w:pPr>
              <w:spacing w:before="28" w:after="28"/>
            </w:pPr>
            <w:r>
              <w:rPr>
                <w:sz w:val="15"/>
                <w:szCs w:val="15"/>
              </w:rPr>
              <w:t xml:space="preserve">Additional paid-in capital</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Current liability   ·   Current asset   ·   M1   ·   Equity</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2.5  Limitations and links to the other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valuation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accumulated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historical</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stockholders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market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Cash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allowance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Accounts receivable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Important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Prepaid 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missing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Allowance for credit losses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Internally</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Accounts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workforce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Notes payable (long-term)</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obligations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Additional paid-in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Finally</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Noncurrent 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Current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Current 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balance-sheet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Current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Equity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balance sheet is useful, but it is not a valuation of the company. Most assets are at historical cost, not current value: Orontes's land and buildings are shown at what they cost years ago. Many amounts depend on estimates, such as the allowance for credit losses and useful lives. Important resources are missing. Internally developed brands, customer loyalty and a skilled workforce are not recorded, so the balance sheet usually shows much less than the market value of the company. Some obligations are only in the notes. Finally, the balance sheet shows one day. A company can improve its year-end picture, for example by delaying payments to suppliers for a few days. Readers therefore compare several dates and read the other statements too. The four statements are connected. Net income from the income statement increases retained earnings in the statement of changes in equity, and the closing retained earnings appear on the balance sheet.</w:t>
      </w:r>
    </w:p>
    <w:p>
      <w:pPr>
        <w:spacing w:before="20" w:after="20"/>
        <w:ind w:left="240" w:hanging="240"/>
      </w:pPr>
      <w:r>
        <w:rPr>
          <w:b/>
          <w:bCs/>
          <w:color w:val="353A7C"/>
          <w:sz w:val="15"/>
          <w:szCs w:val="15"/>
        </w:rPr>
        <w:t xml:space="preserve">Summary 2   </w:t>
      </w:r>
      <w:r>
        <w:rPr>
          <w:color w:val="6B7280"/>
          <w:sz w:val="15"/>
          <w:szCs w:val="15"/>
        </w:rPr>
        <w:t xml:space="preserve">The net change in cash in the statement of cash flows explains the change in the balance-sheet cash. Other comprehensive income works the same way. Orontes's OCI of $(1,125) does not go into retained earnings. It goes into accumulated other comprehensive income, which is $(1,125) on the balance sheet.</w:t>
      </w:r>
    </w:p>
    <w:p>
      <w:pPr>
        <w:spacing w:before="20" w:after="20"/>
        <w:ind w:left="240" w:hanging="240"/>
      </w:pPr>
      <w:r>
        <w:rPr>
          <w:b/>
          <w:bCs/>
          <w:color w:val="353A7C"/>
          <w:sz w:val="15"/>
          <w:szCs w:val="15"/>
        </w:rPr>
        <w:t xml:space="preserve">Summary 3   </w:t>
      </w:r>
      <w:r>
        <w:rPr>
          <w:color w:val="6B7280"/>
          <w:sz w:val="15"/>
          <w:szCs w:val="15"/>
        </w:rPr>
        <w:t xml:space="preserve">Total stockholders' equity is a book amount. It is not what the company is worth, and it is not the market value of the shares.</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2.1 · Purpose and structure of the balance sheet</w:t>
          </w:r>
        </w:p>
      </w:tc>
      <w:tc>
        <w:tcPr>
          <w:tcW w:type="pct" w:w="1400"/>
          <w:tcMar>
            <w:top w:type="dxa" w:w="-30"/>
            <w:left w:type="dxa" w:w="30"/>
            <w:bottom w:type="dxa" w:w="-30"/>
            <w:right w:type="dxa" w:w="30"/>
          </w:tcMar>
        </w:tcPr>
        <w:p>
          <w:pPr>
            <w:jc w:val="right"/>
          </w:pPr>
          <w:r>
            <w:rPr>
              <w:color w:val="6B7280"/>
              <w:sz w:val="16"/>
              <w:szCs w:val="16"/>
            </w:rPr>
            <w:t xml:space="preserve">Handout 2.1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2.2 · Current and noncurrent items</w:t>
          </w:r>
        </w:p>
      </w:tc>
      <w:tc>
        <w:tcPr>
          <w:tcW w:type="pct" w:w="1400"/>
          <w:tcMar>
            <w:top w:type="dxa" w:w="-30"/>
            <w:left w:type="dxa" w:w="30"/>
            <w:bottom w:type="dxa" w:w="-30"/>
            <w:right w:type="dxa" w:w="30"/>
          </w:tcMar>
        </w:tcPr>
        <w:p>
          <w:pPr>
            <w:jc w:val="right"/>
          </w:pPr>
          <w:r>
            <w:rPr>
              <w:color w:val="6B7280"/>
              <w:sz w:val="16"/>
              <w:szCs w:val="16"/>
            </w:rPr>
            <w:t xml:space="preserve">Handout 2.2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2.3 · Classifying debt</w:t>
          </w:r>
        </w:p>
      </w:tc>
      <w:tc>
        <w:tcPr>
          <w:tcW w:type="pct" w:w="1400"/>
          <w:tcMar>
            <w:top w:type="dxa" w:w="-30"/>
            <w:left w:type="dxa" w:w="30"/>
            <w:bottom w:type="dxa" w:w="-30"/>
            <w:right w:type="dxa" w:w="30"/>
          </w:tcMar>
        </w:tcPr>
        <w:p>
          <w:pPr>
            <w:jc w:val="right"/>
          </w:pPr>
          <w:r>
            <w:rPr>
              <w:color w:val="6B7280"/>
              <w:sz w:val="16"/>
              <w:szCs w:val="16"/>
            </w:rPr>
            <w:t xml:space="preserve">Handout 2.3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2.4 · Other presentation matters</w:t>
          </w:r>
        </w:p>
      </w:tc>
      <w:tc>
        <w:tcPr>
          <w:tcW w:type="pct" w:w="1400"/>
          <w:tcMar>
            <w:top w:type="dxa" w:w="-30"/>
            <w:left w:type="dxa" w:w="30"/>
            <w:bottom w:type="dxa" w:w="-30"/>
            <w:right w:type="dxa" w:w="30"/>
          </w:tcMar>
        </w:tcPr>
        <w:p>
          <w:pPr>
            <w:jc w:val="right"/>
          </w:pPr>
          <w:r>
            <w:rPr>
              <w:color w:val="6B7280"/>
              <w:sz w:val="16"/>
              <w:szCs w:val="16"/>
            </w:rPr>
            <w:t xml:space="preserve">Handout 2.4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2.5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b787336fc654f523ad74989a47cc8d612fe08f0b.png" Type="http://schemas.openxmlformats.org/officeDocument/2006/relationships/image"/><Relationship Id="rId102" Target="media/78dcd6ce27314b3f0e7c5df1f8068fbef49a14dc.png" Type="http://schemas.openxmlformats.org/officeDocument/2006/relationships/image"/><Relationship Id="rId103" Target="media/bf13b71f98c2bca22e4508d5f201092365d56134.png" Type="http://schemas.openxmlformats.org/officeDocument/2006/relationships/image"/><Relationship Id="rId104" Target="media/b3c13ee14d573e9c11a446fa760a79c792d27b12.png" Type="http://schemas.openxmlformats.org/officeDocument/2006/relationships/image"/><Relationship Id="rId105" Target="media/62696186d75f7aba50e3a5457b5ee77057337ef6.png" Type="http://schemas.openxmlformats.org/officeDocument/2006/relationships/image"/><Relationship Id="rId106" Target="media/e532e14566190bb0ca65a7bc990028384b543be3.png" Type="http://schemas.openxmlformats.org/officeDocument/2006/relationships/image"/><Relationship Id="rId107" Target="media/2ec8f26fe1363498b17b14836aa057388e3b2797.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2</dc:title>
  <dc:subject>Summary handouts</dc:subject>
  <cp:category>Student Book</cp:category>
</cp:coreProperties>
</file>