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history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20" w:after="20" w:line="360" w:lineRule="auto"/>
        <w:ind w:left="200"/>
      </w:pPr>
      <w:r>
        <w:rPr>
          <w:sz w:val="19"/>
          <w:szCs w:val="19"/>
        </w:rPr>
        <w:t xml:space="preserve">The loss rates already include a forecast of slower payments in some Gulf markets.</w:t>
      </w:r>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61–90 days past due   ·   Over 90 days past due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is used for U.S. tax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is not GAAP when bad debts 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it records losses late and shows receivables at a gross amount. </w:t>
      </w:r>
      <w:r>
        <w:rPr>
          <w:sz w:val="19"/>
          <w:szCs w:val="19"/>
        </w:rPr>
        <w:t xml:space="preserve">Older questions sometimes estimate the expense as a percentage of credit sales. </w:t>
      </w:r>
      <w:r>
        <w:rPr>
          <w:sz w:val="19"/>
          <w:szCs w:val="19"/>
        </w:rPr>
        <w:t xml:space="preserve">This income-statement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uncollectible   ·   recovery   ·   changes   ·   returns   ·   recovered   ·   recorded   ·   collection   ·   direct   ·   journal   ·   write-off   ·   customer's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Barada's   ·   unadjusted</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factoring   ·   Current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significantly   ·   beginning   ·   Private   ·   one-year   ·   provision   ·   conditions   ·   account   ·   simplified   ·   financial   ·   forecasting   ·   amortized   ·   collected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liability   ·   doubtful   ·   reduces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   credit   ·   write-off   ·   approach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46"/>
        <w:gridCol w:w="3150"/>
        <w:gridCol w:w="35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153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40"/>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1825"/>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1534"/>
            <w:tcMar>
              <w:top w:type="dxa" w:w="50"/>
              <w:left w:type="dxa" w:w="110"/>
              <w:bottom w:type="dxa" w:w="50"/>
              <w:right w:type="dxa" w:w="110"/>
            </w:tcMar>
          </w:tcPr>
          <w:p>
            <w:pPr>
              <w:spacing w:before="28" w:after="28"/>
            </w:pPr>
            <w:r>
              <w:rPr>
                <w:sz w:val="15"/>
                <w:szCs w:val="15"/>
              </w:rPr>
              <w:t xml:space="preserve">When is the expense recorded?</w:t>
            </w:r>
          </w:p>
        </w:tc>
        <w:tc>
          <w:tcPr>
            <w:tcW w:type="pct" w:w="1640"/>
            <w:tcMar>
              <w:top w:type="dxa" w:w="50"/>
              <w:left w:type="dxa" w:w="110"/>
              <w:bottom w:type="dxa" w:w="50"/>
              <w:right w:type="dxa" w:w="110"/>
            </w:tcMar>
          </w:tcPr>
          <w:p>
            <w:pPr>
              <w:spacing w:before="28" w:after="28"/>
            </w:pPr>
            <w:r>
              <w:rPr>
                <w:sz w:val="15"/>
                <w:szCs w:val="15"/>
              </w:rPr>
              <w:t xml:space="preserve">Each period, for expected losses (matching)</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1640"/>
            <w:shd w:fill="FBFAF6" w:val="clear"/>
            <w:tcMar>
              <w:top w:type="dxa" w:w="50"/>
              <w:left w:type="dxa" w:w="110"/>
              <w:bottom w:type="dxa" w:w="50"/>
              <w:right w:type="dxa" w:w="110"/>
            </w:tcMar>
          </w:tcPr>
          <w:p>
            <w:pPr>
              <w:spacing w:before="28" w:after="28"/>
            </w:pPr>
            <w:r>
              <w:rPr>
                <w:sz w:val="15"/>
                <w:szCs w:val="15"/>
              </w:rPr>
              <w:t xml:space="preserve">28,000</w:t>
            </w:r>
          </w:p>
        </w:tc>
        <w:tc>
          <w:tcPr>
            <w:tcW w:type="pct" w:w="1825"/>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1534"/>
            <w:tcMar>
              <w:top w:type="dxa" w:w="50"/>
              <w:left w:type="dxa" w:w="110"/>
              <w:bottom w:type="dxa" w:w="50"/>
              <w:right w:type="dxa" w:w="110"/>
            </w:tcMar>
          </w:tcPr>
          <w:p>
            <w:pPr>
              <w:spacing w:before="28" w:after="28"/>
            </w:pPr>
            <w:r>
              <w:rPr>
                <w:sz w:val="15"/>
                <w:szCs w:val="15"/>
              </w:rPr>
              <w:t xml:space="preserve">Receivables on the balance sheet</w:t>
            </w:r>
          </w:p>
        </w:tc>
        <w:tc>
          <w:tcPr>
            <w:tcW w:type="pct" w:w="1640"/>
            <w:tcMar>
              <w:top w:type="dxa" w:w="50"/>
              <w:left w:type="dxa" w:w="110"/>
              <w:bottom w:type="dxa" w:w="50"/>
              <w:right w:type="dxa" w:w="110"/>
            </w:tcMar>
          </w:tcPr>
          <w:p>
            <w:pPr>
              <w:spacing w:before="28" w:after="28"/>
            </w:pPr>
            <w:r>
              <w:rPr>
                <w:sz w:val="15"/>
                <w:szCs w:val="15"/>
              </w:rPr>
              <w:t xml:space="preserve">Net: 626,000</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1640"/>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1825"/>
            <w:shd w:fill="FBFAF6" w:val="clear"/>
            <w:tcMar>
              <w:top w:type="dxa" w:w="50"/>
              <w:left w:type="dxa" w:w="110"/>
              <w:bottom w:type="dxa" w:w="50"/>
              <w:right w:type="dxa" w:w="110"/>
            </w:tcMar>
          </w:tcPr>
          <w:p>
            <w:pPr>
              <w:spacing w:before="28" w:after="28"/>
            </w:pPr>
            <w:r>
              <w:rPr>
                <w:sz w:val="15"/>
                <w:szCs w:val="15"/>
              </w:rPr>
              <w:t xml:space="preserve">No, when bad debts are material; used for U.S.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Only when a customer's balance is written off   ·   cash discount   ·   Gross: 660,000 (overstated)   ·   Yes (CECL)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Only when a customer's balance is written 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Yes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The direct method is used for U.S. tax returns. It is not GAAP when bad debts are material, because it records losses late and shows receivables at a gross amount.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company that needs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customers pay can use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two ways. </w:t>
      </w:r>
      <w:r>
        <w:rPr>
          <w:sz w:val="19"/>
          <w:szCs w:val="19"/>
        </w:rPr>
        <w:t xml:space="preserve">It can use them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a loan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it can transfer them to a finance company called a factor. </w:t>
      </w:r>
      <w:r>
        <w:rPr>
          <w:sz w:val="19"/>
          <w:szCs w:val="19"/>
        </w:rPr>
        <w:t xml:space="preserve">U.S. GAAP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right to collect from the seller if customers do not pay. </w:t>
      </w:r>
      <w:r>
        <w:rPr>
          <w:sz w:val="19"/>
          <w:szCs w:val="19"/>
        </w:rPr>
        <w:t xml:space="preserve">Recourse does not by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its fair value, which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itself   ·   increases   ·   borrowing   ·   exchange   ·   before   ·   collateral   ·   treats   ·   factor's   ·   receivables   ·   pledging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receivables with a carrying amount of $500,000 to Gulf Factor Co. The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fee of 3% ($15,000) and keeps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(due from factor) of 5% ($25,000) to cover returns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sheet, marked as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Loss on a sale = carrying amount − (cash + due from factor − recourse liability). </w:t>
      </w:r>
      <w:r>
        <w:rPr>
          <w:sz w:val="19"/>
          <w:szCs w:val="19"/>
        </w:rPr>
        <w:t xml:space="preserve">With recourse: $500,000 − ($460,000 + $25,000 − $6,000)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receives   ·   Recourse   ·   without   ·   holdback   ·   Interest   ·   receivable   ·   credits   ·   pledged   ·   transfers   ·   balance   ·   charges   ·   discounts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25–34</w:t>
      </w:r>
    </w:p>
    <w:p>
      <w:pPr>
        <w:spacing w:before="20" w:after="20" w:line="360" w:lineRule="auto"/>
        <w:ind w:left="200"/>
      </w:pP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sheet effect is the main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receivables and adds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 no debt, so ratios such as debt to equity look better. </w:t>
      </w: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Factoring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   ·   secured   ·   whether   ·   analysts   ·   removes   ·   derecognition   ·   liability   ·   little   ·   substantially   ·   pledged   ·   balance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 not assume that every transfer with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derecognition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(38)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collateral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pledging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holdback</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secured 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that needs cash before its customers pay can use its receivables in two ways. It can use them as collateral for a loan (pledging), or it can transfer them to a finance company called a factor. 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Loss on a sale = carrying amount − (cash + due from factor − recourse liability). With recourse: $500,000 − ($460,000 + $25,000 − $6,000) = $21,000.</w:t>
      </w:r>
    </w:p>
    <w:p>
      <w:pPr>
        <w:spacing w:before="20" w:after="20"/>
        <w:ind w:left="240" w:hanging="240"/>
      </w:pPr>
      <w:r>
        <w:rPr>
          <w:b/>
          <w:bCs/>
          <w:color w:val="353A7C"/>
          <w:sz w:val="15"/>
          <w:szCs w:val="15"/>
        </w:rPr>
        <w:t xml:space="preserve">Summary 3   </w:t>
      </w:r>
      <w:r>
        <w:rPr>
          <w:color w:val="6B7280"/>
          <w:sz w:val="15"/>
          <w:szCs w:val="15"/>
        </w:rPr>
        <w:t xml:space="preserve">The balance sheet effect is the main reason companies care. A sale removes the receivables and adds little or no debt, so ratios such as debt to equity look better. 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39cfb7799b0037741ef0ec7b9f6a3becc800c16.png" Type="http://schemas.openxmlformats.org/officeDocument/2006/relationships/image"/><Relationship Id="rId102" Target="media/90990591fe9056e34070906d86f9fe9c1ec3c455.png" Type="http://schemas.openxmlformats.org/officeDocument/2006/relationships/image"/><Relationship Id="rId103" Target="media/94391c13d155da102c3d4694cffbe6152d6ef6f4.png" Type="http://schemas.openxmlformats.org/officeDocument/2006/relationships/image"/><Relationship Id="rId104" Target="media/e862b26eb3a02c8b9a55058185528e92d6cb76ca.png" Type="http://schemas.openxmlformats.org/officeDocument/2006/relationships/image"/><Relationship Id="rId105" Target="media/e9beb181497f995c7f4f820f51958262b18d4a9c.png" Type="http://schemas.openxmlformats.org/officeDocument/2006/relationships/image"/><Relationship Id="rId106" Target="media/39d4e7e2f131b818d16c68ce0fd9a43e71954d73.png" Type="http://schemas.openxmlformats.org/officeDocument/2006/relationships/image"/><Relationship Id="rId107" Target="media/022434368ebb1365fd5d35821d520109ec46f350.png" Type="http://schemas.openxmlformats.org/officeDocument/2006/relationships/image"/><Relationship Id="rId108" Target="media/c11fad706af8b49bea55501ac7f9b904678041c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dc:title>
  <dc:subject>Summary handouts</dc:subject>
  <cp:category>Student Book</cp:category>
</cp:coreProperties>
</file>