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What is a lease?</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Presentation   ·   What is a lease?   ·   Initial measurement   ·   operating lease</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lease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gives the right to control the use of an identified asset for a period of time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payment. </w:t>
      </w:r>
      <w:r>
        <w:rPr>
          <w:sz w:val="19"/>
          <w:szCs w:val="19"/>
        </w:rPr>
        <w:t xml:space="preserve">The lessee uses the asset;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provides it. </w:t>
      </w:r>
      <w:r>
        <w:rPr>
          <w:sz w:val="19"/>
          <w:szCs w:val="19"/>
        </w:rPr>
        <w:t xml:space="preserve">The asset must be identified,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must not have a real right to swap it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lessee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asset if it gets almost all of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benefits and decides how it is used. </w:t>
      </w:r>
      <w:r>
        <w:rPr>
          <w:sz w:val="19"/>
          <w:szCs w:val="19"/>
        </w:rPr>
        <w:t xml:space="preserve">The lease term is the period the lessee cannot cancel, plus any renewal periods it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certain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lessor   ·   exchange   ·   supplier   ·   contract   ·   periods   ·   another   ·   reasonably   ·   economic</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term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lease</w:t>
            </w:r>
          </w:p>
        </w:tc>
        <w:tc>
          <w:tcPr>
            <w:tcW w:type="pct" w:w="2600"/>
            <w:tcMar>
              <w:top w:type="dxa" w:w="50"/>
              <w:left w:type="dxa" w:w="110"/>
              <w:bottom w:type="dxa" w:w="50"/>
              <w:right w:type="dxa" w:w="110"/>
            </w:tcMar>
          </w:tcPr>
          <w:p>
            <w:pPr>
              <w:spacing w:before="26" w:after="26"/>
            </w:pPr>
            <w:r>
              <w:rPr>
                <w:color w:val="232733"/>
                <w:sz w:val="16"/>
                <w:szCs w:val="16"/>
              </w:rPr>
              <w:t xml:space="preserve">عقد الإيجار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المستأجر</w:t>
            </w:r>
          </w:p>
        </w:tc>
      </w:tr>
      <w:tr>
        <w:tc>
          <w:tcPr>
            <w:tcW w:type="pct" w:w="2400"/>
            <w:tcMar>
              <w:top w:type="dxa" w:w="50"/>
              <w:left w:type="dxa" w:w="110"/>
              <w:bottom w:type="dxa" w:w="50"/>
              <w:right w:type="dxa" w:w="110"/>
            </w:tcMar>
          </w:tcPr>
          <w:p>
            <w:pPr>
              <w:spacing w:before="26" w:after="26"/>
            </w:pPr>
            <w:r>
              <w:rPr>
                <w:color w:val="232733"/>
                <w:sz w:val="16"/>
                <w:szCs w:val="16"/>
              </w:rPr>
              <w:t xml:space="preserve">lessor</w:t>
            </w:r>
          </w:p>
        </w:tc>
        <w:tc>
          <w:tcPr>
            <w:tcW w:type="pct" w:w="2600"/>
            <w:tcMar>
              <w:top w:type="dxa" w:w="50"/>
              <w:left w:type="dxa" w:w="110"/>
              <w:bottom w:type="dxa" w:w="50"/>
              <w:right w:type="dxa" w:w="110"/>
            </w:tcMar>
          </w:tcPr>
          <w:p>
            <w:pPr>
              <w:spacing w:before="26" w:after="26"/>
            </w:pPr>
            <w:r>
              <w:rPr>
                <w:color w:val="232733"/>
                <w:sz w:val="16"/>
                <w:szCs w:val="16"/>
              </w:rPr>
              <w:t xml:space="preserve">المؤجر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lease term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مدة عقد الإيجار</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What is a lease?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is a lease?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Initial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economic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reasonably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lessor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lease 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lease is a contract that gives the right to control the use of an identified asset for a period of time in exchange for payment. The lessee uses the asset; the lessor provides it. The asset must be identified, and the supplier must not have a real right to swap it for another. The lessee controls the asset if it gets almost all of its economic benefits and decides how it is used. The lease term is the period the lessee cannot cancel, plus any renewal periods it is reasonably certain to use.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Finance or operating? The five criteria</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classifies each lease at the start. </w:t>
      </w:r>
      <w:r>
        <w:rPr>
          <w:sz w:val="19"/>
          <w:szCs w:val="19"/>
        </w:rPr>
        <w:t xml:space="preserve">It is a finance lease if it meets any one of five criteria;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an operating lease. </w:t>
      </w:r>
      <w:r>
        <w:rPr>
          <w:sz w:val="19"/>
          <w:szCs w:val="19"/>
        </w:rPr>
        <w:t xml:space="preserve">Many companies use about 75% or more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life as a major part, and about 90% or more of fair value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all.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lease runs 5 years in a building that will last 30 years, and its payments are worth only 28% of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an operating lease.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line was built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the lease covers most of its life: a finance lease.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substantially   ·   classifies   ·   building's   ·   lessee   ·   economic   ·   otherwise   ·   olive-press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957"/>
        <w:gridCol w:w="241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classifying Orontes's two leases, January 1, 2026</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Criterion</w:t>
            </w:r>
          </w:p>
        </w:tc>
        <w:tc>
          <w:tcPr>
            <w:tcW w:type="pct" w:w="1540"/>
            <w:shd w:fill="353A7C" w:val="clear"/>
            <w:tcMar>
              <w:top w:type="dxa" w:w="50"/>
              <w:left w:type="dxa" w:w="110"/>
              <w:bottom w:type="dxa" w:w="50"/>
              <w:right w:type="dxa" w:w="110"/>
            </w:tcMar>
          </w:tcPr>
          <w:p>
            <w:pPr>
              <w:spacing w:before="30" w:after="30"/>
            </w:pPr>
            <w:r>
              <w:rPr>
                <w:b/>
                <w:bCs/>
                <w:color w:val="FFFFFF"/>
                <w:sz w:val="15"/>
                <w:szCs w:val="15"/>
              </w:rPr>
              <w:t xml:space="preserve">Warehouse (5 years, 100,000 a year)</w:t>
            </w:r>
          </w:p>
        </w:tc>
        <w:tc>
          <w:tcPr>
            <w:tcW w:type="pct" w:w="1260"/>
            <w:shd w:fill="353A7C" w:val="clear"/>
            <w:tcMar>
              <w:top w:type="dxa" w:w="50"/>
              <w:left w:type="dxa" w:w="110"/>
              <w:bottom w:type="dxa" w:w="50"/>
              <w:right w:type="dxa" w:w="110"/>
            </w:tcMar>
          </w:tcPr>
          <w:p>
            <w:pPr>
              <w:spacing w:before="30" w:after="30"/>
            </w:pPr>
            <w:r>
              <w:rPr>
                <w:b/>
                <w:bCs/>
                <w:color w:val="FFFFFF"/>
                <w:sz w:val="15"/>
                <w:szCs w:val="15"/>
              </w:rPr>
              <w:t xml:space="preserve">Olive press (4 years, 250,000 a year)</w:t>
            </w:r>
          </w:p>
        </w:tc>
      </w:tr>
      <w:tr>
        <w:tc>
          <w:tcPr>
            <w:tcW w:type="pct" w:w="2200"/>
            <w:tcMar>
              <w:top w:type="dxa" w:w="50"/>
              <w:left w:type="dxa" w:w="110"/>
              <w:bottom w:type="dxa" w:w="50"/>
              <w:right w:type="dxa" w:w="110"/>
            </w:tcMar>
          </w:tcPr>
          <w:p>
            <w:pPr>
              <w:spacing w:before="28" w:after="28"/>
            </w:pPr>
            <w:r>
              <w:rPr>
                <w:sz w:val="15"/>
                <w:szCs w:val="15"/>
              </w:rPr>
              <w:t xml:space="preserve">1. Ownership transfers</w:t>
            </w:r>
          </w:p>
        </w:tc>
        <w:tc>
          <w:tcPr>
            <w:tcW w:type="pct" w:w="1540"/>
            <w:tcMar>
              <w:top w:type="dxa" w:w="50"/>
              <w:left w:type="dxa" w:w="110"/>
              <w:bottom w:type="dxa" w:w="50"/>
              <w:right w:type="dxa" w:w="110"/>
            </w:tcMar>
          </w:tcPr>
          <w:p>
            <w:pPr>
              <w:spacing w:before="28" w:after="28"/>
            </w:pPr>
            <w:r>
              <w:rPr>
                <w:sz w:val="15"/>
                <w:szCs w:val="15"/>
              </w:rPr>
              <w:t xml:space="preserve">No</w:t>
            </w:r>
          </w:p>
        </w:tc>
        <w:tc>
          <w:tcPr>
            <w:tcW w:type="pct" w:w="1260"/>
            <w:tcMar>
              <w:top w:type="dxa" w:w="50"/>
              <w:left w:type="dxa" w:w="110"/>
              <w:bottom w:type="dxa" w:w="50"/>
              <w:right w:type="dxa" w:w="110"/>
            </w:tcMar>
          </w:tcPr>
          <w:p>
            <w:pPr>
              <w:spacing w:before="28" w:after="28"/>
            </w:pPr>
            <w:r>
              <w:rPr>
                <w:sz w:val="15"/>
                <w:szCs w:val="15"/>
              </w:rPr>
              <w:t xml:space="preserve">No</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2. Purchase option reasonably certain</w:t>
            </w:r>
          </w:p>
        </w:tc>
        <w:tc>
          <w:tcPr>
            <w:tcW w:type="pct" w:w="1540"/>
            <w:shd w:fill="FBFAF6" w:val="clear"/>
            <w:tcMar>
              <w:top w:type="dxa" w:w="50"/>
              <w:left w:type="dxa" w:w="110"/>
              <w:bottom w:type="dxa" w:w="50"/>
              <w:right w:type="dxa" w:w="110"/>
            </w:tcMar>
          </w:tcPr>
          <w:p>
            <w:pPr>
              <w:spacing w:before="28" w:after="28"/>
            </w:pPr>
            <w:r>
              <w:rPr>
                <w:sz w:val="15"/>
                <w:szCs w:val="15"/>
              </w:rPr>
              <w:t xml:space="preserve">No</w:t>
            </w:r>
          </w:p>
        </w:tc>
        <w:tc>
          <w:tcPr>
            <w:tcW w:type="pct" w:w="1260"/>
            <w:shd w:fill="FBFAF6" w:val="clear"/>
            <w:tcMar>
              <w:top w:type="dxa" w:w="50"/>
              <w:left w:type="dxa" w:w="110"/>
              <w:bottom w:type="dxa" w:w="50"/>
              <w:right w:type="dxa" w:w="110"/>
            </w:tcMar>
          </w:tcPr>
          <w:p>
            <w:pPr>
              <w:spacing w:before="28" w:after="28"/>
            </w:pPr>
            <w:r>
              <w:rPr>
                <w:sz w:val="15"/>
                <w:szCs w:val="15"/>
              </w:rPr>
              <w:t xml:space="preserve">No</w:t>
            </w:r>
          </w:p>
        </w:tc>
      </w:tr>
      <w:tr>
        <w:tc>
          <w:tcPr>
            <w:tcW w:type="pct" w:w="2200"/>
            <w:tcMar>
              <w:top w:type="dxa" w:w="50"/>
              <w:left w:type="dxa" w:w="110"/>
              <w:bottom w:type="dxa" w:w="50"/>
              <w:right w:type="dxa" w:w="110"/>
            </w:tcMar>
          </w:tcPr>
          <w:p>
            <w:pPr>
              <w:spacing w:before="28" w:after="28"/>
            </w:pPr>
            <w:r>
              <w:rPr>
                <w:sz w:val="15"/>
                <w:szCs w:val="15"/>
              </w:rPr>
              <w:t xml:space="preserve">3. Major part of economic life</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60"/>
            <w:tcMar>
              <w:top w:type="dxa" w:w="50"/>
              <w:left w:type="dxa" w:w="110"/>
              <w:bottom w:type="dxa" w:w="50"/>
              <w:right w:type="dxa" w:w="110"/>
            </w:tcMar>
          </w:tcPr>
          <w:p>
            <w:pPr>
              <w:spacing w:before="28" w:after="28"/>
            </w:pPr>
            <w:r>
              <w:rPr>
                <w:sz w:val="15"/>
                <w:szCs w:val="15"/>
              </w:rPr>
              <w:t xml:space="preserve">Yes: 4 of 5 years (80%)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4. PV ≥ substantially all of fair value</w:t>
            </w:r>
          </w:p>
        </w:tc>
        <w:tc>
          <w:tcPr>
            <w:tcW w:type="pct" w:w="1540"/>
            <w:shd w:fill="FBFAF6" w:val="clear"/>
            <w:tcMar>
              <w:top w:type="dxa" w:w="50"/>
              <w:left w:type="dxa" w:w="110"/>
              <w:bottom w:type="dxa" w:w="50"/>
              <w:right w:type="dxa" w:w="110"/>
            </w:tcMar>
          </w:tcPr>
          <w:p>
            <w:pPr>
              <w:spacing w:before="28" w:after="28"/>
            </w:pPr>
            <w:r>
              <w:rPr>
                <w:sz w:val="15"/>
                <w:szCs w:val="15"/>
              </w:rPr>
              <w:t xml:space="preserve">No: 421,236 of 1,500,000 (28%)</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200"/>
            <w:tcMar>
              <w:top w:type="dxa" w:w="50"/>
              <w:left w:type="dxa" w:w="110"/>
              <w:bottom w:type="dxa" w:w="50"/>
              <w:right w:type="dxa" w:w="110"/>
            </w:tcMar>
          </w:tcPr>
          <w:p>
            <w:pPr>
              <w:spacing w:before="28" w:after="28"/>
            </w:pPr>
            <w:r>
              <w:rPr>
                <w:sz w:val="15"/>
                <w:szCs w:val="15"/>
              </w:rPr>
              <w:t xml:space="preserve">5. Specialized asset</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60"/>
            <w:tcMar>
              <w:top w:type="dxa" w:w="50"/>
              <w:left w:type="dxa" w:w="110"/>
              <w:bottom w:type="dxa" w:w="50"/>
              <w:right w:type="dxa" w:w="110"/>
            </w:tcMar>
          </w:tcPr>
          <w:p>
            <w:pPr>
              <w:spacing w:before="28" w:after="28"/>
            </w:pPr>
            <w:r>
              <w:rPr>
                <w:sz w:val="15"/>
                <w:szCs w:val="15"/>
              </w:rPr>
              <w:t xml:space="preserve">Yes: built for Orontes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Classification</w:t>
            </w:r>
          </w:p>
        </w:tc>
        <w:tc>
          <w:tcPr>
            <w:tcW w:type="pct" w:w="1540"/>
            <w:shd w:fill="FBFAF6" w:val="clear"/>
            <w:tcMar>
              <w:top w:type="dxa" w:w="50"/>
              <w:left w:type="dxa" w:w="110"/>
              <w:bottom w:type="dxa" w:w="50"/>
              <w:right w:type="dxa" w:w="110"/>
            </w:tcMar>
          </w:tcPr>
          <w:p>
            <w:pPr>
              <w:spacing w:before="28" w:after="28"/>
            </w:pPr>
            <w:r>
              <w:rPr>
                <w:sz w:val="15"/>
                <w:szCs w:val="15"/>
              </w:rPr>
              <w:t xml:space="preserve">Operating lease</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needed   ·   No: any company could use it   ·   Finance lease   ·   residual value guarantee   ·   No: 5 of 30 years (17%)</w:t>
            </w:r>
          </w:p>
        </w:tc>
      </w:tr>
    </w:tbl>
    <w:p/>
    <w:p>
      <w:pPr>
        <w:spacing w:before="20" w:after="20" w:line="360" w:lineRule="auto"/>
        <w:ind w:left="200"/>
      </w:pPr>
      <w:r>
        <w:rPr>
          <w:sz w:val="19"/>
          <w:szCs w:val="19"/>
        </w:rPr>
        <w:t xml:space="preserve">Under ASC 842, the class depends only on the five criteria.</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lease   ·   short-term lease   ·   operating lease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0"/>
        <w:gridCol w:w="48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4"/>
            <w:tcMar>
              <w:top w:type="dxa" w:w="50"/>
              <w:left w:type="dxa" w:w="110"/>
              <w:bottom w:type="dxa" w:w="50"/>
              <w:right w:type="dxa" w:w="110"/>
            </w:tcMar>
          </w:tcPr>
          <w:p>
            <w:pPr>
              <w:spacing w:before="26" w:after="26"/>
            </w:pPr>
            <w:r>
              <w:rPr>
                <w:color w:val="232733"/>
                <w:sz w:val="16"/>
                <w:szCs w:val="16"/>
              </w:rPr>
              <w:t xml:space="preserve">finance lease</w:t>
            </w:r>
          </w:p>
        </w:tc>
        <w:tc>
          <w:tcPr>
            <w:tcW w:type="pct" w:w="2516"/>
            <w:tcMar>
              <w:top w:type="dxa" w:w="50"/>
              <w:left w:type="dxa" w:w="110"/>
              <w:bottom w:type="dxa" w:w="50"/>
              <w:right w:type="dxa" w:w="110"/>
            </w:tcMar>
          </w:tcPr>
          <w:p>
            <w:pPr>
              <w:spacing w:before="26" w:after="26"/>
            </w:pPr>
            <w:r>
              <w:rPr>
                <w:color w:val="232733"/>
                <w:sz w:val="16"/>
                <w:szCs w:val="16"/>
              </w:rPr>
              <w:t xml:space="preserve">عقد إيجار تمويلي</w:t>
            </w:r>
          </w:p>
        </w:tc>
      </w:tr>
      <w:tr>
        <w:tc>
          <w:tcPr>
            <w:tcW w:type="pct" w:w="2484"/>
            <w:shd w:fill="FBFAF6" w:val="clear"/>
            <w:tcMar>
              <w:top w:type="dxa" w:w="50"/>
              <w:left w:type="dxa" w:w="110"/>
              <w:bottom w:type="dxa" w:w="50"/>
              <w:right w:type="dxa" w:w="110"/>
            </w:tcMar>
          </w:tcPr>
          <w:p>
            <w:pPr>
              <w:spacing w:before="26" w:after="26"/>
            </w:pPr>
            <w:r>
              <w:rPr>
                <w:color w:val="232733"/>
                <w:sz w:val="16"/>
                <w:szCs w:val="16"/>
              </w:rPr>
              <w:t xml:space="preserve">operating lease</w:t>
            </w:r>
          </w:p>
        </w:tc>
        <w:tc>
          <w:tcPr>
            <w:tcW w:type="pct" w:w="2516"/>
            <w:shd w:fill="FBFAF6" w:val="clear"/>
            <w:tcMar>
              <w:top w:type="dxa" w:w="50"/>
              <w:left w:type="dxa" w:w="110"/>
              <w:bottom w:type="dxa" w:w="50"/>
              <w:right w:type="dxa" w:w="110"/>
            </w:tcMar>
          </w:tcPr>
          <w:p>
            <w:pPr>
              <w:spacing w:before="26" w:after="26"/>
            </w:pPr>
            <w:r>
              <w:rPr>
                <w:color w:val="232733"/>
                <w:sz w:val="16"/>
                <w:szCs w:val="16"/>
              </w:rPr>
              <w:t xml:space="preserve">عقد إيجار تشغيلي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Finance or operating? The five criteria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 5 of 30 years (17%)</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Not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any company could use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warehouse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building's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olive-press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short-term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lessee classifies each lease at the start. It is a finance lease if it meets any one of five criteria; otherwise it is an operating lease. Many companies use about 75% or more of economic life as a major part, and about 90% or more of fair value as substantially all. The warehouse lease runs 5 years in a building that will last 30 years, and its payments are worth only 28% of the building's value: an operating lease. The olive-press line was built for Orontes and the lease covers most of its life: a finance lease.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Initial measurement</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For both types, the lessee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lease liability and a right-of-use asset at the start. </w:t>
      </w:r>
      <w:r>
        <w:rPr>
          <w:sz w:val="19"/>
          <w:szCs w:val="19"/>
        </w:rPr>
        <w:t xml:space="preserve">The liability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value of the lease payments not yet paid. </w:t>
      </w:r>
      <w:r>
        <w:rPr>
          <w:sz w:val="19"/>
          <w:szCs w:val="19"/>
        </w:rPr>
        <w:t xml:space="preserve">The discount rate is the rate implicit in the lease if the lessee can find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the lessee's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borrowing rate. </w:t>
      </w:r>
      <w:r>
        <w:rPr>
          <w:sz w:val="19"/>
          <w:szCs w:val="19"/>
        </w:rPr>
        <w:t xml:space="preserve">Lease payments include fixed payments, payments that depend on an index such as CPI, a purchase price the lessee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certain to pay, and amounts it expects to pay under a residual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right-of-use asset starts at the liability, plus 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payments and initial direct costs, minus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6%, the rate on its bank note.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payments are higher, because part of each payment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incentives   ·   reasonably   ·   incremental   ·   guarantee   ·   purchase   ·   interest   ·   undiscounted   ·   otherwise   ·   records   ·   Orontes   ·   present   ·   prepaid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initial measurement of Orontes's leases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January 1, 2026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Warehouse</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Olive press</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400"/>
            <w:tcMar>
              <w:top w:type="dxa" w:w="50"/>
              <w:left w:type="dxa" w:w="110"/>
              <w:bottom w:type="dxa" w:w="50"/>
              <w:right w:type="dxa" w:w="110"/>
            </w:tcMar>
          </w:tcPr>
          <w:p>
            <w:pPr>
              <w:spacing w:before="28" w:after="28"/>
            </w:pPr>
            <w:r>
              <w:rPr>
                <w:sz w:val="15"/>
                <w:szCs w:val="15"/>
              </w:rPr>
              <w:t xml:space="preserve">100,000</w:t>
            </w:r>
          </w:p>
        </w:tc>
        <w:tc>
          <w:tcPr>
            <w:tcW w:type="pct" w:w="1400"/>
            <w:tcMar>
              <w:top w:type="dxa" w:w="50"/>
              <w:left w:type="dxa" w:w="110"/>
              <w:bottom w:type="dxa" w:w="50"/>
              <w:right w:type="dxa" w:w="110"/>
            </w:tcMar>
          </w:tcPr>
          <w:p>
            <w:pPr>
              <w:spacing w:before="28" w:after="28"/>
            </w:pPr>
            <w:r>
              <w:rPr>
                <w:sz w:val="15"/>
                <w:szCs w:val="15"/>
              </w:rPr>
              <w:t xml:space="preserve">250,000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Number of payments</w:t>
            </w:r>
          </w:p>
        </w:tc>
        <w:tc>
          <w:tcPr>
            <w:tcW w:type="pct" w:w="1400"/>
            <w:shd w:fill="FBFAF6" w:val="clear"/>
            <w:tcMar>
              <w:top w:type="dxa" w:w="50"/>
              <w:left w:type="dxa" w:w="110"/>
              <w:bottom w:type="dxa" w:w="50"/>
              <w:right w:type="dxa" w:w="110"/>
            </w:tcMar>
          </w:tcPr>
          <w:p>
            <w:pPr>
              <w:spacing w:before="28" w:after="28"/>
            </w:pPr>
            <w:r>
              <w:rPr>
                <w:sz w:val="15"/>
                <w:szCs w:val="15"/>
              </w:rPr>
              <w:t xml:space="preserve">5</w:t>
            </w:r>
          </w:p>
        </w:tc>
        <w:tc>
          <w:tcPr>
            <w:tcW w:type="pct" w:w="1400"/>
            <w:shd w:fill="FBFAF6" w:val="clear"/>
            <w:tcMar>
              <w:top w:type="dxa" w:w="50"/>
              <w:left w:type="dxa" w:w="110"/>
              <w:bottom w:type="dxa" w:w="50"/>
              <w:right w:type="dxa" w:w="110"/>
            </w:tcMar>
          </w:tcPr>
          <w:p>
            <w:pPr>
              <w:spacing w:before="28" w:after="28"/>
            </w:pPr>
            <w:r>
              <w:rPr>
                <w:sz w:val="15"/>
                <w:szCs w:val="15"/>
              </w:rPr>
              <w:t xml:space="preserve">4</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0"/>
            <w:tcMar>
              <w:top w:type="dxa" w:w="50"/>
              <w:left w:type="dxa" w:w="110"/>
              <w:bottom w:type="dxa" w:w="50"/>
              <w:right w:type="dxa" w:w="110"/>
            </w:tcMar>
          </w:tcPr>
          <w:p>
            <w:pPr>
              <w:spacing w:before="28" w:after="28"/>
            </w:pPr>
            <w:r>
              <w:rPr>
                <w:sz w:val="15"/>
                <w:szCs w:val="15"/>
              </w:rPr>
              <w:t xml:space="preserve">6%</w:t>
            </w:r>
          </w:p>
        </w:tc>
        <w:tc>
          <w:tcPr>
            <w:tcW w:type="pct" w:w="1400"/>
            <w:tcMar>
              <w:top w:type="dxa" w:w="50"/>
              <w:left w:type="dxa" w:w="110"/>
              <w:bottom w:type="dxa" w:w="50"/>
              <w:right w:type="dxa" w:w="110"/>
            </w:tcMar>
          </w:tcPr>
          <w:p>
            <w:pPr>
              <w:spacing w:before="28" w:after="28"/>
            </w:pPr>
            <w:r>
              <w:rPr>
                <w:sz w:val="15"/>
                <w:szCs w:val="15"/>
              </w:rPr>
              <w:t xml:space="preserve">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shd w:fill="FBFAF6" w:val="clear"/>
            <w:tcMar>
              <w:top w:type="dxa" w:w="50"/>
              <w:left w:type="dxa" w:w="110"/>
              <w:bottom w:type="dxa" w:w="50"/>
              <w:right w:type="dxa" w:w="110"/>
            </w:tcMar>
          </w:tcPr>
          <w:p>
            <w:pPr>
              <w:spacing w:before="28" w:after="28"/>
            </w:pPr>
            <w:r>
              <w:rPr>
                <w:sz w:val="15"/>
                <w:szCs w:val="15"/>
              </w:rPr>
              <w:t xml:space="preserve">500,000</w:t>
            </w:r>
          </w:p>
        </w:tc>
        <w:tc>
          <w:tcPr>
            <w:tcW w:type="pct" w:w="1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200"/>
            <w:tcMar>
              <w:top w:type="dxa" w:w="50"/>
              <w:left w:type="dxa" w:w="110"/>
              <w:bottom w:type="dxa" w:w="50"/>
              <w:right w:type="dxa" w:w="110"/>
            </w:tcMar>
          </w:tcPr>
          <w:p>
            <w:pPr>
              <w:spacing w:before="28" w:after="28"/>
            </w:pPr>
            <w:r>
              <w:rPr>
                <w:sz w:val="15"/>
                <w:szCs w:val="15"/>
              </w:rPr>
              <w:t xml:space="preserve">Lease liability = present value of payments</w:t>
            </w:r>
          </w:p>
        </w:tc>
        <w:tc>
          <w:tcPr>
            <w:tcW w:type="pct" w:w="1400"/>
            <w:tcMar>
              <w:top w:type="dxa" w:w="50"/>
              <w:left w:type="dxa" w:w="110"/>
              <w:bottom w:type="dxa" w:w="50"/>
              <w:right w:type="dxa" w:w="110"/>
            </w:tcMar>
          </w:tcPr>
          <w:p>
            <w:pPr>
              <w:spacing w:before="28" w:after="28"/>
            </w:pPr>
            <w:r>
              <w:rPr>
                <w:sz w:val="15"/>
                <w:szCs w:val="15"/>
              </w:rPr>
              <w:t xml:space="preserve">421,236</w:t>
            </w:r>
          </w:p>
        </w:tc>
        <w:tc>
          <w:tcPr>
            <w:tcW w:type="pct" w:w="1400"/>
            <w:tcMar>
              <w:top w:type="dxa" w:w="50"/>
              <w:left w:type="dxa" w:w="110"/>
              <w:bottom w:type="dxa" w:w="50"/>
              <w:right w:type="dxa" w:w="110"/>
            </w:tcMar>
          </w:tcPr>
          <w:p>
            <w:pPr>
              <w:spacing w:before="28" w:after="28"/>
            </w:pPr>
            <w:r>
              <w:rPr>
                <w:sz w:val="15"/>
                <w:szCs w:val="15"/>
              </w:rPr>
              <w:t xml:space="preserve">866,276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Right-of-use asset (no prepayments, costs or incentives)</w:t>
            </w:r>
          </w:p>
        </w:tc>
        <w:tc>
          <w:tcPr>
            <w:tcW w:type="pct" w:w="1400"/>
            <w:shd w:fill="FBFAF6" w:val="clear"/>
            <w:tcMar>
              <w:top w:type="dxa" w:w="50"/>
              <w:left w:type="dxa" w:w="110"/>
              <w:bottom w:type="dxa" w:w="50"/>
              <w:right w:type="dxa" w:w="110"/>
            </w:tcMar>
          </w:tcPr>
          <w:p>
            <w:pPr>
              <w:spacing w:before="28" w:after="28"/>
            </w:pPr>
            <w:r>
              <w:rPr>
                <w:sz w:val="15"/>
                <w:szCs w:val="15"/>
              </w:rPr>
              <w:t xml:space="preserve">421,236</w:t>
            </w:r>
          </w:p>
        </w:tc>
        <w:tc>
          <w:tcPr>
            <w:tcW w:type="pct" w:w="1400"/>
            <w:shd w:fill="FBFAF6" w:val="clear"/>
            <w:tcMar>
              <w:top w:type="dxa" w:w="50"/>
              <w:left w:type="dxa" w:w="110"/>
              <w:bottom w:type="dxa" w:w="50"/>
              <w:right w:type="dxa" w:w="110"/>
            </w:tcMar>
          </w:tcPr>
          <w:p>
            <w:pPr>
              <w:spacing w:before="28" w:after="28"/>
            </w:pPr>
            <w:r>
              <w:rPr>
                <w:sz w:val="15"/>
                <w:szCs w:val="15"/>
              </w:rPr>
              <w:t xml:space="preserve">866,276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 rate (incremental borrowing rate)   ·   Annual payment (end of each year)   ·   Undiscounted payments   ·   short-term lease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lease   ·   lease liability   ·   right-of-use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right-of-use asset</w:t>
            </w:r>
          </w:p>
        </w:tc>
        <w:tc>
          <w:tcPr>
            <w:tcW w:type="pct" w:w="2400"/>
            <w:tcMar>
              <w:top w:type="dxa" w:w="50"/>
              <w:left w:type="dxa" w:w="110"/>
              <w:bottom w:type="dxa" w:w="50"/>
              <w:right w:type="dxa" w:w="110"/>
            </w:tcMar>
          </w:tcPr>
          <w:p>
            <w:pPr>
              <w:spacing w:before="26" w:after="26"/>
            </w:pPr>
            <w:r>
              <w:rPr>
                <w:color w:val="232733"/>
                <w:sz w:val="16"/>
                <w:szCs w:val="16"/>
              </w:rPr>
              <w:t xml:space="preserve">أصل حق الاستخدام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lease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التزام عقد الإيجار</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borrowing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الاقتراض الإضافي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residual value guarantee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القيمة المتبقية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Initial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Annual payment (end of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Discount rate (incremental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guarantee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Undiscounted 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prepaid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incentives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lease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both types, the lessee records a lease liability and a right-of-use asset at the start. The liability is the present value of the lease payments not yet paid. The discount rate is the rate implicit in the lease if the lessee can find it; otherwise it is the lessee's incremental borrowing rate. Lease payments include fixed payments, payments that depend on an index such as CPI, a purchase price the lessee is reasonably certain to pay, and amounts it expects to pay under a residual value guarantee. The right-of-use asset starts at the liability, plus any prepaid payments and initial direct costs, minus incentives received. Orontes uses 6%, the rate on its bank note. The undiscounted payments are higher, because part of each payment is interest.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Subsequent measurement: two expense patterns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For a finance lease,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records interest on the liability and, separately, amortization of the right-of-use asset, usually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Interest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start, when the liability is largest, so total expense falls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   ·   lessee   ·   highest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olive-press finance lease in 2026</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Interest: 6% × $866,276 = $51,977. </w:t>
      </w:r>
      <w:r>
        <w:rPr>
          <w:sz w:val="19"/>
          <w:szCs w:val="19"/>
        </w:rPr>
        <w:t xml:space="preserve">Payment of $250,000: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falls to $668,253.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$866,276 ÷ 4 years = $216,569, so the ROU asset is $649,707. </w:t>
      </w:r>
      <w:r>
        <w:rPr>
          <w:sz w:val="19"/>
          <w:szCs w:val="19"/>
        </w:rPr>
        <w:t xml:space="preserve">Total 2026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$268,546, which is $18,546 more than the payment.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   ·   expense   ·   liability   ·   Amortization</w:t>
            </w:r>
          </w:p>
        </w:tc>
      </w:tr>
    </w:tbl>
    <w:p/>
    <w:p>
      <w:pPr>
        <w:spacing w:before="44" w:after="10"/>
      </w:pPr>
      <w:r>
        <w:rPr>
          <w:b/>
          <w:bCs/>
          <w:color w:val="353A7C"/>
          <w:sz w:val="18"/>
          <w:szCs w:val="18"/>
        </w:rPr>
        <w:t xml:space="preserve">Suppose: olive-press finance lease schedule, 2026–2029</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2027   ·   668,253   ·   2029</w:t>
            </w:r>
          </w:p>
        </w:tc>
      </w:tr>
    </w:tbl>
    <w:p/>
    <w:p>
      <w:pPr>
        <w:spacing w:before="44" w:after="14"/>
      </w:pPr>
      <w:r>
        <w:rPr>
          <w:b/>
          <w:bCs/>
          <w:color w:val="353A7C"/>
          <w:sz w:val="18"/>
          <w:szCs w:val="18"/>
        </w:rPr>
        <w:t xml:space="preserve">Summary 3</w:t>
      </w:r>
      <w:r>
        <w:rPr>
          <w:color w:val="6B7280"/>
          <w:sz w:val="16"/>
          <w:szCs w:val="16"/>
        </w:rPr>
        <w:t xml:space="preserve">      gaps 9–13</w:t>
      </w:r>
    </w:p>
    <w:p>
      <w:pPr>
        <w:spacing w:before="20" w:after="20" w:line="360" w:lineRule="auto"/>
        <w:ind w:left="200"/>
      </w:pPr>
      <w:r>
        <w:rPr>
          <w:sz w:val="19"/>
          <w:szCs w:val="19"/>
        </w:rPr>
        <w:t xml:space="preserve">For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records one lease cost, normally the same each year. </w:t>
      </w:r>
      <w:r>
        <w:rPr>
          <w:sz w:val="19"/>
          <w:szCs w:val="19"/>
        </w:rPr>
        <w:t xml:space="preserve">The liability still grows by interest and falls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right-of-use asset is simply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the lease cost and the interest, so the asset and the liability stay equal when there are no prepayments or incentives.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payments   ·   operating   ·   difference   ·   largest   ·   lessee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warehouse schedule</w:t>
            </w:r>
          </w:p>
        </w:tc>
      </w:tr>
    </w:tbl>
    <w:p/>
    <w:p>
      <w:pPr>
        <w:spacing w:before="20" w:after="20" w:line="360" w:lineRule="auto"/>
        <w:ind w:left="200"/>
      </w:pPr>
      <w:r>
        <w:rPr>
          <w:sz w:val="19"/>
          <w:szCs w:val="19"/>
        </w:rPr>
        <w:t xml:space="preserve">Complete years 2028 to 2030. The lease cost is $100,000 every year.</w:t>
      </w:r>
    </w:p>
    <w:p>
      <w:pPr>
        <w:pageBreakBefore w:val="true"/>
        <w:spacing w:after="0"/>
      </w:pPr>
      <w:r>
        <w:rPr>
          <w:sz w:val="2"/>
        </w:rPr>
        <w:t xml:space="preserve"> </w:t>
      </w:r>
    </w:p>
    <w:p>
      <w:pPr>
        <w:spacing w:before="44" w:after="10"/>
      </w:pPr>
      <w:r>
        <w:rPr>
          <w:b/>
          <w:bCs/>
          <w:color w:val="353A7C"/>
          <w:sz w:val="18"/>
          <w:szCs w:val="18"/>
        </w:rPr>
        <w:t xml:space="preserve">Suppose: warehouse operating lease schedule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2030   ·   lessee   ·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Measurement traps</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The liability is a present value, not the total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Each payment covers interest first; do not deduct the whole payment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liability. </w:t>
      </w:r>
      <w:r>
        <w:rPr>
          <w:sz w:val="19"/>
          <w:szCs w:val="19"/>
        </w:rPr>
        <w:t xml:space="preserve">Operating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one straight-line cost; do not show interest and amortization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payments   ·   lease   ·   opening   ·   separately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lease   ·   lessor   ·   lessee   ·   right-of-use asset</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Subsequent measurement: two expense patterns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2027</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2029</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a finance lease, the lessee records interest on the liability and, separately, amortization of the right-of-use asset, usually straight-line. Interest is highest at the start, when the liability is largest, so total expense falls each year.</w:t>
      </w:r>
    </w:p>
    <w:p>
      <w:pPr>
        <w:spacing w:before="20" w:after="20"/>
        <w:ind w:left="240" w:hanging="240"/>
      </w:pPr>
      <w:r>
        <w:rPr>
          <w:b/>
          <w:bCs/>
          <w:color w:val="353A7C"/>
          <w:sz w:val="15"/>
          <w:szCs w:val="15"/>
        </w:rPr>
        <w:t xml:space="preserve">Summary 2   </w:t>
      </w:r>
      <w:r>
        <w:rPr>
          <w:color w:val="6B7280"/>
          <w:sz w:val="15"/>
          <w:szCs w:val="15"/>
        </w:rPr>
        <w:t xml:space="preserve">Interest: 6% × $866,276 = $51,977. Payment of $250,000: the liability falls to $668,253. Amortization: $866,276 ÷ 4 years = $216,569, so the ROU asset is $649,707. Total 2026 expense is $268,546, which is $18,546 more than the payment.</w:t>
      </w:r>
    </w:p>
    <w:p>
      <w:pPr>
        <w:spacing w:before="20" w:after="20"/>
        <w:ind w:left="240" w:hanging="240"/>
      </w:pPr>
      <w:r>
        <w:rPr>
          <w:b/>
          <w:bCs/>
          <w:color w:val="353A7C"/>
          <w:sz w:val="15"/>
          <w:szCs w:val="15"/>
        </w:rPr>
        <w:t xml:space="preserve">Summary 3   </w:t>
      </w:r>
      <w:r>
        <w:rPr>
          <w:color w:val="6B7280"/>
          <w:sz w:val="15"/>
          <w:szCs w:val="15"/>
        </w:rPr>
        <w:t xml:space="preserve">For an operating lease, the lessee records one lease cost, normally the same each year. The liability still grows by interest and falls by payments. The amortization of the right-of-use asset is simply the difference between the lease cost and the interest, so the asset and the liability stay equal when there are no prepayments or incentives.</w:t>
      </w:r>
    </w:p>
    <w:p>
      <w:pPr>
        <w:spacing w:before="20" w:after="20"/>
        <w:ind w:left="240" w:hanging="240"/>
      </w:pPr>
      <w:r>
        <w:rPr>
          <w:b/>
          <w:bCs/>
          <w:color w:val="353A7C"/>
          <w:sz w:val="15"/>
          <w:szCs w:val="15"/>
        </w:rPr>
        <w:t xml:space="preserve">Summary 4   </w:t>
      </w:r>
      <w:r>
        <w:rPr>
          <w:color w:val="6B7280"/>
          <w:sz w:val="15"/>
          <w:szCs w:val="15"/>
        </w:rPr>
        <w:t xml:space="preserve">The liability is a present value, not the total of the payments. Each payment covers interest first; do not deduct the whole payment from the opening liability. Operating lease: one straight-line cost; do not show interest and amortization separately.</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Presentation</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On the balance sheet,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assets and lease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finance leases are shown separately from those of operating leases, or disclosed with the line items that contain them. </w:t>
      </w:r>
      <w:r>
        <w:rPr>
          <w:sz w:val="19"/>
          <w:szCs w:val="19"/>
        </w:rPr>
        <w:t xml:space="preserve">Each liability is split into a current part, the principal due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year, and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w:t>
      </w:r>
      <w:r>
        <w:rPr>
          <w:sz w:val="19"/>
          <w:szCs w:val="19"/>
        </w:rPr>
        <w:t xml:space="preserve">On the income statement, a finance lease shows interest expense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separately; an operating lease shows one lease cost in operating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the statement of cash flows,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principal is financing; its interest and all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payments are operating. </w:t>
      </w:r>
      <w:r>
        <w:rPr>
          <w:sz w:val="19"/>
          <w:szCs w:val="19"/>
        </w:rPr>
        <w:t xml:space="preserve">New leases are a noncash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financing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disclosed separately. </w:t>
      </w:r>
      <w:r>
        <w:rPr>
          <w:sz w:val="19"/>
          <w:szCs w:val="19"/>
        </w:rPr>
        <w:t xml:space="preserve">The olive-press liability of $668,253 includes a current part of $209,905, the principal that will be paid in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expenses   ·   investing   ·   liabilities   ·   principal   ·   operating-lease   ·   activity   ·   finance-lease   ·   within   ·   amortization   ·   right-of-use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74"/>
        <w:gridCol w:w="4175"/>
        <w:gridCol w:w="385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Presentation of finance and operating leases, with Orontes at December 31, 2026</w:t>
            </w:r>
          </w:p>
        </w:tc>
      </w:tr>
      <w:tr>
        <w:tc>
          <w:tcPr>
            <w:tcW w:type="pct" w:w="82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175"/>
            <w:shd w:fill="353A7C" w:val="clear"/>
            <w:tcMar>
              <w:top w:type="dxa" w:w="50"/>
              <w:left w:type="dxa" w:w="110"/>
              <w:bottom w:type="dxa" w:w="50"/>
              <w:right w:type="dxa" w:w="110"/>
            </w:tcMar>
          </w:tcPr>
          <w:p>
            <w:pPr>
              <w:spacing w:before="30" w:after="30"/>
            </w:pPr>
            <w:r>
              <w:rPr>
                <w:b/>
                <w:bCs/>
                <w:color w:val="FFFFFF"/>
                <w:sz w:val="15"/>
                <w:szCs w:val="15"/>
              </w:rPr>
              <w:t xml:space="preserve">Finance lease (olive press)</w:t>
            </w:r>
          </w:p>
        </w:tc>
        <w:tc>
          <w:tcPr>
            <w:tcW w:type="pct" w:w="2005"/>
            <w:shd w:fill="353A7C" w:val="clear"/>
            <w:tcMar>
              <w:top w:type="dxa" w:w="50"/>
              <w:left w:type="dxa" w:w="110"/>
              <w:bottom w:type="dxa" w:w="50"/>
              <w:right w:type="dxa" w:w="110"/>
            </w:tcMar>
          </w:tcPr>
          <w:p>
            <w:pPr>
              <w:spacing w:before="30" w:after="30"/>
            </w:pPr>
            <w:r>
              <w:rPr>
                <w:b/>
                <w:bCs/>
                <w:color w:val="FFFFFF"/>
                <w:sz w:val="15"/>
                <w:szCs w:val="15"/>
              </w:rPr>
              <w:t xml:space="preserve">Operating lease (warehouse)</w:t>
            </w:r>
          </w:p>
        </w:tc>
      </w:tr>
      <w:tr>
        <w:tc>
          <w:tcPr>
            <w:tcW w:type="pct" w:w="820"/>
            <w:tcMar>
              <w:top w:type="dxa" w:w="50"/>
              <w:left w:type="dxa" w:w="110"/>
              <w:bottom w:type="dxa" w:w="50"/>
              <w:right w:type="dxa" w:w="110"/>
            </w:tcMar>
          </w:tcPr>
          <w:p>
            <w:pPr>
              <w:spacing w:before="28" w:after="28"/>
            </w:pPr>
            <w:r>
              <w:rPr>
                <w:sz w:val="15"/>
                <w:szCs w:val="15"/>
              </w:rPr>
              <w:t xml:space="preserve">Balance sheet</w:t>
            </w:r>
          </w:p>
        </w:tc>
        <w:tc>
          <w:tcPr>
            <w:tcW w:type="pct" w:w="2175"/>
            <w:tcMar>
              <w:top w:type="dxa" w:w="50"/>
              <w:left w:type="dxa" w:w="110"/>
              <w:bottom w:type="dxa" w:w="50"/>
              <w:right w:type="dxa" w:w="110"/>
            </w:tcMar>
          </w:tcPr>
          <w:p>
            <w:pPr>
              <w:spacing w:before="28" w:after="28"/>
            </w:pPr>
            <w:r>
              <w:rPr>
                <w:sz w:val="15"/>
                <w:szCs w:val="15"/>
              </w:rPr>
              <w:t xml:space="preserve">ROU asset and lease liability, shown separately from operating leases (or disclosed)</w:t>
            </w:r>
          </w:p>
        </w:tc>
        <w:tc>
          <w:tcPr>
            <w:tcW w:type="pct" w:w="2005"/>
            <w:tcMar>
              <w:top w:type="dxa" w:w="50"/>
              <w:left w:type="dxa" w:w="110"/>
              <w:bottom w:type="dxa" w:w="50"/>
              <w:right w:type="dxa" w:w="110"/>
            </w:tcMar>
          </w:tcPr>
          <w:p>
            <w:pPr>
              <w:spacing w:before="28" w:after="28"/>
            </w:pPr>
            <w:r>
              <w:rPr>
                <w:sz w:val="15"/>
                <w:szCs w:val="15"/>
              </w:rPr>
              <w:t xml:space="preserve">ROU asset and lease liability, shown separately from finance leases (or disclosed)</w:t>
            </w:r>
          </w:p>
        </w:tc>
      </w:tr>
      <w:tr>
        <w:tc>
          <w:tcPr>
            <w:tcW w:type="pct" w:w="820"/>
            <w:shd w:fill="FBFAF6" w:val="clear"/>
            <w:tcMar>
              <w:top w:type="dxa" w:w="50"/>
              <w:left w:type="dxa" w:w="110"/>
              <w:bottom w:type="dxa" w:w="50"/>
              <w:right w:type="dxa" w:w="110"/>
            </w:tcMar>
          </w:tcPr>
          <w:p>
            <w:pPr>
              <w:spacing w:before="28" w:after="28"/>
            </w:pPr>
            <w:r>
              <w:rPr>
                <w:sz w:val="15"/>
                <w:szCs w:val="15"/>
              </w:rPr>
              <w:t xml:space="preserve">Income statement</w:t>
            </w:r>
          </w:p>
        </w:tc>
        <w:tc>
          <w:tcPr>
            <w:tcW w:type="pct" w:w="217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005"/>
            <w:shd w:fill="FBFAF6" w:val="clear"/>
            <w:tcMar>
              <w:top w:type="dxa" w:w="50"/>
              <w:left w:type="dxa" w:w="110"/>
              <w:bottom w:type="dxa" w:w="50"/>
              <w:right w:type="dxa" w:w="110"/>
            </w:tcMar>
          </w:tcPr>
          <w:p>
            <w:pPr>
              <w:spacing w:before="28" w:after="28"/>
            </w:pPr>
            <w:r>
              <w:rPr>
                <w:sz w:val="15"/>
                <w:szCs w:val="15"/>
              </w:rPr>
              <w:t xml:space="preserve">One lease cost in operating expenses</w:t>
            </w:r>
          </w:p>
        </w:tc>
      </w:tr>
      <w:tr>
        <w:tc>
          <w:tcPr>
            <w:tcW w:type="pct" w:w="820"/>
            <w:tcMar>
              <w:top w:type="dxa" w:w="50"/>
              <w:left w:type="dxa" w:w="110"/>
              <w:bottom w:type="dxa" w:w="50"/>
              <w:right w:type="dxa" w:w="110"/>
            </w:tcMar>
          </w:tcPr>
          <w:p>
            <w:pPr>
              <w:spacing w:before="28" w:after="28"/>
            </w:pPr>
            <w:r>
              <w:rPr>
                <w:sz w:val="15"/>
                <w:szCs w:val="15"/>
              </w:rPr>
              <w:t xml:space="preserve">Cash flow: principal</w:t>
            </w:r>
          </w:p>
        </w:tc>
        <w:tc>
          <w:tcPr>
            <w:tcW w:type="pct" w:w="2175"/>
            <w:tcMar>
              <w:top w:type="dxa" w:w="50"/>
              <w:left w:type="dxa" w:w="110"/>
              <w:bottom w:type="dxa" w:w="50"/>
              <w:right w:type="dxa" w:w="110"/>
            </w:tcMar>
          </w:tcPr>
          <w:p>
            <w:pPr>
              <w:spacing w:before="28" w:after="28"/>
            </w:pPr>
            <w:r>
              <w:rPr>
                <w:sz w:val="15"/>
                <w:szCs w:val="15"/>
              </w:rPr>
              <w:t xml:space="preserve">Financing</w:t>
            </w:r>
          </w:p>
        </w:tc>
        <w:tc>
          <w:tcPr>
            <w:tcW w:type="pct" w:w="2005"/>
            <w:tcMar>
              <w:top w:type="dxa" w:w="50"/>
              <w:left w:type="dxa" w:w="110"/>
              <w:bottom w:type="dxa" w:w="50"/>
              <w:right w:type="dxa" w:w="110"/>
            </w:tcMar>
          </w:tcPr>
          <w:p>
            <w:pPr>
              <w:spacing w:before="28" w:after="28"/>
            </w:pPr>
            <w:r>
              <w:rPr>
                <w:sz w:val="15"/>
                <w:szCs w:val="15"/>
              </w:rPr>
              <w:t xml:space="preserve">Operating</w:t>
            </w:r>
          </w:p>
        </w:tc>
      </w:tr>
      <w:tr>
        <w:tc>
          <w:tcPr>
            <w:tcW w:type="pct" w:w="820"/>
            <w:shd w:fill="FBFAF6" w:val="clear"/>
            <w:tcMar>
              <w:top w:type="dxa" w:w="50"/>
              <w:left w:type="dxa" w:w="110"/>
              <w:bottom w:type="dxa" w:w="50"/>
              <w:right w:type="dxa" w:w="110"/>
            </w:tcMar>
          </w:tcPr>
          <w:p>
            <w:pPr>
              <w:spacing w:before="28" w:after="28"/>
            </w:pPr>
            <w:r>
              <w:rPr>
                <w:sz w:val="15"/>
                <w:szCs w:val="15"/>
              </w:rPr>
              <w:t xml:space="preserve">Cash flow: interest</w:t>
            </w:r>
          </w:p>
        </w:tc>
        <w:tc>
          <w:tcPr>
            <w:tcW w:type="pct" w:w="2175"/>
            <w:shd w:fill="FBFAF6" w:val="clear"/>
            <w:tcMar>
              <w:top w:type="dxa" w:w="50"/>
              <w:left w:type="dxa" w:w="110"/>
              <w:bottom w:type="dxa" w:w="50"/>
              <w:right w:type="dxa" w:w="110"/>
            </w:tcMar>
          </w:tcPr>
          <w:p>
            <w:pPr>
              <w:spacing w:before="28" w:after="28"/>
            </w:pPr>
            <w:r>
              <w:rPr>
                <w:sz w:val="15"/>
                <w:szCs w:val="15"/>
              </w:rPr>
              <w:t xml:space="preserve">Operating</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820"/>
            <w:tcMar>
              <w:top w:type="dxa" w:w="50"/>
              <w:left w:type="dxa" w:w="110"/>
              <w:bottom w:type="dxa" w:w="50"/>
              <w:right w:type="dxa" w:w="110"/>
            </w:tcMar>
          </w:tcPr>
          <w:p>
            <w:pPr>
              <w:spacing w:before="28" w:after="28"/>
            </w:pPr>
            <w:r>
              <w:rPr>
                <w:sz w:val="15"/>
                <w:szCs w:val="15"/>
              </w:rPr>
              <w:t xml:space="preserve">Orontes at December 31, 2026</w:t>
            </w:r>
          </w:p>
        </w:tc>
        <w:tc>
          <w:tcPr>
            <w:tcW w:type="pct" w:w="2175"/>
            <w:tcMar>
              <w:top w:type="dxa" w:w="50"/>
              <w:left w:type="dxa" w:w="110"/>
              <w:bottom w:type="dxa" w:w="50"/>
              <w:right w:type="dxa" w:w="110"/>
            </w:tcMar>
          </w:tcPr>
          <w:p>
            <w:pPr>
              <w:spacing w:before="28" w:after="28"/>
            </w:pPr>
            <w:r>
              <w:rPr>
                <w:sz w:val="15"/>
                <w:szCs w:val="15"/>
              </w:rPr>
              <w:t xml:space="preserve">Liability 668,253: current 209,905, noncurrent 458,348; ROU asset 649,707</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346,510; ROU asset 346,510   ·   One lease cost in operating expenses   ·   Interest expense and amortization, shown separately   ·   Operating (part of the single payment)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flow traps</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Operating-lease payments are operating cash flows, even though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on the balance sheet.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interest is operating under U.S. GAAP, not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Finance-lease   ·   liability   ·   expense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عقد الإيجار   ·   finance lease   ·   operating lease</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expense and amortization, shown 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within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Operating (part of the single 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 346,510; ROU asset 346,510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finance-lease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operating-lease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 On the income statement, a finance lease shows interest expense and amortization separately; an operating lease shows one lease cost in operating expenses. In the statement of cash flows, finance-lease principal is financing; its interest and all operating-lease payments are operating. New leases are a noncash investing and financing activity, disclosed separately. The olive-press liability of $668,253 includes a current part of $209,905, the principal that will be paid in 2027.</w:t>
      </w:r>
    </w:p>
    <w:p>
      <w:pPr>
        <w:spacing w:before="20" w:after="20"/>
        <w:ind w:left="240" w:hanging="240"/>
      </w:pPr>
      <w:r>
        <w:rPr>
          <w:b/>
          <w:bCs/>
          <w:color w:val="353A7C"/>
          <w:sz w:val="15"/>
          <w:szCs w:val="15"/>
        </w:rPr>
        <w:t xml:space="preserve">Summary 2   </w:t>
      </w:r>
      <w:r>
        <w:rPr>
          <w:color w:val="6B7280"/>
          <w:sz w:val="15"/>
          <w:szCs w:val="15"/>
        </w:rPr>
        <w:t xml:space="preserve">Operating-lease payments are operating cash flows, even though a liability is on the balance sheet. Finance-lease interest is operating under U.S. GAAP, not financing.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Short-term leases, sale and leaseback, and IFRS 16</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lease lasts 12 months or less and has no purchase option that the lessee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certain to use. </w:t>
      </w:r>
      <w:r>
        <w:rPr>
          <w:sz w:val="19"/>
          <w:szCs w:val="19"/>
        </w:rPr>
        <w:t xml:space="preserve">A lessee may choose, by class of asset, to keep such leases off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and expense the payments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U.S. GAAP has no exemption for low-value assets. </w:t>
      </w:r>
      <w:r>
        <w:rPr>
          <w:sz w:val="19"/>
          <w:szCs w:val="19"/>
        </w:rPr>
        <w:t xml:space="preserve">In a sale and leaseback, a company sells an asset and leases it back. </w:t>
      </w:r>
      <w:r>
        <w:rPr>
          <w:sz w:val="19"/>
          <w:szCs w:val="19"/>
        </w:rPr>
        <w:t xml:space="preserve">It is a sale only if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passes to the buyer under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rules. </w:t>
      </w:r>
      <w:r>
        <w:rPr>
          <w:sz w:val="19"/>
          <w:szCs w:val="19"/>
        </w:rPr>
        <w:t xml:space="preserve">If the leaseback is a finance lease,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can buy the asset back, there is no sale: the 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loan. </w:t>
      </w:r>
      <w:r>
        <w:rPr>
          <w:sz w:val="19"/>
          <w:szCs w:val="19"/>
        </w:rPr>
        <w:t xml:space="preserve">IFRS 16 has one lessee model: every lease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 like a finance lease,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interest. </w:t>
      </w:r>
      <w:r>
        <w:rPr>
          <w:sz w:val="19"/>
          <w:szCs w:val="19"/>
        </w:rPr>
        <w:t xml:space="preserve">It allows an exemption for low-value assets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liability when an index such as CPI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seller   ·   control   ·   remeasures   ·   balance   ·   short-term   ·   depreciation   ·   accounted   ·   revenue   ·   reasonably   ·   changes   ·   purchase   ·   received</w:t>
            </w:r>
          </w:p>
        </w:tc>
      </w:tr>
    </w:tbl>
    <w:p/>
    <w:p>
      <w:pPr>
        <w:spacing w:before="44" w:after="10"/>
      </w:pPr>
      <w:r>
        <w:rPr>
          <w:b/>
          <w:bCs/>
          <w:color w:val="353A7C"/>
          <w:sz w:val="18"/>
          <w:szCs w:val="18"/>
        </w:rPr>
        <w:t xml:space="preserve">Leases: U.S. GAAP (ASC 842)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Exemption by class of asset   ·   Two: finance and operating   ·   Remeasure the liability   ·   finance lease   ·   Depreciation plus interest: higher early   ·   Operating or financing (IAS 7 today)   ·   Exemption allowed</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ASU 2023-01, on leases between companies under common control, is testable now 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level. </w:t>
      </w:r>
      <w:r>
        <w:rPr>
          <w:sz w:val="19"/>
          <w:szCs w:val="19"/>
        </w:rPr>
        <w:t xml:space="preserve">ASU 2025-12 changes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disclosure only;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reasonably   ·   awareness   ·   lessor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leases signed in 2028 (whole U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leases signed in 2028 (whole U</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Details</w:t>
            </w:r>
          </w:p>
        </w:tc>
      </w:tr>
      <w:tr>
        <w:tc>
          <w:tcPr>
            <w:tcW w:type="pct" w:w="2400"/>
            <w:tcMar>
              <w:top w:type="dxa" w:w="50"/>
              <w:left w:type="dxa" w:w="110"/>
              <w:bottom w:type="dxa" w:w="50"/>
              <w:right w:type="dxa" w:w="110"/>
            </w:tcMar>
          </w:tcPr>
          <w:p>
            <w:pPr>
              <w:spacing w:before="28" w:after="28"/>
            </w:pPr>
            <w:r>
              <w:rPr>
                <w:sz w:val="15"/>
                <w:szCs w:val="15"/>
              </w:rPr>
              <w:t xml:space="preserve">L1 Delivery trucks</w:t>
            </w:r>
          </w:p>
        </w:tc>
        <w:tc>
          <w:tcPr>
            <w:tcW w:type="pct" w:w="2600"/>
            <w:tcMar>
              <w:top w:type="dxa" w:w="50"/>
              <w:left w:type="dxa" w:w="110"/>
              <w:bottom w:type="dxa" w:w="50"/>
              <w:right w:type="dxa" w:w="110"/>
            </w:tcMar>
          </w:tcPr>
          <w:p>
            <w:pPr>
              <w:spacing w:before="28" w:after="28"/>
            </w:pPr>
            <w:r>
              <w:rPr>
                <w:sz w:val="15"/>
                <w:szCs w:val="15"/>
              </w:rPr>
              <w:t xml:space="preserve">3-year lease from January 1, 2028; 30,000 at the end of each year; economic life 8 years; fair value 150,000; no ownership transfer, no purc</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L2 Forklift</w:t>
            </w:r>
          </w:p>
        </w:tc>
        <w:tc>
          <w:tcPr>
            <w:tcW w:type="pct" w:w="2600"/>
            <w:shd w:fill="FBFAF6" w:val="clear"/>
            <w:tcMar>
              <w:top w:type="dxa" w:w="50"/>
              <w:left w:type="dxa" w:w="110"/>
              <w:bottom w:type="dxa" w:w="50"/>
              <w:right w:type="dxa" w:w="110"/>
            </w:tcMar>
          </w:tcPr>
          <w:p>
            <w:pPr>
              <w:spacing w:before="28" w:after="28"/>
            </w:pPr>
            <w:r>
              <w:rPr>
                <w:sz w:val="15"/>
                <w:szCs w:val="15"/>
              </w:rPr>
              <w:t xml:space="preserve">5-year lease with an option to buy the forklift for $1 at the end; Barada is reasonably certain to use it.</w:t>
            </w:r>
          </w:p>
        </w:tc>
      </w:tr>
      <w:tr>
        <w:tc>
          <w:tcPr>
            <w:tcW w:type="pct" w:w="2400"/>
            <w:tcMar>
              <w:top w:type="dxa" w:w="50"/>
              <w:left w:type="dxa" w:w="110"/>
              <w:bottom w:type="dxa" w:w="50"/>
              <w:right w:type="dxa" w:w="110"/>
            </w:tcMar>
          </w:tcPr>
          <w:p>
            <w:pPr>
              <w:spacing w:before="28" w:after="28"/>
            </w:pPr>
            <w:r>
              <w:rPr>
                <w:sz w:val="15"/>
                <w:szCs w:val="15"/>
              </w:rPr>
              <w:t xml:space="preserve">L3 Storage room</w:t>
            </w:r>
          </w:p>
        </w:tc>
        <w:tc>
          <w:tcPr>
            <w:tcW w:type="pct" w:w="2600"/>
            <w:tcMar>
              <w:top w:type="dxa" w:w="50"/>
              <w:left w:type="dxa" w:w="110"/>
              <w:bottom w:type="dxa" w:w="50"/>
              <w:right w:type="dxa" w:w="110"/>
            </w:tcMar>
          </w:tcPr>
          <w:p>
            <w:pPr>
              <w:spacing w:before="28" w:after="28"/>
            </w:pPr>
            <w:r>
              <w:rPr>
                <w:sz w:val="15"/>
                <w:szCs w:val="15"/>
              </w:rPr>
              <w:t xml:space="preserve">10-month lease; no purchase option. Barada applies the short-term exemption.</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L4 Laptops</w:t>
            </w:r>
          </w:p>
        </w:tc>
        <w:tc>
          <w:tcPr>
            <w:tcW w:type="pct" w:w="2600"/>
            <w:shd w:fill="FBFAF6" w:val="clear"/>
            <w:tcMar>
              <w:top w:type="dxa" w:w="50"/>
              <w:left w:type="dxa" w:w="110"/>
              <w:bottom w:type="dxa" w:w="50"/>
              <w:right w:type="dxa" w:w="110"/>
            </w:tcMar>
          </w:tcPr>
          <w:p>
            <w:pPr>
              <w:spacing w:before="28" w:after="28"/>
            </w:pPr>
            <w:r>
              <w:rPr>
                <w:sz w:val="15"/>
                <w:szCs w:val="15"/>
              </w:rPr>
              <w:t xml:space="preserve">3-year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of office laptops; standard terms; no transfer or option.</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Barada's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is 8%. The rate implicit in the leases is not known. Barada is not a public business entity but does not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value of an annuity of $1 for 3 years at 8%: 2.5771.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borrowing rate   ·   Remeasure the liability   ·   Present   ·   lease</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amortization   ·   2029   ·   lessee</w:t>
            </w:r>
          </w:p>
        </w:tc>
      </w:tr>
    </w:tbl>
    <w:p/>
    <w:p>
      <w:pPr>
        <w:pageBreakBefore w:val="true"/>
        <w:spacing w:after="0"/>
      </w:pPr>
      <w:r>
        <w:rPr>
          <w:sz w:val="2"/>
        </w:rPr>
        <w:t xml:space="preserve"> </w:t>
      </w:r>
    </w:p>
    <w:p>
      <w:pPr>
        <w:spacing w:before="44" w:after="10"/>
      </w:pPr>
      <w:r>
        <w:rPr>
          <w:b/>
          <w:bCs/>
          <w:color w:val="353A7C"/>
          <w:sz w:val="18"/>
          <w:szCs w:val="18"/>
        </w:rPr>
        <w:t xml:space="preserve">Lease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L1 Delivery trucks   ·   incremental borrowing rate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   المؤجر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short-term lease</w:t>
            </w:r>
          </w:p>
        </w:tc>
        <w:tc>
          <w:tcPr>
            <w:tcW w:type="pct" w:w="2600"/>
            <w:tcMar>
              <w:top w:type="dxa" w:w="50"/>
              <w:left w:type="dxa" w:w="110"/>
              <w:bottom w:type="dxa" w:w="50"/>
              <w:right w:type="dxa" w:w="110"/>
            </w:tcMar>
          </w:tcPr>
          <w:p>
            <w:pPr>
              <w:spacing w:before="26" w:after="26"/>
            </w:pPr>
            <w:r>
              <w:rPr>
                <w:color w:val="232733"/>
                <w:sz w:val="16"/>
                <w:szCs w:val="16"/>
              </w:rPr>
              <w:t xml:space="preserve">عقد إيجار قصير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 and leaseback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البيع وإعادة الاستئجار</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Short-term leases, sale and leaseback, and IFRS 16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Exemption by class of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Remeasure the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or financing (IAS 7 today)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awareness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seller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Present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L1 Delivery trucks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Two: finance and operating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 plus interest: higher early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Exemption allowed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lessor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lease lasts 12 months or less and has no purchase option that the lessee is reasonably certain to use. A lessee may choose, by class of asset, to keep such leases off the balance sheet and expense the payments straight-line. U.S. GAAP has no exemption for low-value assets. In a sale and leaseback, a company sells an asset and leases it back. It is a sale only if control passes to the buyer under the revenue rules. If the leaseback is a finance lease, or the seller can buy the asset back, there is no sale: the cash received is a loan. IFRS 16 has one lessee model: every lease is accounted for like a finance lease, with depreciation and interest. It allows an exemption for low-value assets and remeasures the liability when an index such as CPI changes.</w:t>
      </w:r>
    </w:p>
    <w:p>
      <w:pPr>
        <w:spacing w:before="20" w:after="20"/>
        <w:ind w:left="240" w:hanging="240"/>
      </w:pPr>
      <w:r>
        <w:rPr>
          <w:b/>
          <w:bCs/>
          <w:color w:val="353A7C"/>
          <w:sz w:val="15"/>
          <w:szCs w:val="15"/>
        </w:rPr>
        <w:t xml:space="preserve">Summary 2   </w:t>
      </w:r>
      <w:r>
        <w:rPr>
          <w:color w:val="6B7280"/>
          <w:sz w:val="15"/>
          <w:szCs w:val="15"/>
        </w:rPr>
        <w:t xml:space="preserve">ASU 2023-01, on leases between companies under common control, is testable now at awareness level. ASU 2025-12 changes a lessor disclosure only; it is not testable before about January 2028.</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What is a lease?</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Finance or operating? The five criteria</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Initial measurement</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Subsequent measurement: two expense patterns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Presentation</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Short-term leases, sale and leaseback, and IFRS 16</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8d2713b7e058f7992f2b3626227bef5553f3cc6.png" Type="http://schemas.openxmlformats.org/officeDocument/2006/relationships/image"/><Relationship Id="rId102" Target="media/8ca6d23550b824cb4b79c9cff2f0aca0ead6accf.png" Type="http://schemas.openxmlformats.org/officeDocument/2006/relationships/image"/><Relationship Id="rId103" Target="media/08468bed85b1684d504e931032c8e440a72b4a78.png" Type="http://schemas.openxmlformats.org/officeDocument/2006/relationships/image"/><Relationship Id="rId104" Target="media/a292a42ae8ffa10da3021466078307dc919edec2.png" Type="http://schemas.openxmlformats.org/officeDocument/2006/relationships/image"/><Relationship Id="rId105" Target="media/cef42b92b2fe3edd58c1662453c3d3306c50568a.png" Type="http://schemas.openxmlformats.org/officeDocument/2006/relationships/image"/><Relationship Id="rId106" Target="media/62b947c4af12c356fb51de508c91963f0a2797ca.png" Type="http://schemas.openxmlformats.org/officeDocument/2006/relationships/image"/><Relationship Id="rId107" Target="media/ceda61ddb7dc70f609f54601d4aa4ba105cf9c52.png" Type="http://schemas.openxmlformats.org/officeDocument/2006/relationships/image"/><Relationship Id="rId108" Target="media/3386c2b7c3e248f9fab263b627882d1dfa9ddfef.png" Type="http://schemas.openxmlformats.org/officeDocument/2006/relationships/image"/><Relationship Id="rId109" Target="media/da99c5f5420c67ffba6f5d058f678640bda9a31b.png" Type="http://schemas.openxmlformats.org/officeDocument/2006/relationships/image"/><Relationship Id="rId110" Target="media/33009da2db2f0ea1f2fc7614f45f271f2d23c11c.png" Type="http://schemas.openxmlformats.org/officeDocument/2006/relationships/image"/><Relationship Id="rId111" Target="media/5320e7d0b92d11012c9ccd17926961d4a4bee897.png" Type="http://schemas.openxmlformats.org/officeDocument/2006/relationships/image"/><Relationship Id="rId112" Target="media/a2316d5b11ab5b31a5a9966d7ba884fac38c126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14</dc:title>
  <dc:subject>Summary handouts</dc:subject>
  <cp:category>Student Book</cp:category>
</cp:coreProperties>
</file>