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(vi) Impairment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1"/>
        <w:gridCol w:w="3872"/>
        <w:gridCol w:w="2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3"/>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16"/>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81"/>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3"/>
            <w:tcMar>
              <w:top w:type="dxa" w:w="50"/>
              <w:left w:type="dxa" w:w="110"/>
              <w:bottom w:type="dxa" w:w="50"/>
              <w:right w:type="dxa" w:w="110"/>
            </w:tcMar>
          </w:tcPr>
          <w:p>
            <w:pPr>
              <w:spacing w:before="28" w:after="28"/>
            </w:pPr>
            <w:r>
              <w:rPr>
                <w:sz w:val="15"/>
                <w:szCs w:val="15"/>
              </w:rPr>
              <w:t xml:space="preserve">Graded vesting (service condition)</w:t>
            </w:r>
          </w:p>
        </w:tc>
        <w:tc>
          <w:tcPr>
            <w:tcW w:type="pct" w:w="2016"/>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81"/>
            <w:tcMar>
              <w:top w:type="dxa" w:w="50"/>
              <w:left w:type="dxa" w:w="110"/>
              <w:bottom w:type="dxa" w:w="50"/>
              <w:right w:type="dxa" w:w="110"/>
            </w:tcMar>
          </w:tcPr>
          <w:p>
            <w:pPr>
              <w:spacing w:before="28" w:after="28"/>
            </w:pPr>
            <w:r>
              <w:rPr>
                <w:sz w:val="15"/>
                <w:szCs w:val="15"/>
              </w:rPr>
              <w:t xml:space="preserve">Tranche by tranche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1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estimate or record as they occur</w:t>
            </w:r>
          </w:p>
        </w:tc>
        <w:tc>
          <w:tcPr>
            <w:tcW w:type="pct" w:w="1181"/>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3"/>
            <w:tcMar>
              <w:top w:type="dxa" w:w="50"/>
              <w:left w:type="dxa" w:w="110"/>
              <w:bottom w:type="dxa" w:w="50"/>
              <w:right w:type="dxa" w:w="110"/>
            </w:tcMar>
          </w:tcPr>
          <w:p>
            <w:pPr>
              <w:spacing w:before="28" w:after="28"/>
            </w:pPr>
            <w:r>
              <w:rPr>
                <w:sz w:val="15"/>
                <w:szCs w:val="15"/>
              </w:rPr>
              <w:t xml:space="preserve">Employer payroll taxes on awards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81"/>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81"/>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3"/>
            <w:tcMar>
              <w:top w:type="dxa" w:w="50"/>
              <w:left w:type="dxa" w:w="110"/>
              <w:bottom w:type="dxa" w:w="50"/>
              <w:right w:type="dxa" w:w="110"/>
            </w:tcMar>
          </w:tcPr>
          <w:p>
            <w:pPr>
              <w:spacing w:before="28" w:after="28"/>
            </w:pPr>
            <w:r>
              <w:rPr>
                <w:sz w:val="15"/>
                <w:szCs w:val="15"/>
              </w:rPr>
              <w:t xml:space="preserve">Return on plan assets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81"/>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16"/>
            <w:shd w:fill="FBFAF6" w:val="clear"/>
            <w:tcMar>
              <w:top w:type="dxa" w:w="50"/>
              <w:left w:type="dxa" w:w="110"/>
              <w:bottom w:type="dxa" w:w="50"/>
              <w:right w:type="dxa" w:w="110"/>
            </w:tcMar>
          </w:tcPr>
          <w:p>
            <w:pPr>
              <w:spacing w:before="28" w:after="28"/>
            </w:pPr>
            <w:r>
              <w:rPr>
                <w:sz w:val="15"/>
                <w:szCs w:val="15"/>
              </w:rPr>
              <w:t xml:space="preserve">OCI, amortized over 10 years: 5,000 a year</w:t>
            </w:r>
          </w:p>
        </w:tc>
        <w:tc>
          <w:tcPr>
            <w:tcW w:type="pct" w:w="1181"/>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Policy choice   ·   component depreciation   ·   Expected return   ·   When the tax obligation arises (exercise or vesting)   ·   OCI, then amortized into net income (corridor)   ·   Expensed at once: 50,000</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Policy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When the tax obligation arises (exercise or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OCI, then amortized into net income (corridor)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Expensed at once: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recognize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Not allowed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technical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write inventory down when its value falls below cost. </w:t>
      </w:r>
      <w:r>
        <w:rPr>
          <w:sz w:val="19"/>
          <w:szCs w:val="19"/>
        </w:rPr>
        <w:t xml:space="preserve">The key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comes when value recovers.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frameworks   ·   difference   ·   provision</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remeasurements   ·   average   ·   write-down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In U.S. terms,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reduces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write-down   ·   provision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frameworks write inventory down when its value falls below cost. The key difference comes when value recovers.</w:t>
      </w:r>
    </w:p>
    <w:p>
      <w:pPr>
        <w:spacing w:before="20" w:after="20"/>
        <w:ind w:left="240" w:hanging="240"/>
      </w:pPr>
      <w:r>
        <w:rPr>
          <w:b/>
          <w:bCs/>
          <w:color w:val="353A7C"/>
          <w:sz w:val="15"/>
          <w:szCs w:val="15"/>
        </w:rPr>
        <w:t xml:space="preserve">Summary 2   </w:t>
      </w:r>
      <w:r>
        <w:rPr>
          <w:color w:val="6B7280"/>
          <w:sz w:val="15"/>
          <w:szCs w:val="15"/>
        </w:rPr>
        <w:t xml:space="preserve">In U.S. terms, a write-down reduces the inventory itself; do not call it a provision or a reserve.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remeasurements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treated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Low-value assets   ·   Full gain if a sale   ·   One: all leases like finance leases   ·   Liability remeasured   ·   Operating   ·   One straight-line lease cost: 100,000</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5–9</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significant   ·   increases   ·   Orontes's   ·   different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frameworks   ·   surplus   ·   construction   ·   revaluation model   ·   recoverable amount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recoverability test   ·   component depreciation   ·   revaluation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surplus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component depreciation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value in use,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there is no undiscounted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IFRS losses often come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without   ·   frameworks   ·   screen   ·   Because   ·   earlier   ·   cash-generating   ·   exposure   ·   future   ·   discounted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compares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The first two are done. </w:t>
      </w:r>
      <w:r>
        <w:rPr>
          <w:sz w:val="19"/>
          <w:szCs w:val="19"/>
        </w:rPr>
        <w:t xml:space="preserve">Decide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each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true under U.S. GAAP only, IFRS only, or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exposure   ·   whether   ·   others</w:t>
            </w:r>
          </w:p>
        </w:tc>
      </w:tr>
    </w:tbl>
    <w:p/>
    <w:p>
      <w:pPr>
        <w:pageBreakBefore w:val="true"/>
        <w:spacing w:after="0"/>
      </w:pPr>
      <w:r>
        <w:rPr>
          <w:sz w:val="2"/>
        </w:rPr>
        <w:t xml:space="preserve"> </w:t>
      </w:r>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5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557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short-term lease exemption exists   ·   Prior service cost is expensed immediately   ·   fair value less costs of disposal</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   disclosures   ·   impairment-only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Development costs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consolidation   ·   write-down   ·   Warehouse   ·   Delivery fleet</w:t>
            </w:r>
          </w:p>
        </w:tc>
      </w:tr>
    </w:tbl>
    <w:p/>
    <w:p>
      <w:pPr>
        <w:pageBreakBefore w:val="true"/>
        <w:spacing w:after="0"/>
      </w:pPr>
      <w:r>
        <w:rPr>
          <w:sz w:val="2"/>
        </w:rPr>
        <w:t xml:space="preserve"> </w:t>
      </w:r>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short-term lease exemption exists   ·   Prior service cost expensed immediately</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L2 Write-down reversal   ·   value in use   ·   L4 Fleet impairment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research and development (R&amp;D)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short-term lease exemption 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Prior service cost is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screen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Prior service cost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L4 Fleet 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first two are done. Decide whether each of the others is true under U.S. GAAP only, IFRS only, or both.</w:t>
      </w:r>
    </w:p>
    <w:p>
      <w:pPr>
        <w:spacing w:before="20" w:after="20"/>
        <w:ind w:left="240" w:hanging="240"/>
      </w:pPr>
      <w:r>
        <w:rPr>
          <w:b/>
          <w:bCs/>
          <w:color w:val="353A7C"/>
          <w:sz w:val="15"/>
          <w:szCs w:val="15"/>
        </w:rPr>
        <w:t xml:space="preserve">Summary 4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7bd9cb9efaa8c86c34594fb3a0349dc54bd38fa.png" Type="http://schemas.openxmlformats.org/officeDocument/2006/relationships/image"/><Relationship Id="rId102" Target="media/78905924507a058b631ca8df57244ede084fe1de.png" Type="http://schemas.openxmlformats.org/officeDocument/2006/relationships/image"/><Relationship Id="rId103" Target="media/f44b45c7f54b9dcf93165727472834e5db074db8.png" Type="http://schemas.openxmlformats.org/officeDocument/2006/relationships/image"/><Relationship Id="rId104" Target="media/83dc32318da747d75f83d3db2042d22203aef718.png" Type="http://schemas.openxmlformats.org/officeDocument/2006/relationships/image"/><Relationship Id="rId105" Target="media/3ed5d59b43a3e22f82603bac8c25e69a83a88a35.png" Type="http://schemas.openxmlformats.org/officeDocument/2006/relationships/image"/><Relationship Id="rId106" Target="media/5edd283dfab5863e204d839239197a35ff9b2de9.png" Type="http://schemas.openxmlformats.org/officeDocument/2006/relationships/image"/><Relationship Id="rId107" Target="media/b752323eb06ec2f731295efcb3d30e782a26ff12.png" Type="http://schemas.openxmlformats.org/officeDocument/2006/relationships/image"/><Relationship Id="rId108" Target="media/70472a846834fb7d38c62ec9bfc7ad3ab2a09dc4.png" Type="http://schemas.openxmlformats.org/officeDocument/2006/relationships/image"/><Relationship Id="rId109" Target="media/7b07a48bd02a14e7926ecfe7c8e861804da7a46b.png" Type="http://schemas.openxmlformats.org/officeDocument/2006/relationships/image"/><Relationship Id="rId110" Target="media/95648366b55e2da07d5006835a61239a39ec6b7d.png" Type="http://schemas.openxmlformats.org/officeDocument/2006/relationships/image"/><Relationship Id="rId111" Target="media/90b9d32f8dbb7b9a030c323ff706e859a2409664.png" Type="http://schemas.openxmlformats.org/officeDocument/2006/relationships/image"/><Relationship Id="rId112" Target="media/25f69c675698263daba1a33e9946b9b9741eca20.png" Type="http://schemas.openxmlformats.org/officeDocument/2006/relationships/image"/><Relationship Id="rId113" Target="media/bee48fd26688127c1053efd9ebea86554a39f35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17</dc:title>
  <dc:subject>Summary handouts</dc:subject>
  <cp:category>Student Book</cp:category>
</cp:coreProperties>
</file>