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Actual costing   ·   Extended Example 5A: one month, three costs   ·   section 5.5</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product cost has three parts: direct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direct labor and overhead. </w:t>
      </w:r>
      <w:r>
        <w:rPr>
          <w:sz w:val="19"/>
          <w:szCs w:val="19"/>
        </w:rPr>
        <w:t xml:space="preserve">The three techniques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applies overhead with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rate. </w:t>
      </w:r>
      <w:r>
        <w:rPr>
          <w:sz w:val="19"/>
          <w:szCs w:val="19"/>
        </w:rPr>
        <w:t xml:space="preserve">Standard costing uses standard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compare   ·   activity-based   ·   materials   ·   collect   ·   amounts   ·   technique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normal costing   ·   actual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 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variable overhead   ·   actual costing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allowed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Overhead uses the 1,400 standard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allowed for 70,000 cases, not the 1,414 hours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used. </w:t>
      </w:r>
      <w:r>
        <w:rPr>
          <w:sz w:val="19"/>
          <w:szCs w:val="19"/>
        </w:rPr>
        <w:t xml:space="preserve">The standard cost is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machine   ·   actually</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In standard costing,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applied on the standard hours allowed for the actual output. </w:t>
      </w:r>
      <w:r>
        <w:rPr>
          <w:sz w:val="19"/>
          <w:szCs w:val="19"/>
        </w:rPr>
        <w:t xml:space="preserve">Using actual hours turns standard costing back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Standards   ·   approximate   ·   overhead   ·   normal   ·   allowed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normal costing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 1,400 standard MH × $150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Overhead uses the 1,400 standard machine hours allowed for 70,000 cases, not the 1,414 hours actually used. The standard cost is $882,000.</w:t>
      </w:r>
    </w:p>
    <w:p>
      <w:pPr>
        <w:spacing w:before="20" w:after="20"/>
        <w:ind w:left="240" w:hanging="240"/>
      </w:pPr>
      <w:r>
        <w:rPr>
          <w:b/>
          <w:bCs/>
          <w:color w:val="353A7C"/>
          <w:sz w:val="15"/>
          <w:szCs w:val="15"/>
        </w:rPr>
        <w:t xml:space="preserve">Summary 3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machines, cleaning chemicals,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standard   ·   maintenance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special order that uses spare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bottling   ·   contribution   ·   possible   ·   before   ·   per-unit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20" w:after="20" w:line="360" w:lineRule="auto"/>
        <w:ind w:left="200"/>
      </w:pPr>
      <w:r>
        <w:rPr>
          <w:sz w:val="19"/>
          <w:szCs w:val="19"/>
        </w:rPr>
        <w:t xml:space="preserve">The first two are done. Calculate variable overhead per unit for the others.</w:t>
      </w:r>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Halva tray   ·   Tahini jar (1 kg)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chemicals</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supplies   ·   Variable overhead per case   ·   Standard machine hours per case   ·   Private-label tub (5 kg)   ·   Power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Tahini jar (1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Halva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Maintenance supplies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Standard machine hours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Variable overhead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costs the same May output three ways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costs per case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May. </w:t>
      </w:r>
      <w:r>
        <w:rPr>
          <w:sz w:val="19"/>
          <w:szCs w:val="19"/>
        </w:rPr>
        <w:t xml:space="preserve">Actual costs: direct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$637,000; direct labor $43,400;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$70,700; fixed overhead $151,900. </w:t>
      </w:r>
      <w:r>
        <w:rPr>
          <w:sz w:val="19"/>
          <w:szCs w:val="19"/>
        </w:rPr>
        <w:t xml:space="preserve">Machine hours: 1,414 actual; 1,400 standard hours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overhead $150 per machine hour; standard cost $12.60 a case.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each cost part under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 the entries, and see where the difference between actual and product cost goes. </w:t>
      </w:r>
      <w:r>
        <w:rPr>
          <w:sz w:val="19"/>
          <w:szCs w:val="19"/>
        </w:rPr>
        <w:t xml:space="preserve">Actual: $637,000 + $43,400 + $222,600 = $903,000. </w:t>
      </w:r>
      <w:r>
        <w:rPr>
          <w:sz w:val="19"/>
          <w:szCs w:val="19"/>
        </w:rPr>
        <w:t xml:space="preserve">Normal: $637,000 + $43,400 + 1,414 × $150 = $892,500. </w:t>
      </w:r>
      <w:r>
        <w:rPr>
          <w:sz w:val="19"/>
          <w:szCs w:val="19"/>
        </w:rPr>
        <w:t xml:space="preserve">Standard: 70,000 × $12.60 = $882,000. </w:t>
      </w:r>
      <w:r>
        <w:rPr>
          <w:sz w:val="19"/>
          <w:szCs w:val="19"/>
        </w:rPr>
        <w:t xml:space="preserve">The last row shows the actual cost that did not enter product cost: nothing under actual costing, $10,500 of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under normal costing, and $21,000 of variances under standard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allowed   ·   exam-core   ·   differences   ·   overhead   ·   Measure   ·   predetermined   ·   finished   ·   materials   ·   accounts   ·   variable   ·   records   ·   technique   ·   underapplied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0"/>
        <w:gridCol w:w="1824"/>
        <w:gridCol w:w="1918"/>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99"/>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042"/>
            <w:tcMar>
              <w:top w:type="dxa" w:w="50"/>
              <w:left w:type="dxa" w:w="110"/>
              <w:bottom w:type="dxa" w:w="50"/>
              <w:right w:type="dxa" w:w="110"/>
            </w:tcMar>
          </w:tcPr>
          <w:p>
            <w:pPr>
              <w:spacing w:before="28" w:after="28"/>
            </w:pPr>
            <w:r>
              <w:rPr>
                <w:sz w:val="15"/>
                <w:szCs w:val="15"/>
              </w:rPr>
              <w:t xml:space="preserve">Direct materials</w:t>
            </w:r>
          </w:p>
        </w:tc>
        <w:tc>
          <w:tcPr>
            <w:tcW w:type="pct" w:w="950"/>
            <w:tcMar>
              <w:top w:type="dxa" w:w="50"/>
              <w:left w:type="dxa" w:w="110"/>
              <w:bottom w:type="dxa" w:w="50"/>
              <w:right w:type="dxa" w:w="110"/>
            </w:tcMar>
          </w:tcPr>
          <w:p>
            <w:pPr>
              <w:spacing w:before="28" w:after="28"/>
            </w:pPr>
            <w:r>
              <w:rPr>
                <w:sz w:val="15"/>
                <w:szCs w:val="15"/>
              </w:rPr>
              <w:t xml:space="preserve">637,000</w:t>
            </w:r>
          </w:p>
        </w:tc>
        <w:tc>
          <w:tcPr>
            <w:tcW w:type="pct" w:w="999"/>
            <w:tcMar>
              <w:top w:type="dxa" w:w="50"/>
              <w:left w:type="dxa" w:w="110"/>
              <w:bottom w:type="dxa" w:w="50"/>
              <w:right w:type="dxa" w:w="110"/>
            </w:tcMar>
          </w:tcPr>
          <w:p>
            <w:pPr>
              <w:spacing w:before="28" w:after="28"/>
            </w:pPr>
            <w:r>
              <w:rPr>
                <w:sz w:val="15"/>
                <w:szCs w:val="15"/>
              </w:rPr>
              <w:t xml:space="preserve">637,000</w:t>
            </w:r>
          </w:p>
        </w:tc>
        <w:tc>
          <w:tcPr>
            <w:tcW w:type="pct" w:w="1009"/>
            <w:tcMar>
              <w:top w:type="dxa" w:w="50"/>
              <w:left w:type="dxa" w:w="110"/>
              <w:bottom w:type="dxa" w:w="50"/>
              <w:right w:type="dxa" w:w="110"/>
            </w:tcMar>
          </w:tcPr>
          <w:p>
            <w:pPr>
              <w:spacing w:before="28" w:after="28"/>
            </w:pPr>
            <w:r>
              <w:rPr>
                <w:sz w:val="15"/>
                <w:szCs w:val="15"/>
              </w:rPr>
              <w:t xml:space="preserve">630,000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950"/>
            <w:shd w:fill="FBFAF6" w:val="clear"/>
            <w:tcMar>
              <w:top w:type="dxa" w:w="50"/>
              <w:left w:type="dxa" w:w="110"/>
              <w:bottom w:type="dxa" w:w="50"/>
              <w:right w:type="dxa" w:w="110"/>
            </w:tcMar>
          </w:tcPr>
          <w:p>
            <w:pPr>
              <w:spacing w:before="28" w:after="28"/>
            </w:pPr>
            <w:r>
              <w:rPr>
                <w:sz w:val="15"/>
                <w:szCs w:val="15"/>
              </w:rPr>
              <w:t xml:space="preserve">43,400</w:t>
            </w:r>
          </w:p>
        </w:tc>
        <w:tc>
          <w:tcPr>
            <w:tcW w:type="pct" w:w="999"/>
            <w:shd w:fill="FBFAF6" w:val="clear"/>
            <w:tcMar>
              <w:top w:type="dxa" w:w="50"/>
              <w:left w:type="dxa" w:w="110"/>
              <w:bottom w:type="dxa" w:w="50"/>
              <w:right w:type="dxa" w:w="110"/>
            </w:tcMar>
          </w:tcPr>
          <w:p>
            <w:pPr>
              <w:spacing w:before="28" w:after="28"/>
            </w:pPr>
            <w:r>
              <w:rPr>
                <w:sz w:val="15"/>
                <w:szCs w:val="15"/>
              </w:rPr>
              <w:t xml:space="preserve">43,400</w:t>
            </w:r>
          </w:p>
        </w:tc>
        <w:tc>
          <w:tcPr>
            <w:tcW w:type="pct" w:w="1009"/>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950"/>
            <w:tcMar>
              <w:top w:type="dxa" w:w="50"/>
              <w:left w:type="dxa" w:w="110"/>
              <w:bottom w:type="dxa" w:w="50"/>
              <w:right w:type="dxa" w:w="110"/>
            </w:tcMar>
          </w:tcPr>
          <w:p>
            <w:pPr>
              <w:spacing w:before="28" w:after="28"/>
            </w:pPr>
            <w:r>
              <w:rPr>
                <w:sz w:val="15"/>
                <w:szCs w:val="15"/>
              </w:rPr>
              <w:t xml:space="preserve">222,600</w:t>
            </w:r>
          </w:p>
        </w:tc>
        <w:tc>
          <w:tcPr>
            <w:tcW w:type="pct" w:w="999"/>
            <w:tcMar>
              <w:top w:type="dxa" w:w="50"/>
              <w:left w:type="dxa" w:w="110"/>
              <w:bottom w:type="dxa" w:w="50"/>
              <w:right w:type="dxa" w:w="110"/>
            </w:tcMar>
          </w:tcPr>
          <w:p>
            <w:pPr>
              <w:spacing w:before="28" w:after="28"/>
            </w:pPr>
            <w:r>
              <w:rPr>
                <w:sz w:val="15"/>
                <w:szCs w:val="15"/>
              </w:rPr>
              <w:t xml:space="preserve">212,100</w:t>
            </w:r>
          </w:p>
        </w:tc>
        <w:tc>
          <w:tcPr>
            <w:tcW w:type="pct" w:w="1009"/>
            <w:tcMar>
              <w:top w:type="dxa" w:w="50"/>
              <w:left w:type="dxa" w:w="110"/>
              <w:bottom w:type="dxa" w:w="50"/>
              <w:right w:type="dxa" w:w="110"/>
            </w:tcMar>
          </w:tcPr>
          <w:p>
            <w:pPr>
              <w:spacing w:before="28" w:after="28"/>
            </w:pPr>
            <w:r>
              <w:rPr>
                <w:sz w:val="15"/>
                <w:szCs w:val="15"/>
              </w:rPr>
              <w:t xml:space="preserve">210,000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950"/>
            <w:shd w:fill="FBFAF6" w:val="clear"/>
            <w:tcMar>
              <w:top w:type="dxa" w:w="50"/>
              <w:left w:type="dxa" w:w="110"/>
              <w:bottom w:type="dxa" w:w="50"/>
              <w:right w:type="dxa" w:w="110"/>
            </w:tcMar>
          </w:tcPr>
          <w:p>
            <w:pPr>
              <w:spacing w:before="28" w:after="28"/>
            </w:pPr>
            <w:r>
              <w:rPr>
                <w:sz w:val="15"/>
                <w:szCs w:val="15"/>
              </w:rPr>
              <w:t xml:space="preserve">903,000</w:t>
            </w:r>
          </w:p>
        </w:tc>
        <w:tc>
          <w:tcPr>
            <w:tcW w:type="pct" w:w="999"/>
            <w:shd w:fill="FBFAF6" w:val="clear"/>
            <w:tcMar>
              <w:top w:type="dxa" w:w="50"/>
              <w:left w:type="dxa" w:w="110"/>
              <w:bottom w:type="dxa" w:w="50"/>
              <w:right w:type="dxa" w:w="110"/>
            </w:tcMar>
          </w:tcPr>
          <w:p>
            <w:pPr>
              <w:spacing w:before="28" w:after="28"/>
            </w:pPr>
            <w:r>
              <w:rPr>
                <w:sz w:val="15"/>
                <w:szCs w:val="15"/>
              </w:rPr>
              <w:t xml:space="preserve">892,500</w:t>
            </w:r>
          </w:p>
        </w:tc>
        <w:tc>
          <w:tcPr>
            <w:tcW w:type="pct" w:w="1009"/>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042"/>
            <w:tcMar>
              <w:top w:type="dxa" w:w="50"/>
              <w:left w:type="dxa" w:w="110"/>
              <w:bottom w:type="dxa" w:w="50"/>
              <w:right w:type="dxa" w:w="110"/>
            </w:tcMar>
          </w:tcPr>
          <w:p>
            <w:pPr>
              <w:spacing w:before="28" w:after="28"/>
            </w:pPr>
            <w:r>
              <w:rPr>
                <w:sz w:val="15"/>
                <w:szCs w:val="15"/>
              </w:rPr>
              <w:t xml:space="preserve">Cost per case</w:t>
            </w:r>
          </w:p>
        </w:tc>
        <w:tc>
          <w:tcPr>
            <w:tcW w:type="pct" w:w="950"/>
            <w:tcMar>
              <w:top w:type="dxa" w:w="50"/>
              <w:left w:type="dxa" w:w="110"/>
              <w:bottom w:type="dxa" w:w="50"/>
              <w:right w:type="dxa" w:w="110"/>
            </w:tcMar>
          </w:tcPr>
          <w:p>
            <w:pPr>
              <w:spacing w:before="28" w:after="28"/>
            </w:pPr>
            <w:r>
              <w:rPr>
                <w:sz w:val="15"/>
                <w:szCs w:val="15"/>
              </w:rPr>
              <w:t xml:space="preserve">$12.90</w:t>
            </w:r>
          </w:p>
        </w:tc>
        <w:tc>
          <w:tcPr>
            <w:tcW w:type="pct" w:w="999"/>
            <w:tcMar>
              <w:top w:type="dxa" w:w="50"/>
              <w:left w:type="dxa" w:w="110"/>
              <w:bottom w:type="dxa" w:w="50"/>
              <w:right w:type="dxa" w:w="110"/>
            </w:tcMar>
          </w:tcPr>
          <w:p>
            <w:pPr>
              <w:spacing w:before="28" w:after="28"/>
            </w:pPr>
            <w:r>
              <w:rPr>
                <w:sz w:val="15"/>
                <w:szCs w:val="15"/>
              </w:rPr>
              <w:t xml:space="preserve">$12.75</w:t>
            </w:r>
          </w:p>
        </w:tc>
        <w:tc>
          <w:tcPr>
            <w:tcW w:type="pct" w:w="1009"/>
            <w:tcMar>
              <w:top w:type="dxa" w:w="50"/>
              <w:left w:type="dxa" w:w="110"/>
              <w:bottom w:type="dxa" w:w="50"/>
              <w:right w:type="dxa" w:w="110"/>
            </w:tcMar>
          </w:tcPr>
          <w:p>
            <w:pPr>
              <w:spacing w:before="28" w:after="28"/>
            </w:pPr>
            <w:r>
              <w:rPr>
                <w:sz w:val="15"/>
                <w:szCs w:val="15"/>
              </w:rPr>
              <w:t xml:space="preserve">$12.60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950"/>
            <w:shd w:fill="FBFAF6" w:val="clear"/>
            <w:tcMar>
              <w:top w:type="dxa" w:w="50"/>
              <w:left w:type="dxa" w:w="110"/>
              <w:bottom w:type="dxa" w:w="50"/>
              <w:right w:type="dxa" w:w="110"/>
            </w:tcMar>
          </w:tcPr>
          <w:p>
            <w:pPr>
              <w:spacing w:before="28" w:after="28"/>
            </w:pPr>
            <w:r>
              <w:rPr>
                <w:sz w:val="15"/>
                <w:szCs w:val="15"/>
              </w:rPr>
              <w:t xml:space="preserve">0</w:t>
            </w:r>
          </w:p>
        </w:tc>
        <w:tc>
          <w:tcPr>
            <w:tcW w:type="pct" w:w="999"/>
            <w:shd w:fill="FBFAF6" w:val="clear"/>
            <w:tcMar>
              <w:top w:type="dxa" w:w="50"/>
              <w:left w:type="dxa" w:w="110"/>
              <w:bottom w:type="dxa" w:w="50"/>
              <w:right w:type="dxa" w:w="110"/>
            </w:tcMar>
          </w:tcPr>
          <w:p>
            <w:pPr>
              <w:spacing w:before="28" w:after="28"/>
            </w:pPr>
            <w:r>
              <w:rPr>
                <w:sz w:val="15"/>
                <w:szCs w:val="15"/>
              </w:rPr>
              <w:t xml:space="preserve">10,500</w:t>
            </w:r>
          </w:p>
        </w:tc>
        <w:tc>
          <w:tcPr>
            <w:tcW w:type="pct" w:w="1009"/>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in the job   ·   Overhead in product cost   ·   Cost moved to finished goods   ·   Actual cost not in product cost</w:t>
            </w:r>
          </w:p>
        </w:tc>
      </w:tr>
    </w:tbl>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Only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entry differs for normal costing, while standard costing also records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labor at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technique   ·   materials   ·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Direct Materials Variances</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Work-in-Process Inventory   ·   Raw Materials Inventory   ·   Wages Payable   ·   Manufacturing Overhead Control   ·   Service Department Charges   ·   normal costing   ·   Finished Goods Inventory   ·   Manufacturing Overhead Applied</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Standard is lowest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month used more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labor and machine time than the standard allows.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accounts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quantities   ·   variances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Expect one set of data and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costing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tcMar>
              <w:top w:type="dxa" w:w="50"/>
              <w:left w:type="dxa" w:w="110"/>
              <w:bottom w:type="dxa" w:w="50"/>
              <w:right w:type="dxa" w:w="110"/>
            </w:tcMar>
          </w:tcPr>
          <w:p>
            <w:pPr>
              <w:spacing w:before="28" w:after="28"/>
            </w:pPr>
            <w:r>
              <w:rPr>
                <w:sz w:val="15"/>
                <w:szCs w:val="15"/>
              </w:rPr>
              <w:t xml:space="preserve">DM 48,000; DL 18,000; 1,100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 manager's salary   ·   $30 per MH   ·   $6 per MH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Spread jar (400 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Private-label tub (5 kg)</w:t>
            </w:r>
          </w:p>
        </w:tc>
        <w:tc>
          <w:tcPr>
            <w:tcW w:type="pct" w:w="2400"/>
            <w:shd w:fill="FBFAF6" w:val="clear"/>
            <w:tcMar>
              <w:top w:type="dxa" w:w="50"/>
              <w:left w:type="dxa" w:w="110"/>
              <w:bottom w:type="dxa" w:w="50"/>
              <w:right w:type="dxa" w:w="110"/>
            </w:tcMar>
          </w:tcPr>
          <w:p>
            <w:pPr>
              <w:spacing w:before="28" w:after="28"/>
            </w:pPr>
            <w:r>
              <w:rPr>
                <w:sz w:val="15"/>
                <w:szCs w:val="15"/>
              </w:rPr>
              <w:t xml:space="preserve">0.20 × $6 = $1.20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0.03 × $6 = $0.18   ·   Direct labor on job T-0306</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costing   ·   Sesame   ·   Power for the grinders   ·   Factory insurance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$30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moved to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0.03 × $6 = $0.18</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 The last row shows the actual cost that did not enter product cost: nothing under actual costing, $10,500 of underapplied overhead under normal costing, and $21,000 of variances under standard costing.</w:t>
      </w:r>
    </w:p>
    <w:p>
      <w:pPr>
        <w:spacing w:before="20" w:after="20"/>
        <w:ind w:left="240" w:hanging="240"/>
      </w:pPr>
      <w:r>
        <w:rPr>
          <w:b/>
          <w:bCs/>
          <w:color w:val="353A7C"/>
          <w:sz w:val="15"/>
          <w:szCs w:val="15"/>
        </w:rPr>
        <w:t xml:space="preserve">Summary 2   </w:t>
      </w:r>
      <w:r>
        <w:rPr>
          <w:color w:val="6B7280"/>
          <w:sz w:val="15"/>
          <w:szCs w:val="15"/>
        </w:rPr>
        <w:t xml:space="preserve">Only the overhead entry differs for normal costing, while standard costing also records materials and labor at standard.</w:t>
      </w:r>
    </w:p>
    <w:p>
      <w:pPr>
        <w:spacing w:before="20" w:after="20"/>
        <w:ind w:left="240" w:hanging="240"/>
      </w:pPr>
      <w:r>
        <w:rPr>
          <w:b/>
          <w:bCs/>
          <w:color w:val="353A7C"/>
          <w:sz w:val="15"/>
          <w:szCs w:val="15"/>
        </w:rPr>
        <w:t xml:space="preserve">Summary 3   </w:t>
      </w:r>
      <w:r>
        <w:rPr>
          <w:color w:val="6B7280"/>
          <w:sz w:val="15"/>
          <w:szCs w:val="15"/>
        </w:rPr>
        <w:t xml:space="preserve">Standard is lowest because the month used more materials, labor and machine time than the standard allows.</w:t>
      </w:r>
    </w:p>
    <w:p>
      <w:pPr>
        <w:spacing w:before="20" w:after="20"/>
        <w:ind w:left="240" w:hanging="240"/>
      </w:pPr>
      <w:r>
        <w:rPr>
          <w:b/>
          <w:bCs/>
          <w:color w:val="353A7C"/>
          <w:sz w:val="15"/>
          <w:szCs w:val="15"/>
        </w:rPr>
        <w:t xml:space="preserve">Summary 4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5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3256a596b69d646d2864053d542ae946296f912.png" Type="http://schemas.openxmlformats.org/officeDocument/2006/relationships/image"/><Relationship Id="rId102" Target="media/c902f02d441ad3d7d9eb422aedcbf8726cdac70f.png" Type="http://schemas.openxmlformats.org/officeDocument/2006/relationships/image"/><Relationship Id="rId103" Target="media/16b5d9ee9445eab1510a45492a358971e45a0bd5.png" Type="http://schemas.openxmlformats.org/officeDocument/2006/relationships/image"/><Relationship Id="rId104" Target="media/d148fc00f1b5332b65913294384049e764e22ec5.png" Type="http://schemas.openxmlformats.org/officeDocument/2006/relationships/image"/><Relationship Id="rId105" Target="media/6a02d5987feaab6317c9be15b3a655ad53321c27.png" Type="http://schemas.openxmlformats.org/officeDocument/2006/relationships/image"/><Relationship Id="rId106" Target="media/c53953f163d5f0b14838b6ffa4e71ecc5093c96f.png" Type="http://schemas.openxmlformats.org/officeDocument/2006/relationships/image"/><Relationship Id="rId107" Target="media/afb9c220509c58b3ce38835854611044afd3413a.png" Type="http://schemas.openxmlformats.org/officeDocument/2006/relationships/image"/><Relationship Id="rId108" Target="media/a51b5b29bf8fa05daa2b9ffe63ccb6ed1259c824.png" Type="http://schemas.openxmlformats.org/officeDocument/2006/relationships/image"/><Relationship Id="rId109" Target="media/e3e981b0601816a526689aa51048c1e409bfbaa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5</dc:title>
  <dc:subject>Summary handouts</dc:subject>
  <cp:category>Student Book</cp:category>
</cp:coreProperties>
</file>