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Why allocate service department costs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reciprocal method   ·   Why allocate service department costs   ·   Extended Example 10A: Orontes allocates 2027 s   ·   Choosing allocation bases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A service department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other departments but does not make products: at Orontes these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the Quality Lab and HR.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department works on the products: the Oils, Tahini &amp; Spreads and Beverages divisions. </w:t>
      </w:r>
      <w:r>
        <w:rPr>
          <w:sz w:val="19"/>
          <w:szCs w:val="19"/>
        </w:rPr>
        <w:t xml:space="preserve">Service costs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three reasons. </w:t>
      </w:r>
      <w:r>
        <w:rPr>
          <w:sz w:val="19"/>
          <w:szCs w:val="19"/>
        </w:rPr>
        <w:t xml:space="preserve">Products must carry their full cost for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pricing. </w:t>
      </w:r>
      <w:r>
        <w:rPr>
          <w:sz w:val="19"/>
          <w:szCs w:val="19"/>
        </w:rPr>
        <w:t xml:space="preserve">Users become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when a service has a price. </w:t>
      </w:r>
      <w:r>
        <w:rPr>
          <w:sz w:val="19"/>
          <w:szCs w:val="19"/>
        </w:rPr>
        <w:t xml:space="preserve">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can compare an internal service with an outside supplier. </w:t>
      </w:r>
      <w:r>
        <w:rPr>
          <w:sz w:val="19"/>
          <w:szCs w:val="19"/>
        </w:rPr>
        <w:t xml:space="preserve">Service departments also serve each 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careful   ·   production   ·   managers   ·   Beverages   ·   allocated   ·   inventory   ·   Maintenance   ·   supports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service department</w:t>
            </w:r>
          </w:p>
        </w:tc>
        <w:tc>
          <w:tcPr>
            <w:tcW w:type="pct" w:w="2400"/>
            <w:tcMar>
              <w:top w:type="dxa" w:w="50"/>
              <w:left w:type="dxa" w:w="110"/>
              <w:bottom w:type="dxa" w:w="50"/>
              <w:right w:type="dxa" w:w="110"/>
            </w:tcMar>
          </w:tcPr>
          <w:p>
            <w:pPr>
              <w:spacing w:before="26" w:after="26"/>
            </w:pPr>
            <w:r>
              <w:rPr>
                <w:color w:val="232733"/>
                <w:sz w:val="16"/>
                <w:szCs w:val="16"/>
              </w:rPr>
              <w:t xml:space="preserve">مركز الخدمات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 department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الإنتاج</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Why allocate service department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Choosing allocation bases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reciprocal method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allocated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Orontes allocates 2027 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supports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careful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service department supports other departments but does not make products: at Orontes these are Maintenance, IT, the Quality Lab and HR. A production department works on the products: the Oils, Tahini &amp; Spreads and Beverages divisions. Service costs are allocated for three reasons. Products must carry their full cost for inventory and pricing. Users become careful when a service has a price. And managers can compare an internal service with an outside supplier. Service departments also serve each other.</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Choosing allocation bases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base should follow cause and effect: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makes the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spend money. </w:t>
      </w:r>
      <w:r>
        <w:rPr>
          <w:sz w:val="19"/>
          <w:szCs w:val="19"/>
        </w:rPr>
        <w:t xml:space="preserve">Maintenance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 maintenance hours, the Quality Lab on test hours and HR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Where no causal base exists, managers use benefit received or ability to bear, but these are weaker.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allocated   ·   department   ·   headcount   ·   divisions   ·   activity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23"/>
        <w:gridCol w:w="3788"/>
        <w:gridCol w:w="39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Allocation bases for the four service departments</w:t>
            </w:r>
          </w:p>
        </w:tc>
      </w:tr>
      <w:tr>
        <w:tc>
          <w:tcPr>
            <w:tcW w:type="pct" w:w="950"/>
            <w:shd w:fill="353A7C" w:val="clear"/>
            <w:tcMar>
              <w:top w:type="dxa" w:w="50"/>
              <w:left w:type="dxa" w:w="110"/>
              <w:bottom w:type="dxa" w:w="50"/>
              <w:right w:type="dxa" w:w="110"/>
            </w:tcMar>
          </w:tcPr>
          <w:p>
            <w:pPr>
              <w:spacing w:before="30" w:after="30"/>
            </w:pPr>
            <w:r>
              <w:rPr>
                <w:b/>
                <w:bCs/>
                <w:color w:val="FFFFFF"/>
                <w:sz w:val="15"/>
                <w:szCs w:val="15"/>
              </w:rPr>
              <w:t xml:space="preserve">Service department</w:t>
            </w:r>
          </w:p>
        </w:tc>
        <w:tc>
          <w:tcPr>
            <w:tcW w:type="pct" w:w="1973"/>
            <w:shd w:fill="353A7C" w:val="clear"/>
            <w:tcMar>
              <w:top w:type="dxa" w:w="50"/>
              <w:left w:type="dxa" w:w="110"/>
              <w:bottom w:type="dxa" w:w="50"/>
              <w:right w:type="dxa" w:w="110"/>
            </w:tcMar>
          </w:tcPr>
          <w:p>
            <w:pPr>
              <w:spacing w:before="30" w:after="30"/>
            </w:pPr>
            <w:r>
              <w:rPr>
                <w:b/>
                <w:bCs/>
                <w:color w:val="FFFFFF"/>
                <w:sz w:val="15"/>
                <w:szCs w:val="15"/>
              </w:rPr>
              <w:t xml:space="preserve">Allocation base</w:t>
            </w:r>
          </w:p>
        </w:tc>
        <w:tc>
          <w:tcPr>
            <w:tcW w:type="pct" w:w="2077"/>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950"/>
            <w:tcMar>
              <w:top w:type="dxa" w:w="50"/>
              <w:left w:type="dxa" w:w="110"/>
              <w:bottom w:type="dxa" w:w="50"/>
              <w:right w:type="dxa" w:w="110"/>
            </w:tcMar>
          </w:tcPr>
          <w:p>
            <w:pPr>
              <w:spacing w:before="28" w:after="28"/>
            </w:pPr>
            <w:r>
              <w:rPr>
                <w:sz w:val="15"/>
                <w:szCs w:val="15"/>
              </w:rPr>
              <w:t xml:space="preserve">Maintenance</w:t>
            </w:r>
          </w:p>
        </w:tc>
        <w:tc>
          <w:tcPr>
            <w:tcW w:type="pct" w:w="1973"/>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77"/>
            <w:tcMar>
              <w:top w:type="dxa" w:w="50"/>
              <w:left w:type="dxa" w:w="110"/>
              <w:bottom w:type="dxa" w:w="50"/>
              <w:right w:type="dxa" w:w="110"/>
            </w:tcMar>
          </w:tcPr>
          <w:p>
            <w:pPr>
              <w:spacing w:before="28" w:after="28"/>
            </w:pPr>
            <w:r>
              <w:rPr>
                <w:sz w:val="15"/>
                <w:szCs w:val="15"/>
              </w:rPr>
              <w:t xml:space="preserve">Hours of work cause the cost</w:t>
            </w:r>
          </w:p>
        </w:tc>
      </w:tr>
      <w:tr>
        <w:tc>
          <w:tcPr>
            <w:tcW w:type="pct" w:w="950"/>
            <w:shd w:fill="FBFAF6" w:val="clear"/>
            <w:tcMar>
              <w:top w:type="dxa" w:w="50"/>
              <w:left w:type="dxa" w:w="110"/>
              <w:bottom w:type="dxa" w:w="50"/>
              <w:right w:type="dxa" w:w="110"/>
            </w:tcMar>
          </w:tcPr>
          <w:p>
            <w:pPr>
              <w:spacing w:before="28" w:after="28"/>
            </w:pPr>
            <w:r>
              <w:rPr>
                <w:sz w:val="15"/>
                <w:szCs w:val="15"/>
              </w:rPr>
              <w:t xml:space="preserve">IT</w:t>
            </w:r>
          </w:p>
        </w:tc>
        <w:tc>
          <w:tcPr>
            <w:tcW w:type="pct" w:w="1973"/>
            <w:shd w:fill="FBFAF6" w:val="clear"/>
            <w:tcMar>
              <w:top w:type="dxa" w:w="50"/>
              <w:left w:type="dxa" w:w="110"/>
              <w:bottom w:type="dxa" w:w="50"/>
              <w:right w:type="dxa" w:w="110"/>
            </w:tcMar>
          </w:tcPr>
          <w:p>
            <w:pPr>
              <w:spacing w:before="28" w:after="28"/>
            </w:pPr>
            <w:r>
              <w:rPr>
                <w:sz w:val="15"/>
                <w:szCs w:val="15"/>
              </w:rPr>
              <w:t xml:space="preserve">Share of systems use</w:t>
            </w:r>
          </w:p>
        </w:tc>
        <w:tc>
          <w:tcPr>
            <w:tcW w:type="pct" w:w="2077"/>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950"/>
            <w:tcMar>
              <w:top w:type="dxa" w:w="50"/>
              <w:left w:type="dxa" w:w="110"/>
              <w:bottom w:type="dxa" w:w="50"/>
              <w:right w:type="dxa" w:w="110"/>
            </w:tcMar>
          </w:tcPr>
          <w:p>
            <w:pPr>
              <w:spacing w:before="28" w:after="28"/>
            </w:pPr>
            <w:r>
              <w:rPr>
                <w:sz w:val="15"/>
                <w:szCs w:val="15"/>
              </w:rPr>
              <w:t xml:space="preserve">Quality Lab</w:t>
            </w:r>
          </w:p>
        </w:tc>
        <w:tc>
          <w:tcPr>
            <w:tcW w:type="pct" w:w="1973"/>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77"/>
            <w:tcMar>
              <w:top w:type="dxa" w:w="50"/>
              <w:left w:type="dxa" w:w="110"/>
              <w:bottom w:type="dxa" w:w="50"/>
              <w:right w:type="dxa" w:w="110"/>
            </w:tcMar>
          </w:tcPr>
          <w:p>
            <w:pPr>
              <w:spacing w:before="28" w:after="28"/>
            </w:pPr>
            <w:r>
              <w:rPr>
                <w:sz w:val="15"/>
                <w:szCs w:val="15"/>
              </w:rPr>
              <w:t xml:space="preserve">Each test uses lab time</w:t>
            </w:r>
          </w:p>
        </w:tc>
      </w:tr>
      <w:tr>
        <w:tc>
          <w:tcPr>
            <w:tcW w:type="pct" w:w="950"/>
            <w:shd w:fill="FBFAF6" w:val="clear"/>
            <w:tcMar>
              <w:top w:type="dxa" w:w="50"/>
              <w:left w:type="dxa" w:w="110"/>
              <w:bottom w:type="dxa" w:w="50"/>
              <w:right w:type="dxa" w:w="110"/>
            </w:tcMar>
          </w:tcPr>
          <w:p>
            <w:pPr>
              <w:spacing w:before="28" w:after="28"/>
            </w:pPr>
            <w:r>
              <w:rPr>
                <w:sz w:val="15"/>
                <w:szCs w:val="15"/>
              </w:rPr>
              <w:t xml:space="preserve">HR</w:t>
            </w:r>
          </w:p>
        </w:tc>
        <w:tc>
          <w:tcPr>
            <w:tcW w:type="pct" w:w="1973"/>
            <w:shd w:fill="FBFAF6" w:val="clear"/>
            <w:tcMar>
              <w:top w:type="dxa" w:w="50"/>
              <w:left w:type="dxa" w:w="110"/>
              <w:bottom w:type="dxa" w:w="50"/>
              <w:right w:type="dxa" w:w="110"/>
            </w:tcMar>
          </w:tcPr>
          <w:p>
            <w:pPr>
              <w:spacing w:before="28" w:after="28"/>
            </w:pPr>
            <w:r>
              <w:rPr>
                <w:sz w:val="15"/>
                <w:szCs w:val="15"/>
              </w:rPr>
              <w:t xml:space="preserve">Headcount at $200 a person</w:t>
            </w:r>
          </w:p>
        </w:tc>
        <w:tc>
          <w:tcPr>
            <w:tcW w:type="pct" w:w="2077"/>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maintenance hours (long-run plan)   ·   Hours of work cause the cost   ·   Test hours at $40 an hour   ·   Users, devices and tickets drive the cost   ·   Hiring, payroll and training follow people</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Quality Lab and HR serve only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their costs go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them: $400,000 at $40 a test hour and $312,000 at $200 a person. </w:t>
      </w:r>
      <w:r>
        <w:rPr>
          <w:sz w:val="19"/>
          <w:szCs w:val="19"/>
        </w:rPr>
        <w:t xml:space="preserve">The methods below deal with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IT, which serve each 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Maintenance   ·   Quality   ·   straight</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Choosing allocation bases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Test hours at $40 an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Hiring, payroll and training follow people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headcount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Share of maintenance hours (long-run plan)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Users, devices and tickets drive the cost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base should follow cause and effect: the activity that makes the service department spend money. Maintenance is allocated on maintenance hours, the Quality Lab on test hours and HR on headcount. Where no causal base exists, managers use benefit received or ability to bear, but these are weaker.</w:t>
      </w:r>
    </w:p>
    <w:p>
      <w:pPr>
        <w:spacing w:before="20" w:after="20"/>
        <w:ind w:left="240" w:hanging="240"/>
      </w:pPr>
      <w:r>
        <w:rPr>
          <w:b/>
          <w:bCs/>
          <w:color w:val="353A7C"/>
          <w:sz w:val="15"/>
          <w:szCs w:val="15"/>
        </w:rPr>
        <w:t xml:space="preserve">Summary 2   </w:t>
      </w:r>
      <w:r>
        <w:rPr>
          <w:color w:val="6B7280"/>
          <w:sz w:val="15"/>
          <w:szCs w:val="15"/>
        </w:rPr>
        <w:t xml:space="preserve">Quality Lab and HR serve only the divisions, so their costs go straight to them: $400,000 at $40 a test hour and $312,000 at $200 a person. The methods below deal with Maintenance and IT, which serve each other.</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The direct method</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ignores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service departments give each other. </w:t>
      </w:r>
      <w:r>
        <w:rPr>
          <w:sz w:val="19"/>
          <w:szCs w:val="19"/>
        </w:rPr>
        <w:t xml:space="preserve">Each service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is shared among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departments only, in proportion to their use. </w:t>
      </w:r>
      <w:r>
        <w:rPr>
          <w:sz w:val="19"/>
          <w:szCs w:val="19"/>
        </w:rPr>
        <w:t xml:space="preserve">It is simple and common, but it is least accurate when service departments serve each other a lot.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direct   ·   services   ·   original   ·   department's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direct method</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Maintenance's shares to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50, 20 and 10, a total of 80, so Oils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50/80 of $880,000.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divisions   ·   unallocated</w:t>
            </w:r>
          </w:p>
        </w:tc>
      </w:tr>
    </w:tbl>
    <w:p/>
    <w:p>
      <w:pPr>
        <w:spacing w:before="44" w:after="10"/>
      </w:pPr>
      <w:r>
        <w:rPr>
          <w:b/>
          <w:bCs/>
          <w:color w:val="353A7C"/>
          <w:sz w:val="18"/>
          <w:szCs w:val="18"/>
        </w:rPr>
        <w:t xml:space="preserve">Worked example: the direct method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rate   ·   Beverages</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The shares are rescaled to the production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only. </w:t>
      </w:r>
      <w:r>
        <w:rPr>
          <w:sz w:val="19"/>
          <w:szCs w:val="19"/>
        </w:rPr>
        <w:t xml:space="preserve">Using the original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would leave part of the cost unallocated.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rescaled   ·   departments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6"/>
        <w:gridCol w:w="49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5"/>
            <w:tcMar>
              <w:top w:type="dxa" w:w="50"/>
              <w:left w:type="dxa" w:w="110"/>
              <w:bottom w:type="dxa" w:w="50"/>
              <w:right w:type="dxa" w:w="110"/>
            </w:tcMar>
          </w:tcPr>
          <w:p>
            <w:pPr>
              <w:spacing w:before="26" w:after="26"/>
            </w:pPr>
            <w:r>
              <w:rPr>
                <w:color w:val="232733"/>
                <w:sz w:val="16"/>
                <w:szCs w:val="16"/>
              </w:rPr>
              <w:t xml:space="preserve">direct method</w:t>
            </w:r>
          </w:p>
        </w:tc>
        <w:tc>
          <w:tcPr>
            <w:tcW w:type="pct" w:w="2585"/>
            <w:tcMar>
              <w:top w:type="dxa" w:w="50"/>
              <w:left w:type="dxa" w:w="110"/>
              <w:bottom w:type="dxa" w:w="50"/>
              <w:right w:type="dxa" w:w="110"/>
            </w:tcMar>
          </w:tcPr>
          <w:p>
            <w:pPr>
              <w:spacing w:before="26" w:after="26"/>
            </w:pPr>
            <w:r>
              <w:rPr>
                <w:color w:val="232733"/>
                <w:sz w:val="16"/>
                <w:szCs w:val="16"/>
              </w:rPr>
              <w:t xml:space="preserve">الطريقة المباشرة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The direct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services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departments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percentages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direct method ignores the services that service departments give each other. Each service department's cost is shared among the production departments only, in proportion to their use. It is simple and common, but it is least accurate when service departments serve each other a lot.</w:t>
      </w:r>
    </w:p>
    <w:p>
      <w:pPr>
        <w:spacing w:before="20" w:after="20"/>
        <w:ind w:left="240" w:hanging="240"/>
      </w:pPr>
      <w:r>
        <w:rPr>
          <w:b/>
          <w:bCs/>
          <w:color w:val="353A7C"/>
          <w:sz w:val="15"/>
          <w:szCs w:val="15"/>
        </w:rPr>
        <w:t xml:space="preserve">Summary 2   </w:t>
      </w:r>
      <w:r>
        <w:rPr>
          <w:color w:val="6B7280"/>
          <w:sz w:val="15"/>
          <w:szCs w:val="15"/>
        </w:rPr>
        <w:t xml:space="preserve">Maintenance's shares to the divisions are 50, 20 and 10, a total of 80, so Oils receives 50/80 of $880,000.</w:t>
      </w:r>
    </w:p>
    <w:p>
      <w:pPr>
        <w:spacing w:before="20" w:after="20"/>
        <w:ind w:left="240" w:hanging="240"/>
      </w:pPr>
      <w:r>
        <w:rPr>
          <w:b/>
          <w:bCs/>
          <w:color w:val="353A7C"/>
          <w:sz w:val="15"/>
          <w:szCs w:val="15"/>
        </w:rPr>
        <w:t xml:space="preserve">Summary 3   </w:t>
      </w:r>
      <w:r>
        <w:rPr>
          <w:color w:val="6B7280"/>
          <w:sz w:val="15"/>
          <w:szCs w:val="15"/>
        </w:rPr>
        <w:t xml:space="preserve">The shares are rescaled to the production departments only. Using the original percentages would leave part of the cost unallocated.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The step-down method</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step-down method recognizes some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w:t>
      </w:r>
      <w:r>
        <w:rPr>
          <w:sz w:val="19"/>
          <w:szCs w:val="19"/>
        </w:rPr>
        <w:t xml:space="preserve">Service departments are allocated one at a time. </w:t>
      </w:r>
      <w:r>
        <w:rPr>
          <w:sz w:val="19"/>
          <w:szCs w:val="19"/>
        </w:rPr>
        <w:t xml:space="preserve">A department that has been allocated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nothing back. </w:t>
      </w:r>
      <w:r>
        <w:rPr>
          <w:sz w:val="19"/>
          <w:szCs w:val="19"/>
        </w:rPr>
        <w:t xml:space="preserve">Start with the department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other service departments the most. </w:t>
      </w:r>
      <w:r>
        <w:rPr>
          <w:sz w:val="19"/>
          <w:szCs w:val="19"/>
        </w:rPr>
        <w:t xml:space="preserve">Orontes starts with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$176,000 goes to IT, so IT's pool becomes $576,000. </w:t>
      </w:r>
      <w:r>
        <w:rPr>
          <w:sz w:val="19"/>
          <w:szCs w:val="19"/>
        </w:rPr>
        <w:t xml:space="preserve">IT is then shared among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only.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receives   ·   serves   ·   service-to-service   ·   Maintenance   ·   Orontes's   ·   divisions</w:t>
            </w:r>
          </w:p>
        </w:tc>
      </w:tr>
    </w:tbl>
    <w:p/>
    <w:p>
      <w:pPr>
        <w:spacing w:before="44" w:after="10"/>
      </w:pPr>
      <w:r>
        <w:rPr>
          <w:b/>
          <w:bCs/>
          <w:color w:val="353A7C"/>
          <w:sz w:val="18"/>
          <w:szCs w:val="18"/>
        </w:rPr>
        <w:t xml:space="preserve">The step-down method: Maintenance first, then IT</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(first receives from Maintenance)   ·   Oils   ·   direct method</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Step-down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policy method. </w:t>
      </w:r>
      <w:r>
        <w:rPr>
          <w:sz w:val="19"/>
          <w:szCs w:val="19"/>
        </w:rPr>
        <w:t xml:space="preserve">It is more accurate than the direct method, but the order matters and the link from IT back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still ignored.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allocates   ·   Maintenance   ·   Orontes's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Use the new pool</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The second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allocates its own cost plus what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step 1: $576,000, not $400,000.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   ·   received   ·   step-down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step-down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التنازلي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The step-down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service-to-service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Oils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serves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IT (first receives from Maintenance)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step-down method recognizes some service-to-service links. Service departments are allocated one at a time. A department that has been allocated receives nothing back. Start with the department that serves other service departments the most. Orontes starts with Maintenance: $176,000 goes to IT, so IT's pool becomes $576,000. IT is then shared among the divisions only.</w:t>
      </w:r>
    </w:p>
    <w:p>
      <w:pPr>
        <w:spacing w:before="20" w:after="20"/>
        <w:ind w:left="240" w:hanging="240"/>
      </w:pPr>
      <w:r>
        <w:rPr>
          <w:b/>
          <w:bCs/>
          <w:color w:val="353A7C"/>
          <w:sz w:val="15"/>
          <w:szCs w:val="15"/>
        </w:rPr>
        <w:t xml:space="preserve">Summary 2   </w:t>
      </w:r>
      <w:r>
        <w:rPr>
          <w:color w:val="6B7280"/>
          <w:sz w:val="15"/>
          <w:szCs w:val="15"/>
        </w:rPr>
        <w:t xml:space="preserve">Step-down is Orontes's policy method. It is more accurate than the direct method, but the order matters and the link from IT back to Maintenance is still ignored.</w:t>
      </w:r>
    </w:p>
    <w:p>
      <w:pPr>
        <w:spacing w:before="20" w:after="20"/>
        <w:ind w:left="240" w:hanging="240"/>
      </w:pPr>
      <w:r>
        <w:rPr>
          <w:b/>
          <w:bCs/>
          <w:color w:val="353A7C"/>
          <w:sz w:val="15"/>
          <w:szCs w:val="15"/>
        </w:rPr>
        <w:t xml:space="preserve">Summary 3   </w:t>
      </w:r>
      <w:r>
        <w:rPr>
          <w:color w:val="6B7280"/>
          <w:sz w:val="15"/>
          <w:szCs w:val="15"/>
        </w:rPr>
        <w:t xml:space="preserve">The second department allocates its own cost plus what it received in step 1: $576,000, not $400,000.</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The reciprocal method</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reciprocal method recognizes all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links. </w:t>
      </w:r>
      <w:r>
        <w:rPr>
          <w:sz w:val="19"/>
          <w:szCs w:val="19"/>
        </w:rPr>
        <w:t xml:space="preserve">Write one equation for each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its total cost is its own cost plus its share of the other's total. </w:t>
      </w:r>
      <w:r>
        <w:rPr>
          <w:sz w:val="19"/>
          <w:szCs w:val="19"/>
        </w:rPr>
        <w:t xml:space="preserve">Solving the two equations gives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total of $1,000,000 and IT $600,000. </w:t>
      </w:r>
      <w:r>
        <w:rPr>
          <w:sz w:val="19"/>
          <w:szCs w:val="19"/>
        </w:rPr>
        <w:t xml:space="preserve">These totals are larger than the original costs because they include the services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Each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then takes its share of both totals.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service-to-service   ·   exchanged   ·   original   ·   division   ·   Maintenance   ·   department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reciprocal method: equations and allocation</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Reciprocal method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Result</w:t>
            </w:r>
          </w:p>
        </w:tc>
      </w:tr>
      <w:tr>
        <w:tc>
          <w:tcPr>
            <w:tcW w:type="pct" w:w="2600"/>
            <w:tcMar>
              <w:top w:type="dxa" w:w="50"/>
              <w:left w:type="dxa" w:w="110"/>
              <w:bottom w:type="dxa" w:w="50"/>
              <w:right w:type="dxa" w:w="110"/>
            </w:tcMar>
          </w:tcPr>
          <w:p>
            <w:pPr>
              <w:spacing w:before="28" w:after="28"/>
            </w:pPr>
            <w:r>
              <w:rPr>
                <w:sz w:val="15"/>
                <w:szCs w:val="15"/>
              </w:rPr>
              <w:t xml:space="preserve">Maintenance equation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IT equation</w:t>
            </w:r>
          </w:p>
        </w:tc>
        <w:tc>
          <w:tcPr>
            <w:tcW w:type="pct" w:w="2400"/>
            <w:shd w:fill="FBFAF6" w:val="clear"/>
            <w:tcMar>
              <w:top w:type="dxa" w:w="50"/>
              <w:left w:type="dxa" w:w="110"/>
              <w:bottom w:type="dxa" w:w="50"/>
              <w:right w:type="dxa" w:w="110"/>
            </w:tcMar>
          </w:tcPr>
          <w:p>
            <w:pPr>
              <w:spacing w:before="28" w:after="28"/>
            </w:pPr>
            <w:r>
              <w:rPr>
                <w:sz w:val="15"/>
                <w:szCs w:val="15"/>
              </w:rPr>
              <w:t xml:space="preserve">I = 400,000 + 0.20 M</w:t>
            </w:r>
          </w:p>
        </w:tc>
      </w:tr>
      <w:tr>
        <w:tc>
          <w:tcPr>
            <w:tcW w:type="pct" w:w="2600"/>
            <w:tcMar>
              <w:top w:type="dxa" w:w="50"/>
              <w:left w:type="dxa" w:w="110"/>
              <w:bottom w:type="dxa" w:w="50"/>
              <w:right w:type="dxa" w:w="110"/>
            </w:tcMar>
          </w:tcPr>
          <w:p>
            <w:pPr>
              <w:spacing w:before="28" w:after="28"/>
            </w:pPr>
            <w:r>
              <w:rPr>
                <w:sz w:val="15"/>
                <w:szCs w:val="15"/>
              </w:rPr>
              <w:t xml:space="preserve">Substitute and solve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Oils: 50% of M + 20% of I</w:t>
            </w:r>
          </w:p>
        </w:tc>
        <w:tc>
          <w:tcPr>
            <w:tcW w:type="pct" w:w="2400"/>
            <w:shd w:fill="FBFAF6" w:val="clear"/>
            <w:tcMar>
              <w:top w:type="dxa" w:w="50"/>
              <w:left w:type="dxa" w:w="110"/>
              <w:bottom w:type="dxa" w:w="50"/>
              <w:right w:type="dxa" w:w="110"/>
            </w:tcMar>
          </w:tcPr>
          <w:p>
            <w:pPr>
              <w:spacing w:before="28" w:after="28"/>
            </w:pPr>
            <w:r>
              <w:rPr>
                <w:sz w:val="15"/>
                <w:szCs w:val="15"/>
              </w:rPr>
              <w:t xml:space="preserve">620,000</w:t>
            </w:r>
          </w:p>
        </w:tc>
      </w:tr>
      <w:tr>
        <w:tc>
          <w:tcPr>
            <w:tcW w:type="pct" w:w="2600"/>
            <w:tcMar>
              <w:top w:type="dxa" w:w="50"/>
              <w:left w:type="dxa" w:w="110"/>
              <w:bottom w:type="dxa" w:w="50"/>
              <w:right w:type="dxa" w:w="110"/>
            </w:tcMar>
          </w:tcPr>
          <w:p>
            <w:pPr>
              <w:spacing w:before="28" w:after="28"/>
            </w:pPr>
            <w:r>
              <w:rPr>
                <w:sz w:val="15"/>
                <w:szCs w:val="15"/>
              </w:rPr>
              <w:t xml:space="preserve">Tahini &amp; Spreads: 20% of M + 40% of I</w:t>
            </w:r>
          </w:p>
        </w:tc>
        <w:tc>
          <w:tcPr>
            <w:tcW w:type="pct" w:w="2400"/>
            <w:tcMar>
              <w:top w:type="dxa" w:w="50"/>
              <w:left w:type="dxa" w:w="110"/>
              <w:bottom w:type="dxa" w:w="50"/>
              <w:right w:type="dxa" w:w="110"/>
            </w:tcMar>
          </w:tcPr>
          <w:p>
            <w:pPr>
              <w:spacing w:before="28" w:after="28"/>
            </w:pPr>
            <w:r>
              <w:rPr>
                <w:sz w:val="15"/>
                <w:szCs w:val="15"/>
              </w:rPr>
              <w:t xml:space="preserve">440,000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Beverages: 10% of M + 20% of I</w:t>
            </w:r>
          </w:p>
        </w:tc>
        <w:tc>
          <w:tcPr>
            <w:tcW w:type="pct" w:w="2400"/>
            <w:shd w:fill="FBFAF6" w:val="clear"/>
            <w:tcMar>
              <w:top w:type="dxa" w:w="50"/>
              <w:left w:type="dxa" w:w="110"/>
              <w:bottom w:type="dxa" w:w="50"/>
              <w:right w:type="dxa" w:w="110"/>
            </w:tcMar>
          </w:tcPr>
          <w:p>
            <w:pPr>
              <w:spacing w:before="28" w:after="28"/>
            </w:pPr>
            <w:r>
              <w:rPr>
                <w:sz w:val="15"/>
                <w:szCs w:val="15"/>
              </w:rPr>
              <w:t xml:space="preserve">220,000</w:t>
            </w:r>
          </w:p>
        </w:tc>
      </w:tr>
      <w:tr>
        <w:tc>
          <w:tcPr>
            <w:tcW w:type="pct" w:w="2600"/>
            <w:tcMar>
              <w:top w:type="dxa" w:w="50"/>
              <w:left w:type="dxa" w:w="110"/>
              <w:bottom w:type="dxa" w:w="50"/>
              <w:right w:type="dxa" w:w="110"/>
            </w:tcMar>
          </w:tcPr>
          <w:p>
            <w:pPr>
              <w:spacing w:before="28" w:after="28"/>
            </w:pPr>
            <w:r>
              <w:rPr>
                <w:sz w:val="15"/>
                <w:szCs w:val="15"/>
              </w:rPr>
              <w:t xml:space="preserve">Total to divisions</w:t>
            </w:r>
          </w:p>
        </w:tc>
        <w:tc>
          <w:tcPr>
            <w:tcW w:type="pct" w:w="2400"/>
            <w:tcMar>
              <w:top w:type="dxa" w:w="50"/>
              <w:left w:type="dxa" w:w="110"/>
              <w:bottom w:type="dxa" w:w="50"/>
              <w:right w:type="dxa" w:w="110"/>
            </w:tcMar>
          </w:tcPr>
          <w:p>
            <w:pPr>
              <w:spacing w:before="28" w:after="28"/>
            </w:pPr>
            <w:r>
              <w:rPr>
                <w:sz w:val="15"/>
                <w:szCs w:val="15"/>
              </w:rPr>
              <w:t xml:space="preserve">1,280,000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 = 400,000 + 0.20 M   ·   M = 880,000 + 0.20 I   ·   M = 1,000,000; I = 600,000</w:t>
            </w:r>
          </w:p>
        </w:tc>
      </w:tr>
    </w:tbl>
    <w:p/>
    <w:p>
      <w:pPr>
        <w:spacing w:before="20" w:after="20" w:line="360" w:lineRule="auto"/>
        <w:ind w:left="200"/>
      </w:pPr>
      <w:r>
        <w:rPr>
          <w:sz w:val="19"/>
          <w:szCs w:val="19"/>
        </w:rPr>
        <w:t xml:space="preserve">It is the most accurate method but needs algebra, or matrix methods for many departments.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reciprocal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التبادلي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The reciprocal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service-to-service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 = 880,000 + 0.20 I</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 = 1,000,000; I = 600,000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exchanged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reciprocal method recognizes all service-to-service links. Write one equation for each service department: its total cost is its own cost plus its share of the other's total. Solving the two equations gives Maintenance a total of $1,000,000 and IT $600,000. These totals are larger than the original costs because they include the services exchanged. Each division then takes its share of both totals.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Single, dual and budgeted rates</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charges one rate per hour for fixed and variable service costs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When users need fewer hours than planned, the fixed cost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over fewer hours, and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change moves cost to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method charges variable cost on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use and fixed cost on the capacity each user planned for. </w:t>
      </w:r>
      <w:r>
        <w:rPr>
          <w:sz w:val="19"/>
          <w:szCs w:val="19"/>
        </w:rPr>
        <w:t xml:space="preserve">Orontes charges Maintenance at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rate of $40 per hour plus fixed shares of $560,000, so users do not pay for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overspending. </w:t>
      </w:r>
      <w:r>
        <w:rPr>
          <w:sz w:val="19"/>
          <w:szCs w:val="19"/>
        </w:rPr>
        <w:t xml:space="preserve">The dual rate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$860,000 and left only the $12,000 spending difference in Maintenance. </w:t>
      </w:r>
      <w:r>
        <w:rPr>
          <w:sz w:val="19"/>
          <w:szCs w:val="19"/>
        </w:rPr>
        <w:t xml:space="preserve">The single rate left $47,000, which mixes that spending difference with $35,000 of idle capacity.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others   ·   single-rate   ·   user's   ·   charged   ·   difference   ·   spread   ·   together   ·   dual-rate   ·   Maintenance's   ·   budgeted   ·   actual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14"/>
        <w:gridCol w:w="2162"/>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Maintenance charges: dual rate compared with single rate</w:t>
            </w:r>
          </w:p>
        </w:tc>
      </w:tr>
      <w:tr>
        <w:tc>
          <w:tcPr>
            <w:tcW w:type="pct" w:w="1674"/>
            <w:shd w:fill="353A7C" w:val="clear"/>
            <w:tcMar>
              <w:top w:type="dxa" w:w="50"/>
              <w:left w:type="dxa" w:w="110"/>
              <w:bottom w:type="dxa" w:w="50"/>
              <w:right w:type="dxa" w:w="110"/>
            </w:tcMar>
          </w:tcPr>
          <w:p>
            <w:pPr>
              <w:spacing w:before="30" w:after="30"/>
            </w:pPr>
            <w:r>
              <w:rPr>
                <w:b/>
                <w:bCs/>
                <w:color w:val="FFFFFF"/>
                <w:sz w:val="15"/>
                <w:szCs w:val="15"/>
              </w:rPr>
              <w:t xml:space="preserve">Maintenance: actual cost 872,000</w:t>
            </w:r>
          </w:p>
        </w:tc>
        <w:tc>
          <w:tcPr>
            <w:tcW w:type="pct" w:w="1126"/>
            <w:shd w:fill="353A7C" w:val="clear"/>
            <w:tcMar>
              <w:top w:type="dxa" w:w="50"/>
              <w:left w:type="dxa" w:w="110"/>
              <w:bottom w:type="dxa" w:w="50"/>
              <w:right w:type="dxa" w:w="110"/>
            </w:tcMar>
          </w:tcPr>
          <w:p>
            <w:pPr>
              <w:spacing w:before="30" w:after="30"/>
            </w:pPr>
            <w:r>
              <w:rPr>
                <w:b/>
                <w:bCs/>
                <w:color w:val="FFFFFF"/>
                <w:sz w:val="15"/>
                <w:szCs w:val="15"/>
              </w:rPr>
              <w:t xml:space="preserve">Dual rate (budgeted)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Single rate ($110 per hour)</w:t>
            </w:r>
          </w:p>
        </w:tc>
      </w:tr>
      <w:tr>
        <w:tc>
          <w:tcPr>
            <w:tcW w:type="pct" w:w="1674"/>
            <w:tcMar>
              <w:top w:type="dxa" w:w="50"/>
              <w:left w:type="dxa" w:w="110"/>
              <w:bottom w:type="dxa" w:w="50"/>
              <w:right w:type="dxa" w:w="110"/>
            </w:tcMar>
          </w:tcPr>
          <w:p>
            <w:pPr>
              <w:spacing w:before="28" w:after="28"/>
            </w:pPr>
            <w:r>
              <w:rPr>
                <w:sz w:val="15"/>
                <w:szCs w:val="15"/>
              </w:rPr>
              <w:t xml:space="preserve">Fixed Maintenance cost</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with variable cost at one rate on actual hours</w:t>
            </w:r>
          </w:p>
        </w:tc>
      </w:tr>
      <w:tr>
        <w:tc>
          <w:tcPr>
            <w:tcW w:type="pct" w:w="1674"/>
            <w:shd w:fill="FBFAF6" w:val="clear"/>
            <w:tcMar>
              <w:top w:type="dxa" w:w="50"/>
              <w:left w:type="dxa" w:w="110"/>
              <w:bottom w:type="dxa" w:w="50"/>
              <w:right w:type="dxa" w:w="110"/>
            </w:tcMar>
          </w:tcPr>
          <w:p>
            <w:pPr>
              <w:spacing w:before="28" w:after="28"/>
            </w:pPr>
            <w:r>
              <w:rPr>
                <w:sz w:val="15"/>
                <w:szCs w:val="15"/>
              </w:rPr>
              <w:t xml:space="preserve">Variable Maintenance cost</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included in the single rate</w:t>
            </w:r>
          </w:p>
        </w:tc>
      </w:tr>
      <w:tr>
        <w:tc>
          <w:tcPr>
            <w:tcW w:type="pct" w:w="1674"/>
            <w:tcMar>
              <w:top w:type="dxa" w:w="50"/>
              <w:left w:type="dxa" w:w="110"/>
              <w:bottom w:type="dxa" w:w="50"/>
              <w:right w:type="dxa" w:w="110"/>
            </w:tcMar>
          </w:tcPr>
          <w:p>
            <w:pPr>
              <w:spacing w:before="28" w:after="28"/>
            </w:pPr>
            <w:r>
              <w:rPr>
                <w:sz w:val="15"/>
                <w:szCs w:val="15"/>
              </w:rPr>
              <w:t xml:space="preserve">Amount charged to users</w:t>
            </w:r>
          </w:p>
        </w:tc>
        <w:tc>
          <w:tcPr>
            <w:tcW w:type="pct" w:w="1126"/>
            <w:tcMar>
              <w:top w:type="dxa" w:w="50"/>
              <w:left w:type="dxa" w:w="110"/>
              <w:bottom w:type="dxa" w:w="50"/>
              <w:right w:type="dxa" w:w="110"/>
            </w:tcMar>
          </w:tcPr>
          <w:p>
            <w:pPr>
              <w:spacing w:before="28" w:after="28"/>
            </w:pPr>
            <w:r>
              <w:rPr>
                <w:sz w:val="15"/>
                <w:szCs w:val="15"/>
              </w:rPr>
              <w:t xml:space="preserve">860,000</w:t>
            </w:r>
          </w:p>
        </w:tc>
        <w:tc>
          <w:tcPr>
            <w:tcW w:type="pct" w:w="2200"/>
            <w:tcMar>
              <w:top w:type="dxa" w:w="50"/>
              <w:left w:type="dxa" w:w="110"/>
              <w:bottom w:type="dxa" w:w="50"/>
              <w:right w:type="dxa" w:w="110"/>
            </w:tcMar>
          </w:tcPr>
          <w:p>
            <w:pPr>
              <w:spacing w:before="28" w:after="28"/>
            </w:pPr>
            <w:r>
              <w:rPr>
                <w:sz w:val="15"/>
                <w:szCs w:val="15"/>
              </w:rPr>
              <w:t xml:space="preserve">825,000</w:t>
            </w:r>
          </w:p>
        </w:tc>
      </w:tr>
      <w:tr>
        <w:tc>
          <w:tcPr>
            <w:tcW w:type="pct" w:w="1674"/>
            <w:shd w:fill="FBFAF6" w:val="clear"/>
            <w:tcMar>
              <w:top w:type="dxa" w:w="50"/>
              <w:left w:type="dxa" w:w="110"/>
              <w:bottom w:type="dxa" w:w="50"/>
              <w:right w:type="dxa" w:w="110"/>
            </w:tcMar>
          </w:tcPr>
          <w:p>
            <w:pPr>
              <w:spacing w:before="28" w:after="28"/>
            </w:pPr>
            <w:r>
              <w:rPr>
                <w:sz w:val="15"/>
                <w:szCs w:val="15"/>
              </w:rPr>
              <w:t xml:space="preserve">Left in Maintenance</w:t>
            </w:r>
          </w:p>
        </w:tc>
        <w:tc>
          <w:tcPr>
            <w:tcW w:type="pct" w:w="1126"/>
            <w:shd w:fill="FBFAF6" w:val="clear"/>
            <w:tcMar>
              <w:top w:type="dxa" w:w="50"/>
              <w:left w:type="dxa" w:w="110"/>
              <w:bottom w:type="dxa" w:w="50"/>
              <w:right w:type="dxa" w:w="110"/>
            </w:tcMar>
          </w:tcPr>
          <w:p>
            <w:pPr>
              <w:spacing w:before="28" w:after="28"/>
            </w:pPr>
            <w:r>
              <w:rPr>
                <w:sz w:val="15"/>
                <w:szCs w:val="15"/>
              </w:rPr>
              <w:t xml:space="preserve">12,000 (spending only)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hours × budgeted $40   ·   included in the single rate   ·   on long-run capacity shares: 560,000   ·   47,000 (spending 12,000 + unused capacity 35,000)</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the dual-rate charges</w:t>
            </w:r>
          </w:p>
        </w:tc>
      </w:tr>
    </w:tbl>
    <w:p/>
    <w:p>
      <w:pPr>
        <w:spacing w:before="20" w:after="20" w:line="360" w:lineRule="auto"/>
        <w:ind w:left="200"/>
      </w:pPr>
      <w:r>
        <w:rPr>
          <w:sz w:val="19"/>
          <w:szCs w:val="19"/>
        </w:rPr>
        <w:t xml:space="preserve">Complete the other two.</w:t>
      </w:r>
    </w:p>
    <w:p>
      <w:pPr>
        <w:spacing w:before="44" w:after="10"/>
      </w:pPr>
      <w:r>
        <w:rPr>
          <w:b/>
          <w:bCs/>
          <w:color w:val="353A7C"/>
          <w:sz w:val="18"/>
          <w:szCs w:val="18"/>
        </w:rPr>
        <w:t xml:space="preserve">Your turn: dual-rate Maintenance charges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   Tahini &amp; Spreads   ·   step-down method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step-down method   ·   single-rate method   ·   budgeted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35"/>
        <w:gridCol w:w="49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4"/>
            <w:tcMar>
              <w:top w:type="dxa" w:w="50"/>
              <w:left w:type="dxa" w:w="110"/>
              <w:bottom w:type="dxa" w:w="50"/>
              <w:right w:type="dxa" w:w="110"/>
            </w:tcMar>
          </w:tcPr>
          <w:p>
            <w:pPr>
              <w:spacing w:before="26" w:after="26"/>
            </w:pPr>
            <w:r>
              <w:rPr>
                <w:color w:val="232733"/>
                <w:sz w:val="16"/>
                <w:szCs w:val="16"/>
              </w:rPr>
              <w:t xml:space="preserve">single-rate method</w:t>
            </w:r>
          </w:p>
        </w:tc>
        <w:tc>
          <w:tcPr>
            <w:tcW w:type="pct" w:w="2586"/>
            <w:tcMar>
              <w:top w:type="dxa" w:w="50"/>
              <w:left w:type="dxa" w:w="110"/>
              <w:bottom w:type="dxa" w:w="50"/>
              <w:right w:type="dxa" w:w="110"/>
            </w:tcMar>
          </w:tcPr>
          <w:p>
            <w:pPr>
              <w:spacing w:before="26" w:after="26"/>
            </w:pPr>
            <w:r>
              <w:rPr>
                <w:color w:val="232733"/>
                <w:sz w:val="16"/>
                <w:szCs w:val="16"/>
              </w:rPr>
              <w:t xml:space="preserve">طريقة المعدل الواحد</w:t>
            </w:r>
          </w:p>
        </w:tc>
      </w:tr>
      <w:tr>
        <w:tc>
          <w:tcPr>
            <w:tcW w:type="pct" w:w="2414"/>
            <w:shd w:fill="FBFAF6" w:val="clear"/>
            <w:tcMar>
              <w:top w:type="dxa" w:w="50"/>
              <w:left w:type="dxa" w:w="110"/>
              <w:bottom w:type="dxa" w:w="50"/>
              <w:right w:type="dxa" w:w="110"/>
            </w:tcMar>
          </w:tcPr>
          <w:p>
            <w:pPr>
              <w:spacing w:before="26" w:after="26"/>
            </w:pPr>
            <w:r>
              <w:rPr>
                <w:color w:val="232733"/>
                <w:sz w:val="16"/>
                <w:szCs w:val="16"/>
              </w:rPr>
              <w:t xml:space="preserve">dual-rate method</w:t>
            </w:r>
          </w:p>
        </w:tc>
        <w:tc>
          <w:tcPr>
            <w:tcW w:type="pct" w:w="2586"/>
            <w:shd w:fill="FBFAF6" w:val="clear"/>
            <w:tcMar>
              <w:top w:type="dxa" w:w="50"/>
              <w:left w:type="dxa" w:w="110"/>
              <w:bottom w:type="dxa" w:w="50"/>
              <w:right w:type="dxa" w:w="110"/>
            </w:tcMar>
          </w:tcPr>
          <w:p>
            <w:pPr>
              <w:spacing w:before="26" w:after="26"/>
            </w:pPr>
            <w:r>
              <w:rPr>
                <w:color w:val="232733"/>
                <w:sz w:val="16"/>
                <w:szCs w:val="16"/>
              </w:rPr>
              <w:t xml:space="preserve">طريقة المعدل المزدوج</w:t>
            </w:r>
          </w:p>
        </w:tc>
      </w:tr>
      <w:tr>
        <w:tc>
          <w:tcPr>
            <w:tcW w:type="pct" w:w="2414"/>
            <w:tcMar>
              <w:top w:type="dxa" w:w="50"/>
              <w:left w:type="dxa" w:w="110"/>
              <w:bottom w:type="dxa" w:w="50"/>
              <w:right w:type="dxa" w:w="110"/>
            </w:tcMar>
          </w:tcPr>
          <w:p>
            <w:pPr>
              <w:spacing w:before="26" w:after="26"/>
            </w:pPr>
            <w:r>
              <w:rPr>
                <w:color w:val="232733"/>
                <w:sz w:val="16"/>
                <w:szCs w:val="16"/>
              </w:rPr>
              <w:t xml:space="preserve">budgeted rate</w:t>
            </w:r>
          </w:p>
        </w:tc>
        <w:tc>
          <w:tcPr>
            <w:tcW w:type="pct" w:w="2586"/>
            <w:tcMar>
              <w:top w:type="dxa" w:w="50"/>
              <w:left w:type="dxa" w:w="110"/>
              <w:bottom w:type="dxa" w:w="50"/>
              <w:right w:type="dxa" w:w="110"/>
            </w:tcMar>
          </w:tcPr>
          <w:p>
            <w:pPr>
              <w:spacing w:before="26" w:after="26"/>
            </w:pPr>
            <w:r>
              <w:rPr>
                <w:color w:val="232733"/>
                <w:sz w:val="16"/>
                <w:szCs w:val="16"/>
              </w:rPr>
              <w:t xml:space="preserve">المعدل الموازني</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Single, dual and budgeted rates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single-rate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charged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on long-run capacity shares: 560,000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spread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actual hours × budgeted $40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user's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47,000 (spending 12,000 + unused capacity 35,000)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others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dual-rate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Tahini &amp; 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single-rate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budgeted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single-rate method charges one rate per hour for fixed and variable service costs together. When users need fewer hours than planned, the fixed cost is spread over fewer hours, and one user's change moves cost to the others. A dual-rate method charges variable cost on actual use and fixed cost on the capacity each user planned for. Orontes charges Maintenance at a budgeted rate of $40 per hour plus fixed shares of $560,000, so users do not pay for Maintenance's overspending. The dual rate charged $860,000 and left only the $12,000 spending difference in Maintenance. The single rate left $47,000, which mixes that spending difference with $35,000 of idle capacity.</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10.7  Extended Example 10A: Orontes allocates 2027 service costs</w:t>
            </w:r>
          </w:p>
          <w:p>
            <w:pPr>
              <w:spacing w:before="0" w:after="46"/>
            </w:pPr>
            <w:r>
              <w:rPr>
                <w:color w:val="E8EAF6"/>
                <w:sz w:val="16"/>
                <w:szCs w:val="16"/>
              </w:rPr>
              <w:t xml:space="preserve">Chapter 10 · section 10.7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all four service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 the policy methods, records the entries and ties the result to the charges used in earlier chapters.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table is exam-core; the entries are for depth. </w:t>
      </w:r>
      <w:r>
        <w:rPr>
          <w:sz w:val="19"/>
          <w:szCs w:val="19"/>
        </w:rPr>
        <w:t xml:space="preserve">Service costs: Maintenance $880,000; IT $400,000; Quality Lab $400,000; HR $312,000; total $1,992,000. </w:t>
      </w:r>
      <w:r>
        <w:rPr>
          <w:sz w:val="19"/>
          <w:szCs w:val="19"/>
        </w:rPr>
        <w:t xml:space="preserve">Policy: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Maintenance then IT; Quality Lab on test hours; HR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Allocate Maintenance, then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pool, then Quality Lab and HR. </w:t>
      </w:r>
      <w:r>
        <w:rPr>
          <w:sz w:val="19"/>
          <w:szCs w:val="19"/>
        </w:rPr>
        <w:t xml:space="preserve">Record each step, check that every service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closes, and compare each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total with its monthly charge. </w:t>
      </w:r>
      <w:r>
        <w:rPr>
          <w:sz w:val="19"/>
          <w:szCs w:val="19"/>
        </w:rPr>
        <w:t xml:space="preserve">Oils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$888,000, Tahini &amp; Spreads $690,000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$414,000. </w:t>
      </w:r>
      <w:r>
        <w:rPr>
          <w:sz w:val="19"/>
          <w:szCs w:val="19"/>
        </w:rPr>
        <w:t xml:space="preserve">Divided by twelve, these are the monthly service charges used in, 6 and 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headcount   ·   Beverages   ·   allocation   ·   departments   ·   division's   ·   enlarged   ·   allocates   ·   entries   ·   account   ·   step-down   ·   receives</w:t>
            </w:r>
          </w:p>
        </w:tc>
      </w:tr>
    </w:tbl>
    <w:p/>
    <w:p>
      <w:pPr>
        <w:spacing w:before="44" w:after="10"/>
      </w:pPr>
      <w:r>
        <w:rPr>
          <w:b/>
          <w:bCs/>
          <w:color w:val="353A7C"/>
          <w:sz w:val="18"/>
          <w:szCs w:val="18"/>
        </w:rPr>
        <w:t xml:space="preserve">Extended Example: 2027 service allocation by division</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Oils</w:t>
            </w:r>
          </w:p>
        </w:tc>
      </w:tr>
    </w:tbl>
    <w:p/>
    <w:p>
      <w:pPr>
        <w:spacing w:before="20" w:after="20" w:line="360" w:lineRule="auto"/>
        <w:ind w:left="200"/>
      </w:pPr>
      <w:r>
        <w:rPr>
          <w:sz w:val="19"/>
          <w:szCs w:val="19"/>
        </w:rPr>
        <w:t xml:space="preserve">The journal totals $4,160,000 on each side.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339"/>
        <w:gridCol w:w="19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service allocation journal, 2027</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218"/>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14"/>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218"/>
            <w:tcMar>
              <w:top w:type="dxa" w:w="50"/>
              <w:left w:type="dxa" w:w="110"/>
              <w:bottom w:type="dxa" w:w="50"/>
              <w:right w:type="dxa" w:w="110"/>
            </w:tcMar>
          </w:tcPr>
          <w:p>
            <w:pPr>
              <w:spacing w:before="28" w:after="28"/>
            </w:pPr>
            <w:r>
              <w:rPr>
                <w:sz w:val="15"/>
                <w:szCs w:val="15"/>
              </w:rPr>
              <w:t xml:space="preserve">880,000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218"/>
            <w:shd w:fill="FBFAF6" w:val="clear"/>
            <w:tcMar>
              <w:top w:type="dxa" w:w="50"/>
              <w:left w:type="dxa" w:w="110"/>
              <w:bottom w:type="dxa" w:w="50"/>
              <w:right w:type="dxa" w:w="110"/>
            </w:tcMar>
          </w:tcPr>
          <w:p>
            <w:pPr>
              <w:spacing w:before="28" w:after="28"/>
            </w:pPr>
            <w:r>
              <w:rPr>
                <w:sz w:val="15"/>
                <w:szCs w:val="15"/>
              </w:rPr>
              <w:t xml:space="preserve">400,000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Quality Lab</w:t>
            </w:r>
          </w:p>
        </w:tc>
        <w:tc>
          <w:tcPr>
            <w:tcW w:type="pct" w:w="1218"/>
            <w:tcMar>
              <w:top w:type="dxa" w:w="50"/>
              <w:left w:type="dxa" w:w="110"/>
              <w:bottom w:type="dxa" w:w="50"/>
              <w:right w:type="dxa" w:w="110"/>
            </w:tcMar>
          </w:tcPr>
          <w:p>
            <w:pPr>
              <w:spacing w:before="28" w:after="28"/>
            </w:pPr>
            <w:r>
              <w:rPr>
                <w:sz w:val="15"/>
                <w:szCs w:val="15"/>
              </w:rPr>
              <w:t xml:space="preserve">400,000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218"/>
            <w:shd w:fill="FBFAF6" w:val="clear"/>
            <w:tcMar>
              <w:top w:type="dxa" w:w="50"/>
              <w:left w:type="dxa" w:w="110"/>
              <w:bottom w:type="dxa" w:w="50"/>
              <w:right w:type="dxa" w:w="110"/>
            </w:tcMar>
          </w:tcPr>
          <w:p>
            <w:pPr>
              <w:spacing w:before="28" w:after="28"/>
            </w:pPr>
            <w:r>
              <w:rPr>
                <w:sz w:val="15"/>
                <w:szCs w:val="15"/>
              </w:rPr>
              <w:t xml:space="preserve">312,000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218"/>
            <w:tcMar>
              <w:top w:type="dxa" w:w="50"/>
              <w:left w:type="dxa" w:w="110"/>
              <w:bottom w:type="dxa" w:w="50"/>
              <w:right w:type="dxa" w:w="110"/>
            </w:tcMar>
          </w:tcPr>
          <w:p>
            <w:pPr>
              <w:spacing w:before="28" w:after="28"/>
            </w:pPr>
            <w:r>
              <w:rPr>
                <w:sz w:val="15"/>
                <w:szCs w:val="15"/>
              </w:rPr>
              <w:t xml:space="preserve"> </w:t>
            </w:r>
          </w:p>
        </w:tc>
        <w:tc>
          <w:tcPr>
            <w:tcW w:type="pct" w:w="1014"/>
            <w:tcMar>
              <w:top w:type="dxa" w:w="50"/>
              <w:left w:type="dxa" w:w="110"/>
              <w:bottom w:type="dxa" w:w="50"/>
              <w:right w:type="dxa" w:w="110"/>
            </w:tcMar>
          </w:tcPr>
          <w:p>
            <w:pPr>
              <w:spacing w:before="28" w:after="28"/>
            </w:pPr>
            <w:r>
              <w:rPr>
                <w:sz w:val="15"/>
                <w:szCs w:val="15"/>
              </w:rPr>
              <w:t xml:space="preserve">1,992,000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IT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176,000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440,000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176,000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88,000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Maintenance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880,000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144,000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218"/>
            <w:shd w:fill="FBFAF6" w:val="clear"/>
            <w:tcMar>
              <w:top w:type="dxa" w:w="50"/>
              <w:left w:type="dxa" w:w="110"/>
              <w:bottom w:type="dxa" w:w="50"/>
              <w:right w:type="dxa" w:w="110"/>
            </w:tcMar>
          </w:tcPr>
          <w:p>
            <w:pPr>
              <w:spacing w:before="28" w:after="28"/>
            </w:pPr>
            <w:r>
              <w:rPr>
                <w:sz w:val="15"/>
                <w:szCs w:val="15"/>
              </w:rPr>
              <w:t xml:space="preserve">288,000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144,000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IT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576,000</w:t>
            </w:r>
          </w:p>
        </w:tc>
      </w:tr>
      <w:tr>
        <w:tc>
          <w:tcPr>
            <w:tcW w:type="pct" w:w="568"/>
            <w:tcMar>
              <w:top w:type="dxa" w:w="50"/>
              <w:left w:type="dxa" w:w="110"/>
              <w:bottom w:type="dxa" w:w="50"/>
              <w:right w:type="dxa" w:w="110"/>
            </w:tcMar>
          </w:tcPr>
          <w:p>
            <w:pPr>
              <w:spacing w:before="28" w:after="28"/>
            </w:pPr>
            <w:r>
              <w:rPr>
                <w:sz w:val="15"/>
                <w:szCs w:val="15"/>
              </w:rPr>
              <w:t xml:space="preserve">4</w:t>
            </w:r>
          </w:p>
        </w:tc>
        <w:tc>
          <w:tcPr>
            <w:tcW w:type="pct" w:w="2200"/>
            <w:tcMar>
              <w:top w:type="dxa" w:w="50"/>
              <w:left w:type="dxa" w:w="110"/>
              <w:bottom w:type="dxa" w:w="50"/>
              <w:right w:type="dxa" w:w="110"/>
            </w:tcMar>
          </w:tcPr>
          <w:p>
            <w:pPr>
              <w:spacing w:before="28" w:after="28"/>
            </w:pPr>
            <w:r>
              <w:rPr>
                <w:sz w:val="15"/>
                <w:szCs w:val="15"/>
              </w:rPr>
              <w:t xml:space="preserve">MOH Control - Oils</w:t>
            </w:r>
          </w:p>
        </w:tc>
        <w:tc>
          <w:tcPr>
            <w:tcW w:type="pct" w:w="1218"/>
            <w:tcMar>
              <w:top w:type="dxa" w:w="50"/>
              <w:left w:type="dxa" w:w="110"/>
              <w:bottom w:type="dxa" w:w="50"/>
              <w:right w:type="dxa" w:w="110"/>
            </w:tcMar>
          </w:tcPr>
          <w:p>
            <w:pPr>
              <w:spacing w:before="28" w:after="28"/>
            </w:pPr>
            <w:r>
              <w:rPr>
                <w:sz w:val="15"/>
                <w:szCs w:val="15"/>
              </w:rPr>
              <w:t xml:space="preserve">200,000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104,000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MOH Control - Beverages</w:t>
            </w:r>
          </w:p>
        </w:tc>
        <w:tc>
          <w:tcPr>
            <w:tcW w:type="pct" w:w="1218"/>
            <w:tcMar>
              <w:top w:type="dxa" w:w="50"/>
              <w:left w:type="dxa" w:w="110"/>
              <w:bottom w:type="dxa" w:w="50"/>
              <w:right w:type="dxa" w:w="110"/>
            </w:tcMar>
          </w:tcPr>
          <w:p>
            <w:pPr>
              <w:spacing w:before="28" w:after="28"/>
            </w:pPr>
            <w:r>
              <w:rPr>
                <w:sz w:val="15"/>
                <w:szCs w:val="15"/>
              </w:rPr>
              <w:t xml:space="preserve">96,000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400,000</w:t>
            </w:r>
          </w:p>
        </w:tc>
      </w:tr>
      <w:tr>
        <w:tc>
          <w:tcPr>
            <w:tcW w:type="pct" w:w="568"/>
            <w:tcMar>
              <w:top w:type="dxa" w:w="50"/>
              <w:left w:type="dxa" w:w="110"/>
              <w:bottom w:type="dxa" w:w="50"/>
              <w:right w:type="dxa" w:w="110"/>
            </w:tcMar>
          </w:tcPr>
          <w:p>
            <w:pPr>
              <w:spacing w:before="28" w:after="28"/>
            </w:pPr>
            <w:r>
              <w:rPr>
                <w:sz w:val="15"/>
                <w:szCs w:val="15"/>
              </w:rPr>
              <w:t xml:space="preserve">5</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218"/>
            <w:tcMar>
              <w:top w:type="dxa" w:w="50"/>
              <w:left w:type="dxa" w:w="110"/>
              <w:bottom w:type="dxa" w:w="50"/>
              <w:right w:type="dxa" w:w="110"/>
            </w:tcMar>
          </w:tcPr>
          <w:p>
            <w:pPr>
              <w:spacing w:before="28" w:after="28"/>
            </w:pPr>
            <w:r>
              <w:rPr>
                <w:sz w:val="15"/>
                <w:szCs w:val="15"/>
              </w:rPr>
              <w:t xml:space="preserve">104,000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Tahini</w:t>
            </w:r>
          </w:p>
        </w:tc>
        <w:tc>
          <w:tcPr>
            <w:tcW w:type="pct" w:w="1218"/>
            <w:shd w:fill="FBFAF6" w:val="clear"/>
            <w:tcMar>
              <w:top w:type="dxa" w:w="50"/>
              <w:left w:type="dxa" w:w="110"/>
              <w:bottom w:type="dxa" w:w="50"/>
              <w:right w:type="dxa" w:w="110"/>
            </w:tcMar>
          </w:tcPr>
          <w:p>
            <w:pPr>
              <w:spacing w:before="28" w:after="28"/>
            </w:pPr>
            <w:r>
              <w:rPr>
                <w:sz w:val="15"/>
                <w:szCs w:val="15"/>
              </w:rPr>
              <w:t xml:space="preserve">122,000</w:t>
            </w:r>
          </w:p>
        </w:tc>
        <w:tc>
          <w:tcPr>
            <w:tcW w:type="pct" w:w="1014"/>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218"/>
            <w:tcMar>
              <w:top w:type="dxa" w:w="50"/>
              <w:left w:type="dxa" w:w="110"/>
              <w:bottom w:type="dxa" w:w="50"/>
              <w:right w:type="dxa" w:w="110"/>
            </w:tcMar>
          </w:tcPr>
          <w:p>
            <w:pPr>
              <w:spacing w:before="28" w:after="28"/>
            </w:pPr>
            <w:r>
              <w:rPr>
                <w:sz w:val="15"/>
                <w:szCs w:val="15"/>
              </w:rPr>
              <w:t xml:space="preserve">86,000</w:t>
            </w:r>
          </w:p>
        </w:tc>
        <w:tc>
          <w:tcPr>
            <w:tcW w:type="pct" w:w="1014"/>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HR Department</w:t>
            </w:r>
          </w:p>
        </w:tc>
        <w:tc>
          <w:tcPr>
            <w:tcW w:type="pct" w:w="1218"/>
            <w:shd w:fill="FBFAF6" w:val="clear"/>
            <w:tcMar>
              <w:top w:type="dxa" w:w="50"/>
              <w:left w:type="dxa" w:w="110"/>
              <w:bottom w:type="dxa" w:w="50"/>
              <w:right w:type="dxa" w:w="110"/>
            </w:tcMar>
          </w:tcPr>
          <w:p>
            <w:pPr>
              <w:spacing w:before="28" w:after="28"/>
            </w:pPr>
            <w:r>
              <w:rPr>
                <w:sz w:val="15"/>
                <w:szCs w:val="15"/>
              </w:rPr>
              <w:t xml:space="preserve"> </w:t>
            </w:r>
          </w:p>
        </w:tc>
        <w:tc>
          <w:tcPr>
            <w:tcW w:type="pct" w:w="1014"/>
            <w:shd w:fill="FBFAF6" w:val="clear"/>
            <w:tcMar>
              <w:top w:type="dxa" w:w="50"/>
              <w:left w:type="dxa" w:w="110"/>
              <w:bottom w:type="dxa" w:w="50"/>
              <w:right w:type="dxa" w:w="110"/>
            </w:tcMar>
          </w:tcPr>
          <w:p>
            <w:pPr>
              <w:spacing w:before="28" w:after="28"/>
            </w:pPr>
            <w:r>
              <w:rPr>
                <w:sz w:val="15"/>
                <w:szCs w:val="15"/>
              </w:rPr>
              <w:t xml:space="preserve">312,000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218"/>
            <w:tcMar>
              <w:top w:type="dxa" w:w="50"/>
              <w:left w:type="dxa" w:w="110"/>
              <w:bottom w:type="dxa" w:w="50"/>
              <w:right w:type="dxa" w:w="110"/>
            </w:tcMar>
          </w:tcPr>
          <w:p>
            <w:pPr>
              <w:spacing w:before="28" w:after="28"/>
            </w:pPr>
            <w:r>
              <w:rPr>
                <w:sz w:val="15"/>
                <w:szCs w:val="15"/>
              </w:rPr>
              <w:t xml:space="preserve">4,160,000</w:t>
            </w:r>
          </w:p>
        </w:tc>
        <w:tc>
          <w:tcPr>
            <w:tcW w:type="pct" w:w="1014"/>
            <w:tcMar>
              <w:top w:type="dxa" w:w="50"/>
              <w:left w:type="dxa" w:w="110"/>
              <w:bottom w:type="dxa" w:w="50"/>
              <w:right w:type="dxa" w:w="110"/>
            </w:tcMar>
          </w:tcPr>
          <w:p>
            <w:pPr>
              <w:spacing w:before="28" w:after="28"/>
            </w:pPr>
            <w:r>
              <w:rPr>
                <w:sz w:val="15"/>
                <w:szCs w:val="15"/>
              </w:rPr>
              <w:t xml:space="preserve">4,160,000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Lab   ·   Various accounts   ·   MOH Control - Beverages   ·   MOH Control - Tahini   ·   HR Department   ·   step-down method   ·   Totals   ·   Maintenance Department   ·   IT Department   ·   MOH Control - Oils</w:t>
            </w:r>
          </w:p>
        </w:tc>
      </w:tr>
    </w:tbl>
    <w:p/>
    <w:p>
      <w:pPr>
        <w:spacing w:before="20" w:after="20" w:line="360" w:lineRule="auto"/>
        <w:ind w:left="200"/>
      </w:pPr>
      <w:r>
        <w:rPr>
          <w:sz w:val="19"/>
          <w:szCs w:val="19"/>
        </w:rPr>
        <w:t xml:space="preserve">Every service department account closes to zero, and each division's overhead account holds its share.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21–22</w:t>
      </w:r>
    </w:p>
    <w:p>
      <w:pPr>
        <w:spacing w:before="20" w:after="20" w:line="360" w:lineRule="auto"/>
        <w:ind w:left="200"/>
      </w:pPr>
      <w:r>
        <w:rPr>
          <w:sz w:val="19"/>
          <w:szCs w:val="19"/>
        </w:rPr>
        <w:t xml:space="preserve">Allocated: $888,000 + $690,000 + $414,000 = $1,992,000, all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cost. </w:t>
      </w:r>
      <w:r>
        <w:rPr>
          <w:sz w:val="19"/>
          <w:szCs w:val="19"/>
        </w:rPr>
        <w:t xml:space="preserve">IT pool: $400,000 + $176,000 from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 $576,000. </w:t>
      </w:r>
      <w:r>
        <w:rPr>
          <w:sz w:val="19"/>
          <w:szCs w:val="19"/>
        </w:rPr>
        <w:t xml:space="preserve">Tahini: $690,000 is twelve months of the charge in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Maintenance   ·   service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Expect two service and two production departments with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For the direct method,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to production departments. </w:t>
      </w:r>
      <w:r>
        <w:rPr>
          <w:sz w:val="19"/>
          <w:szCs w:val="19"/>
        </w:rPr>
        <w:t xml:space="preserve">For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use the enlarged pool. </w:t>
      </w:r>
      <w:r>
        <w:rPr>
          <w:sz w:val="19"/>
          <w:szCs w:val="19"/>
        </w:rPr>
        <w:t xml:space="preserve">For the reciprocal method, write the two equations and solve before allocating.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rescale   ·   step-down   ·   Quality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16"/>
        <w:gridCol w:w="864"/>
        <w:gridCol w:w="864"/>
        <w:gridCol w:w="1156"/>
        <w:gridCol w:w="1076"/>
      </w:tblGrid>
      <w:tr>
        <w:tc>
          <w:tcPr>
            <w:tcW w:type="pct" w:w="5000"/>
            <w:gridSpan w:val="6"/>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Distribution · FY2027</w:t>
            </w:r>
          </w:p>
        </w:tc>
        <w:tc>
          <w:tcPr>
            <w:tcW w:type="pct" w:w="738"/>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To IT</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To Fleet</w:t>
            </w:r>
          </w:p>
        </w:tc>
        <w:tc>
          <w:tcPr>
            <w:tcW w:type="pct" w:w="602"/>
            <w:shd w:fill="353A7C" w:val="clear"/>
            <w:tcMar>
              <w:top w:type="dxa" w:w="50"/>
              <w:left w:type="dxa" w:w="110"/>
              <w:bottom w:type="dxa" w:w="50"/>
              <w:right w:type="dxa" w:w="110"/>
            </w:tcMar>
          </w:tcPr>
          <w:p>
            <w:pPr>
              <w:spacing w:before="30" w:after="30"/>
            </w:pPr>
            <w:r>
              <w:rPr>
                <w:b/>
                <w:bCs/>
                <w:color w:val="FFFFFF"/>
                <w:sz w:val="15"/>
                <w:szCs w:val="15"/>
              </w:rPr>
              <w:t xml:space="preserve">To Warehouse</w:t>
            </w:r>
          </w:p>
        </w:tc>
        <w:tc>
          <w:tcPr>
            <w:tcW w:type="pct" w:w="561"/>
            <w:shd w:fill="353A7C" w:val="clear"/>
            <w:tcMar>
              <w:top w:type="dxa" w:w="50"/>
              <w:left w:type="dxa" w:w="110"/>
              <w:bottom w:type="dxa" w:w="50"/>
              <w:right w:type="dxa" w:w="110"/>
            </w:tcMar>
          </w:tcPr>
          <w:p>
            <w:pPr>
              <w:spacing w:before="30" w:after="30"/>
            </w:pPr>
            <w:r>
              <w:rPr>
                <w:b/>
                <w:bCs/>
                <w:color w:val="FFFFFF"/>
                <w:sz w:val="15"/>
                <w:szCs w:val="15"/>
              </w:rPr>
              <w:t xml:space="preserve">To Delivery</w:t>
            </w:r>
          </w:p>
        </w:tc>
      </w:tr>
      <w:tr>
        <w:tc>
          <w:tcPr>
            <w:tcW w:type="pct" w:w="2200"/>
            <w:tcMar>
              <w:top w:type="dxa" w:w="50"/>
              <w:left w:type="dxa" w:w="110"/>
              <w:bottom w:type="dxa" w:w="50"/>
              <w:right w:type="dxa" w:w="110"/>
            </w:tcMar>
          </w:tcPr>
          <w:p>
            <w:pPr>
              <w:spacing w:before="28" w:after="28"/>
            </w:pPr>
            <w:r>
              <w:rPr>
                <w:sz w:val="15"/>
                <w:szCs w:val="15"/>
              </w:rPr>
              <w:t xml:space="preserve">Fleet Maintenance (S1)</w:t>
            </w:r>
          </w:p>
        </w:tc>
        <w:tc>
          <w:tcPr>
            <w:tcW w:type="pct" w:w="738"/>
            <w:tcMar>
              <w:top w:type="dxa" w:w="50"/>
              <w:left w:type="dxa" w:w="110"/>
              <w:bottom w:type="dxa" w:w="50"/>
              <w:right w:type="dxa" w:w="110"/>
            </w:tcMar>
          </w:tcPr>
          <w:p>
            <w:pPr>
              <w:spacing w:before="28" w:after="28"/>
            </w:pPr>
            <w:r>
              <w:rPr>
                <w:sz w:val="15"/>
                <w:szCs w:val="15"/>
              </w:rPr>
              <w:t xml:space="preserve">216,000</w:t>
            </w:r>
          </w:p>
        </w:tc>
        <w:tc>
          <w:tcPr>
            <w:tcW w:type="pct" w:w="450"/>
            <w:tcMar>
              <w:top w:type="dxa" w:w="50"/>
              <w:left w:type="dxa" w:w="110"/>
              <w:bottom w:type="dxa" w:w="50"/>
              <w:right w:type="dxa" w:w="110"/>
            </w:tcMar>
          </w:tcPr>
          <w:p>
            <w:pPr>
              <w:spacing w:before="28" w:after="28"/>
            </w:pPr>
            <w:r>
              <w:rPr>
                <w:sz w:val="15"/>
                <w:szCs w:val="15"/>
              </w:rPr>
              <w:t xml:space="preserve">20%</w:t>
            </w:r>
          </w:p>
        </w:tc>
        <w:tc>
          <w:tcPr>
            <w:tcW w:type="pct" w:w="450"/>
            <w:tcMar>
              <w:top w:type="dxa" w:w="50"/>
              <w:left w:type="dxa" w:w="110"/>
              <w:bottom w:type="dxa" w:w="50"/>
              <w:right w:type="dxa" w:w="110"/>
            </w:tcMar>
          </w:tcPr>
          <w:p>
            <w:pPr>
              <w:spacing w:before="28" w:after="28"/>
            </w:pPr>
            <w:r>
              <w:rPr>
                <w:sz w:val="15"/>
                <w:szCs w:val="15"/>
              </w:rPr>
              <w:t xml:space="preserve">—</w:t>
            </w:r>
          </w:p>
        </w:tc>
        <w:tc>
          <w:tcPr>
            <w:tcW w:type="pct" w:w="602"/>
            <w:tcMar>
              <w:top w:type="dxa" w:w="50"/>
              <w:left w:type="dxa" w:w="110"/>
              <w:bottom w:type="dxa" w:w="50"/>
              <w:right w:type="dxa" w:w="110"/>
            </w:tcMar>
          </w:tcPr>
          <w:p>
            <w:pPr>
              <w:spacing w:before="28" w:after="28"/>
            </w:pPr>
            <w:r>
              <w:rPr>
                <w:sz w:val="15"/>
                <w:szCs w:val="15"/>
              </w:rPr>
              <w:t xml:space="preserve">40%</w:t>
            </w:r>
          </w:p>
        </w:tc>
        <w:tc>
          <w:tcPr>
            <w:tcW w:type="pct" w:w="561"/>
            <w:tcMar>
              <w:top w:type="dxa" w:w="50"/>
              <w:left w:type="dxa" w:w="110"/>
              <w:bottom w:type="dxa" w:w="50"/>
              <w:right w:type="dxa" w:w="110"/>
            </w:tcMar>
          </w:tcPr>
          <w:p>
            <w:pPr>
              <w:spacing w:before="28" w:after="28"/>
            </w:pPr>
            <w:r>
              <w:rPr>
                <w:sz w:val="15"/>
                <w:szCs w:val="15"/>
              </w:rPr>
              <w:t xml:space="preserve">40%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738"/>
            <w:shd w:fill="FBFAF6" w:val="clear"/>
            <w:tcMar>
              <w:top w:type="dxa" w:w="50"/>
              <w:left w:type="dxa" w:w="110"/>
              <w:bottom w:type="dxa" w:w="50"/>
              <w:right w:type="dxa" w:w="110"/>
            </w:tcMar>
          </w:tcPr>
          <w:p>
            <w:pPr>
              <w:spacing w:before="28" w:after="28"/>
            </w:pPr>
            <w:r>
              <w:rPr>
                <w:sz w:val="15"/>
                <w:szCs w:val="15"/>
              </w:rPr>
              <w:t xml:space="preserve">120,000</w:t>
            </w:r>
          </w:p>
        </w:tc>
        <w:tc>
          <w:tcPr>
            <w:tcW w:type="pct" w:w="450"/>
            <w:shd w:fill="FBFAF6" w:val="clear"/>
            <w:tcMar>
              <w:top w:type="dxa" w:w="50"/>
              <w:left w:type="dxa" w:w="110"/>
              <w:bottom w:type="dxa" w:w="50"/>
              <w:right w:type="dxa" w:w="110"/>
            </w:tcMar>
          </w:tcPr>
          <w:p>
            <w:pPr>
              <w:spacing w:before="28" w:after="28"/>
            </w:pPr>
            <w:r>
              <w:rPr>
                <w:sz w:val="15"/>
                <w:szCs w:val="15"/>
              </w:rPr>
              <w:t xml:space="preserve">—</w:t>
            </w:r>
          </w:p>
        </w:tc>
        <w:tc>
          <w:tcPr>
            <w:tcW w:type="pct" w:w="450"/>
            <w:shd w:fill="FBFAF6" w:val="clear"/>
            <w:tcMar>
              <w:top w:type="dxa" w:w="50"/>
              <w:left w:type="dxa" w:w="110"/>
              <w:bottom w:type="dxa" w:w="50"/>
              <w:right w:type="dxa" w:w="110"/>
            </w:tcMar>
          </w:tcPr>
          <w:p>
            <w:pPr>
              <w:spacing w:before="28" w:after="28"/>
            </w:pPr>
            <w:r>
              <w:rPr>
                <w:sz w:val="15"/>
                <w:szCs w:val="15"/>
              </w:rPr>
              <w:t xml:space="preserve">20%</w:t>
            </w:r>
          </w:p>
        </w:tc>
        <w:tc>
          <w:tcPr>
            <w:tcW w:type="pct" w:w="602"/>
            <w:shd w:fill="FBFAF6" w:val="clear"/>
            <w:tcMar>
              <w:top w:type="dxa" w:w="50"/>
              <w:left w:type="dxa" w:w="110"/>
              <w:bottom w:type="dxa" w:w="50"/>
              <w:right w:type="dxa" w:w="110"/>
            </w:tcMar>
          </w:tcPr>
          <w:p>
            <w:pPr>
              <w:spacing w:before="28" w:after="28"/>
            </w:pPr>
            <w:r>
              <w:rPr>
                <w:sz w:val="15"/>
                <w:szCs w:val="15"/>
              </w:rPr>
              <w:t xml:space="preserve">50%</w:t>
            </w:r>
          </w:p>
        </w:tc>
        <w:tc>
          <w:tcPr>
            <w:tcW w:type="pct" w:w="561"/>
            <w:shd w:fill="FBFAF6" w:val="clear"/>
            <w:tcMar>
              <w:top w:type="dxa" w:w="50"/>
              <w:left w:type="dxa" w:w="110"/>
              <w:bottom w:type="dxa" w:w="50"/>
              <w:right w:type="dxa" w:w="110"/>
            </w:tcMar>
          </w:tcPr>
          <w:p>
            <w:pPr>
              <w:spacing w:before="28" w:after="28"/>
            </w:pPr>
            <w:r>
              <w:rPr>
                <w:sz w:val="15"/>
                <w:szCs w:val="15"/>
              </w:rPr>
              <w:t xml:space="preserve">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(S2)   ·   step-down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Tahini &amp; Spreads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Beverages</w:t>
            </w:r>
          </w:p>
        </w:tc>
        <w:tc>
          <w:tcPr>
            <w:tcW w:type="pct" w:w="2600"/>
            <w:shd w:fill="FBFAF6" w:val="clear"/>
            <w:tcMar>
              <w:top w:type="dxa" w:w="50"/>
              <w:left w:type="dxa" w:w="110"/>
              <w:bottom w:type="dxa" w:w="50"/>
              <w:right w:type="dxa" w:w="110"/>
            </w:tcMar>
          </w:tcPr>
          <w:p>
            <w:pPr>
              <w:spacing w:before="28" w:after="28"/>
            </w:pPr>
            <w:r>
              <w:rPr>
                <w:sz w:val="15"/>
                <w:szCs w:val="15"/>
              </w:rPr>
              <w:t xml:space="preserve">Variable 28,000; total 84,000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Levant Distribution · FY2027   ·   Variable 60,000; total 172,000</w:t>
            </w:r>
          </w:p>
        </w:tc>
      </w:tr>
    </w:tbl>
    <w:p/>
    <w:p>
      <w:pPr>
        <w:spacing w:before="44" w:after="10"/>
      </w:pPr>
      <w:r>
        <w:rPr>
          <w:b/>
          <w:bCs/>
          <w:color w:val="353A7C"/>
          <w:sz w:val="18"/>
          <w:szCs w:val="18"/>
        </w:rPr>
        <w:t xml:space="preserve">Department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Warehouse   ·   Payroll office   ·   IT   ·   dual-rate method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dual-rate method   ·   direct method   ·   reciprocal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step-down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التوزيع التنازلي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reciprocal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التوزيع التبادلي</w:t>
            </w:r>
          </w:p>
        </w:tc>
      </w:tr>
      <w:tr>
        <w:tc>
          <w:tcPr>
            <w:tcW w:type="pct" w:w="2400"/>
            <w:tcMar>
              <w:top w:type="dxa" w:w="50"/>
              <w:left w:type="dxa" w:w="110"/>
              <w:bottom w:type="dxa" w:w="50"/>
              <w:right w:type="dxa" w:w="110"/>
            </w:tcMar>
          </w:tcPr>
          <w:p>
            <w:pPr>
              <w:spacing w:before="26" w:after="26"/>
            </w:pPr>
            <w:r>
              <w:rPr>
                <w:color w:val="232733"/>
                <w:sz w:val="16"/>
                <w:szCs w:val="16"/>
              </w:rPr>
              <w:t xml:space="preserve">dual-rate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المعدل المزدوج</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10.7  Extended Example 10A: Orontes allocates 2027 service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allocates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Quality Lab</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MOH Control - Oils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MOH Control - 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step-down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headcount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enlarged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percentages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rescale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step-down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IT (S2)</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Oils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Variable 60,000; total 172,000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Maintenance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IT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Payroll office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HR Department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Various accounts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reciprocal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MOH Control - Tahini</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dual-rate method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allocates all four service departments with the policy methods, records the entries and ties the result to the charges used in earlier chapters. The allocation table is exam-core; the entries are for depth. Service costs: Maintenance $880,000; IT $400,000; Quality Lab $400,000; HR $312,000; total $1,992,000. Policy: step-down for Maintenance then IT; Quality Lab on test hours; HR on headcount. Allocate Maintenance, then the enlarged IT pool, then Quality Lab and HR. Record each step, check that every service account closes, and compare each division's total with its monthly charge. Oils receives $888,000, Tahini &amp; Spreads $690,000 and Beverages $414,000. Divided by twelve, these are the monthly service charges used in, 6 and 8.</w:t>
      </w:r>
    </w:p>
    <w:p>
      <w:pPr>
        <w:spacing w:before="20" w:after="20"/>
        <w:ind w:left="240" w:hanging="240"/>
      </w:pPr>
      <w:r>
        <w:rPr>
          <w:b/>
          <w:bCs/>
          <w:color w:val="353A7C"/>
          <w:sz w:val="15"/>
          <w:szCs w:val="15"/>
        </w:rPr>
        <w:t xml:space="preserve">Summary 2   </w:t>
      </w:r>
      <w:r>
        <w:rPr>
          <w:color w:val="6B7280"/>
          <w:sz w:val="15"/>
          <w:szCs w:val="15"/>
        </w:rPr>
        <w:t xml:space="preserve">Allocated: $888,000 + $690,000 + $414,000 = $1,992,000, all service cost. IT pool: $400,000 + $176,000 from Maintenance = $576,000. Tahini: $690,000 is twelve months of the charge in the.</w:t>
      </w:r>
    </w:p>
    <w:p>
      <w:pPr>
        <w:spacing w:before="20" w:after="20"/>
        <w:ind w:left="240" w:hanging="240"/>
      </w:pPr>
      <w:r>
        <w:rPr>
          <w:b/>
          <w:bCs/>
          <w:color w:val="353A7C"/>
          <w:sz w:val="15"/>
          <w:szCs w:val="15"/>
        </w:rPr>
        <w:t xml:space="preserve">Summary 3   </w:t>
      </w:r>
      <w:r>
        <w:rPr>
          <w:color w:val="6B7280"/>
          <w:sz w:val="15"/>
          <w:szCs w:val="15"/>
        </w:rPr>
        <w:t xml:space="preserve">Expect two service and two production departments with percentages. For the direct method, rescale to production departments. For step-down, use the enlarged pool. For the reciprocal method, write the two equations and solve before allocating.</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Why allocate service department costs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Choosing allocation bases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The direct method</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The step-down method</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The reciprocal method</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Single, dual and budgeted rates</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10.7 · Extended Example 10A: Orontes allocates 2027 service costs</w:t>
          </w:r>
        </w:p>
      </w:tc>
      <w:tc>
        <w:tcPr>
          <w:tcW w:type="pct" w:w="1400"/>
          <w:tcMar>
            <w:top w:type="dxa" w:w="-30"/>
            <w:left w:type="dxa" w:w="30"/>
            <w:bottom w:type="dxa" w:w="-30"/>
            <w:right w:type="dxa" w:w="30"/>
          </w:tcMar>
        </w:tcPr>
        <w:p>
          <w:pPr>
            <w:jc w:val="right"/>
          </w:pPr>
          <w:r>
            <w:rPr>
              <w:color w:val="6B7280"/>
              <w:sz w:val="16"/>
              <w:szCs w:val="16"/>
            </w:rPr>
            <w:t xml:space="preserve">Handout 10.7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d146f0092848467e9b5654d273dc97145c111fb.png" Type="http://schemas.openxmlformats.org/officeDocument/2006/relationships/image"/><Relationship Id="rId102" Target="media/cdcb4e91baf6629ac81b52fb25f203a9ceb3c9e3.png" Type="http://schemas.openxmlformats.org/officeDocument/2006/relationships/image"/><Relationship Id="rId103" Target="media/b2b22017f2547d6ca419f6f112a6d25b648c6e92.png" Type="http://schemas.openxmlformats.org/officeDocument/2006/relationships/image"/><Relationship Id="rId104" Target="media/63d016962226d9a7577f19ad8e10048d2dbc9316.png" Type="http://schemas.openxmlformats.org/officeDocument/2006/relationships/image"/><Relationship Id="rId105" Target="media/5cc7e3401c22503228930caa134f23b9ee491f32.png" Type="http://schemas.openxmlformats.org/officeDocument/2006/relationships/image"/><Relationship Id="rId106" Target="media/079a671fd093a042aa0315660f1b6bb3fbe007c5.png" Type="http://schemas.openxmlformats.org/officeDocument/2006/relationships/image"/><Relationship Id="rId107" Target="media/8a079bd43a4b60aa8deb71d7f65129c8eb67d332.png" Type="http://schemas.openxmlformats.org/officeDocument/2006/relationships/image"/><Relationship Id="rId108" Target="media/ed789ba23948e6b53539740a77f371e59aa8bb5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10</dc:title>
  <dc:subject>Summary handouts</dc:subject>
  <cp:category>Student Book</cp:category>
</cp:coreProperties>
</file>