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 usually looks three to five years ahead, and sometimes longer. </w:t>
      </w:r>
      <w:r>
        <w:rPr>
          <w:sz w:val="19"/>
          <w:szCs w:val="19"/>
        </w:rPr>
        <w:t xml:space="preserve">Tactical plans cover one to three years,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plans and budgets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   operational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85"/>
        <w:gridCol w:w="3681"/>
        <w:gridCol w:w="2801"/>
        <w:gridCol w:w="143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78"/>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17"/>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59"/>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78"/>
            <w:tcMar>
              <w:top w:type="dxa" w:w="50"/>
              <w:left w:type="dxa" w:w="110"/>
              <w:bottom w:type="dxa" w:w="50"/>
              <w:right w:type="dxa" w:w="110"/>
            </w:tcMar>
          </w:tcPr>
          <w:p>
            <w:pPr>
              <w:spacing w:before="28" w:after="28"/>
            </w:pPr>
            <w:r>
              <w:rPr>
                <w:sz w:val="15"/>
                <w:szCs w:val="15"/>
              </w:rPr>
              <w:t xml:space="preserve">Strategic plan</w:t>
            </w:r>
          </w:p>
        </w:tc>
        <w:tc>
          <w:tcPr>
            <w:tcW w:type="pct" w:w="1917"/>
            <w:tcMar>
              <w:top w:type="dxa" w:w="50"/>
              <w:left w:type="dxa" w:w="110"/>
              <w:bottom w:type="dxa" w:w="50"/>
              <w:right w:type="dxa" w:w="110"/>
            </w:tcMar>
          </w:tcPr>
          <w:p>
            <w:pPr>
              <w:spacing w:before="28" w:after="28"/>
            </w:pPr>
            <w:r>
              <w:rPr>
                <w:sz w:val="15"/>
                <w:szCs w:val="15"/>
              </w:rPr>
              <w:t xml:space="preserve">3–5 years or more</w:t>
            </w:r>
          </w:p>
        </w:tc>
        <w:tc>
          <w:tcPr>
            <w:tcW w:type="pct" w:w="1459"/>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47"/>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2028–2032</w:t>
            </w:r>
          </w:p>
        </w:tc>
      </w:tr>
      <w:tr>
        <w:tc>
          <w:tcPr>
            <w:tcW w:type="pct" w:w="878"/>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17"/>
            <w:shd w:fill="FBFAF6" w:val="clear"/>
            <w:tcMar>
              <w:top w:type="dxa" w:w="50"/>
              <w:left w:type="dxa" w:w="110"/>
              <w:bottom w:type="dxa" w:w="50"/>
              <w:right w:type="dxa" w:w="110"/>
            </w:tcMar>
          </w:tcPr>
          <w:p>
            <w:pPr>
              <w:spacing w:before="28" w:after="28"/>
            </w:pPr>
            <w:r>
              <w:rPr>
                <w:sz w:val="15"/>
                <w:szCs w:val="15"/>
              </w:rPr>
              <w:t xml:space="preserve">1–3 years</w:t>
            </w:r>
          </w:p>
        </w:tc>
        <w:tc>
          <w:tcPr>
            <w:tcW w:type="pct" w:w="145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47"/>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78"/>
            <w:tcMar>
              <w:top w:type="dxa" w:w="50"/>
              <w:left w:type="dxa" w:w="110"/>
              <w:bottom w:type="dxa" w:w="50"/>
              <w:right w:type="dxa" w:w="110"/>
            </w:tcMar>
          </w:tcPr>
          <w:p>
            <w:pPr>
              <w:spacing w:before="28" w:after="28"/>
            </w:pPr>
            <w:r>
              <w:rPr>
                <w:sz w:val="15"/>
                <w:szCs w:val="15"/>
              </w:rPr>
              <w:t xml:space="preserve">Operational plan and budget</w:t>
            </w:r>
          </w:p>
        </w:tc>
        <w:tc>
          <w:tcPr>
            <w:tcW w:type="pct" w:w="1917"/>
            <w:tcMar>
              <w:top w:type="dxa" w:w="50"/>
              <w:left w:type="dxa" w:w="110"/>
              <w:bottom w:type="dxa" w:w="50"/>
              <w:right w:type="dxa" w:w="110"/>
            </w:tcMar>
          </w:tcPr>
          <w:p>
            <w:pPr>
              <w:spacing w:before="28" w:after="28"/>
            </w:pPr>
            <w:r>
              <w:rPr>
                <w:sz w:val="15"/>
                <w:szCs w:val="15"/>
              </w:rPr>
              <w:t xml:space="preserve">1 year or less</w:t>
            </w:r>
          </w:p>
        </w:tc>
        <w:tc>
          <w:tcPr>
            <w:tcW w:type="pct" w:w="1459"/>
            <w:tcMar>
              <w:top w:type="dxa" w:w="50"/>
              <w:left w:type="dxa" w:w="110"/>
              <w:bottom w:type="dxa" w:w="50"/>
              <w:right w:type="dxa" w:w="110"/>
            </w:tcMar>
          </w:tcPr>
          <w:p>
            <w:pPr>
              <w:spacing w:before="28" w:after="28"/>
            </w:pPr>
            <w:r>
              <w:rPr>
                <w:sz w:val="15"/>
                <w:szCs w:val="15"/>
              </w:rPr>
              <w:t xml:space="preserve">Activities, people, resources, money</w:t>
            </w:r>
          </w:p>
        </w:tc>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78"/>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17"/>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59"/>
            <w:shd w:fill="FBFAF6" w:val="clear"/>
            <w:tcMar>
              <w:top w:type="dxa" w:w="50"/>
              <w:left w:type="dxa" w:w="110"/>
              <w:bottom w:type="dxa" w:w="50"/>
              <w:right w:type="dxa" w:w="110"/>
            </w:tcMar>
          </w:tcPr>
          <w:p>
            <w:pPr>
              <w:spacing w:before="28" w:after="28"/>
            </w:pPr>
            <w:r>
              <w:rPr>
                <w:sz w:val="15"/>
                <w:szCs w:val="15"/>
              </w:rPr>
              <w:t xml:space="preserve"> </w:t>
            </w:r>
          </w:p>
        </w:tc>
        <w:tc>
          <w:tcPr>
            <w:tcW w:type="pct" w:w="747"/>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depends on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because its market changes fast. </w:t>
      </w:r>
      <w:r>
        <w:rPr>
          <w:sz w:val="19"/>
          <w:szCs w:val="19"/>
        </w:rPr>
        <w:t xml:space="preserve">A food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industry   ·   producer   ·   Orontes   ·   software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operational plan   ·   strategic plan   ·   long-term goals</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industry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mission statement says why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exists, what it does and for whom.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statement says what it wants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mission leads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results the company aims to reach by the end of the plan. </w:t>
      </w:r>
      <w:r>
        <w:rPr>
          <w:sz w:val="19"/>
          <w:szCs w:val="19"/>
        </w:rPr>
        <w:t xml:space="preserve">Good goals turn the mission into numbers and dates,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organization   ·   become   ·   progress   ·   vision   ·   tactics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speaks of trusted Levant foods across the region. </w:t>
      </w:r>
      <w:r>
        <w:rPr>
          <w:sz w:val="19"/>
          <w:szCs w:val="19"/>
        </w:rPr>
        <w:t xml:space="preserve">The board turns it into five goals for 2032. </w:t>
      </w:r>
      <w:r>
        <w:rPr>
          <w:sz w:val="19"/>
          <w:szCs w:val="19"/>
        </w:rPr>
        <w:t xml:space="preserve">For example,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strategic   ·   exports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20" w:after="20" w:line="360" w:lineRule="auto"/>
        <w:ind w:left="200"/>
      </w:pPr>
      <w:r>
        <w:rPr>
          <w:sz w:val="19"/>
          <w:szCs w:val="19"/>
        </w:rPr>
        <w:t xml:space="preserve">In strategic planning it means the organization's lasting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Export sales as a share of revenue   ·   For example: exports 30.0% of revenue by 2032.   ·   What do we want to become?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vision statement   ·   long-term goals   ·   mission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Energy per case of juice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vision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exports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vision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toward its goals.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must rise by 12.0 points over 5 years, or 2.40 points a year, so the 2028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congruence   ·   Tactics   ·   divide   ·   operational   ·   Exports   ·   objective   ·   manager   ·   actions   ·   measurable   ·   simple   ·   coming   ·   marketing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p>
      <w:pPr>
        <w:spacing w:before="20" w:after="20" w:line="360" w:lineRule="auto"/>
        <w:ind w:left="200"/>
      </w:pPr>
      <w:r>
        <w:rPr>
          <w:sz w:val="19"/>
          <w:szCs w:val="19"/>
        </w:rPr>
        <w:t xml:space="preserve">Complete the two blank objectives.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361"/>
        <w:gridCol w:w="2654"/>
        <w:gridCol w:w="136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382"/>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709"/>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709"/>
            <w:tcMar>
              <w:top w:type="dxa" w:w="50"/>
              <w:left w:type="dxa" w:w="110"/>
              <w:bottom w:type="dxa" w:w="50"/>
              <w:right w:type="dxa" w:w="110"/>
            </w:tcMar>
          </w:tcPr>
          <w:p>
            <w:pPr>
              <w:spacing w:before="28" w:after="28"/>
            </w:pPr>
            <w:r>
              <w:rPr>
                <w:sz w:val="15"/>
                <w:szCs w:val="15"/>
              </w:rPr>
              <w:t xml:space="preserve">18.0%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709"/>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709"/>
            <w:shd w:fill="FBFAF6" w:val="clear"/>
            <w:tcMar>
              <w:top w:type="dxa" w:w="50"/>
              <w:left w:type="dxa" w:w="110"/>
              <w:bottom w:type="dxa" w:w="50"/>
              <w:right w:type="dxa" w:w="110"/>
            </w:tcMar>
          </w:tcPr>
          <w:p>
            <w:pPr>
              <w:spacing w:before="28" w:after="28"/>
            </w:pPr>
            <w:r>
              <w:rPr>
                <w:sz w:val="15"/>
                <w:szCs w:val="15"/>
              </w:rPr>
              <w:t xml:space="preserve">6.0%</w:t>
            </w:r>
          </w:p>
        </w:tc>
        <w:tc>
          <w:tcPr>
            <w:tcW w:type="pct" w:w="1382"/>
            <w:shd w:fill="FBFAF6" w:val="clear"/>
            <w:tcMar>
              <w:top w:type="dxa" w:w="50"/>
              <w:left w:type="dxa" w:w="110"/>
              <w:bottom w:type="dxa" w:w="50"/>
              <w:right w:type="dxa" w:w="110"/>
            </w:tcMar>
          </w:tcPr>
          <w:p>
            <w:pPr>
              <w:spacing w:before="28" w:after="28"/>
            </w:pPr>
            <w:r>
              <w:rPr>
                <w:sz w:val="15"/>
                <w:szCs w:val="15"/>
              </w:rPr>
              <w:t xml:space="preserve">+1.80 points</w:t>
            </w:r>
          </w:p>
        </w:tc>
        <w:tc>
          <w:tcPr>
            <w:tcW w:type="pct" w:w="709"/>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709"/>
            <w:tcMar>
              <w:top w:type="dxa" w:w="50"/>
              <w:left w:type="dxa" w:w="110"/>
              <w:bottom w:type="dxa" w:w="50"/>
              <w:right w:type="dxa" w:w="110"/>
            </w:tcMar>
          </w:tcPr>
          <w:p>
            <w:pPr>
              <w:spacing w:before="28" w:after="28"/>
            </w:pPr>
            <w:r>
              <w:rPr>
                <w:sz w:val="15"/>
                <w:szCs w:val="15"/>
              </w:rPr>
              <w:t xml:space="preserve">11.0%</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709"/>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709"/>
            <w:shd w:fill="FBFAF6" w:val="clear"/>
            <w:tcMar>
              <w:top w:type="dxa" w:w="50"/>
              <w:left w:type="dxa" w:w="110"/>
              <w:bottom w:type="dxa" w:w="50"/>
              <w:right w:type="dxa" w:w="110"/>
            </w:tcMar>
          </w:tcPr>
          <w:p>
            <w:pPr>
              <w:spacing w:before="28" w:after="28"/>
            </w:pPr>
            <w:r>
              <w:rPr>
                <w:sz w:val="15"/>
                <w:szCs w:val="15"/>
              </w:rPr>
              <w:t xml:space="preserve">0.50 kWh</w:t>
            </w:r>
          </w:p>
        </w:tc>
        <w:tc>
          <w:tcPr>
            <w:tcW w:type="pct" w:w="138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709"/>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70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82"/>
            <w:tcMar>
              <w:top w:type="dxa" w:w="50"/>
              <w:left w:type="dxa" w:w="110"/>
              <w:bottom w:type="dxa" w:w="50"/>
              <w:right w:type="dxa" w:w="110"/>
            </w:tcMar>
          </w:tcPr>
          <w:p>
            <w:pPr>
              <w:spacing w:before="28" w:after="28"/>
            </w:pPr>
            <w:r>
              <w:rPr>
                <w:sz w:val="15"/>
                <w:szCs w:val="15"/>
              </w:rPr>
              <w:t xml:space="preserve">+2.4 h</w:t>
            </w:r>
          </w:p>
        </w:tc>
        <w:tc>
          <w:tcPr>
            <w:tcW w:type="pct" w:w="709"/>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−0.02 kWh   ·   short-term objectives   ·   12 h   ·   +0.80 points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tactics   ·   operational plan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−0.02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12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operational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realistic,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managers help set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understand how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It is linked to resources, so that people and money are available, and it is reviewed regularly, with contingency plans for the main risks.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   ·   objectives   ·   successful   ·   direction   ·   understand   ·   environment   ·   measurable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Characteristics of successful strategic plans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Characteristic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2400"/>
            <w:tcMar>
              <w:top w:type="dxa" w:w="50"/>
              <w:left w:type="dxa" w:w="110"/>
              <w:bottom w:type="dxa" w:w="50"/>
              <w:right w:type="dxa" w:w="110"/>
            </w:tcMar>
          </w:tcPr>
          <w:p>
            <w:pPr>
              <w:spacing w:before="28" w:after="28"/>
            </w:pPr>
            <w:r>
              <w:rPr>
                <w:sz w:val="15"/>
                <w:szCs w:val="15"/>
              </w:rPr>
              <w:t xml:space="preserve">Clear direction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Measurable goals</w:t>
            </w:r>
          </w:p>
        </w:tc>
        <w:tc>
          <w:tcPr>
            <w:tcW w:type="pct" w:w="2600"/>
            <w:shd w:fill="FBFAF6" w:val="clear"/>
            <w:tcMar>
              <w:top w:type="dxa" w:w="50"/>
              <w:left w:type="dxa" w:w="110"/>
              <w:bottom w:type="dxa" w:w="50"/>
              <w:right w:type="dxa" w:w="110"/>
            </w:tcMar>
          </w:tcPr>
          <w:p>
            <w:pPr>
              <w:spacing w:before="28" w:after="28"/>
            </w:pPr>
            <w:r>
              <w:rPr>
                <w:sz w:val="15"/>
                <w:szCs w:val="15"/>
              </w:rPr>
              <w:t xml:space="preserve">Numbers and dates, not wishes</w:t>
            </w:r>
          </w:p>
        </w:tc>
      </w:tr>
      <w:tr>
        <w:tc>
          <w:tcPr>
            <w:tcW w:type="pct" w:w="2400"/>
            <w:tcMar>
              <w:top w:type="dxa" w:w="50"/>
              <w:left w:type="dxa" w:w="110"/>
              <w:bottom w:type="dxa" w:w="50"/>
              <w:right w:type="dxa" w:w="110"/>
            </w:tcMar>
          </w:tcPr>
          <w:p>
            <w:pPr>
              <w:spacing w:before="28" w:after="28"/>
            </w:pPr>
            <w:r>
              <w:rPr>
                <w:sz w:val="15"/>
                <w:szCs w:val="15"/>
              </w:rPr>
              <w:t xml:space="preserve">Realistic</w:t>
            </w:r>
          </w:p>
        </w:tc>
        <w:tc>
          <w:tcPr>
            <w:tcW w:type="pct" w:w="2600"/>
            <w:tcMar>
              <w:top w:type="dxa" w:w="50"/>
              <w:left w:type="dxa" w:w="110"/>
              <w:bottom w:type="dxa" w:w="50"/>
              <w:right w:type="dxa" w:w="110"/>
            </w:tcMar>
          </w:tcPr>
          <w:p>
            <w:pPr>
              <w:spacing w:before="28" w:after="28"/>
            </w:pPr>
            <w:r>
              <w:rPr>
                <w:sz w:val="15"/>
                <w:szCs w:val="15"/>
              </w:rPr>
              <w:t xml:space="preserve">Based on the analysis of internal and external factors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Shared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to managers, who help set their own objectives</w:t>
            </w:r>
          </w:p>
        </w:tc>
      </w:tr>
      <w:tr>
        <w:tc>
          <w:tcPr>
            <w:tcW w:type="pct" w:w="2400"/>
            <w:tcMar>
              <w:top w:type="dxa" w:w="50"/>
              <w:left w:type="dxa" w:w="110"/>
              <w:bottom w:type="dxa" w:w="50"/>
              <w:right w:type="dxa" w:w="110"/>
            </w:tcMar>
          </w:tcPr>
          <w:p>
            <w:pPr>
              <w:spacing w:before="28" w:after="28"/>
            </w:pPr>
            <w:r>
              <w:rPr>
                <w:sz w:val="15"/>
                <w:szCs w:val="15"/>
              </w:rPr>
              <w:t xml:space="preserve">Resourced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Flexible</w:t>
            </w:r>
          </w:p>
        </w:tc>
        <w:tc>
          <w:tcPr>
            <w:tcW w:type="pct" w:w="2600"/>
            <w:shd w:fill="FBFAF6" w:val="clear"/>
            <w:tcMar>
              <w:top w:type="dxa" w:w="50"/>
              <w:left w:type="dxa" w:w="110"/>
              <w:bottom w:type="dxa" w:w="50"/>
              <w:right w:type="dxa" w:w="110"/>
            </w:tcMar>
          </w:tcPr>
          <w:p>
            <w:pPr>
              <w:spacing w:before="28" w:after="28"/>
            </w:pPr>
            <w:r>
              <w:rPr>
                <w:sz w:val="15"/>
                <w:szCs w:val="15"/>
              </w:rPr>
              <w:t xml:space="preserve">Reviewed each year; contingency plans for major risks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from the mission and vision   ·   Communicated   ·   Linked to budgets, people and investment   ·   tactics</w:t>
            </w:r>
          </w:p>
        </w:tc>
      </w:tr>
    </w:tbl>
    <w:p/>
    <w:p>
      <w:pPr>
        <w:spacing w:before="20" w:after="20" w:line="360" w:lineRule="auto"/>
        <w:ind w:left="200"/>
      </w:pPr>
      <w:r>
        <w:rPr>
          <w:sz w:val="19"/>
          <w:szCs w:val="19"/>
        </w:rPr>
        <w:t xml:space="preserve">Measurable objectives are the most common weakness in practice.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5"/>
        <w:gridCol w:w="4098"/>
        <w:gridCol w:w="302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2135"/>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289"/>
            <w:tcMar>
              <w:top w:type="dxa" w:w="50"/>
              <w:left w:type="dxa" w:w="110"/>
              <w:bottom w:type="dxa" w:w="50"/>
              <w:right w:type="dxa" w:w="110"/>
            </w:tcMar>
          </w:tcPr>
          <w:p>
            <w:pPr>
              <w:spacing w:before="28" w:after="28"/>
            </w:pPr>
            <w:r>
              <w:rPr>
                <w:sz w:val="15"/>
                <w:szCs w:val="15"/>
              </w:rPr>
              <w:t xml:space="preserve">“Grow exports.”</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76"/>
            <w:tcMar>
              <w:top w:type="dxa" w:w="50"/>
              <w:left w:type="dxa" w:w="110"/>
              <w:bottom w:type="dxa" w:w="50"/>
              <w:right w:type="dxa" w:w="110"/>
            </w:tcMar>
          </w:tcPr>
          <w:p>
            <w:pPr>
              <w:spacing w:before="28" w:after="28"/>
            </w:pPr>
            <w:r>
              <w:rPr>
                <w:sz w:val="15"/>
                <w:szCs w:val="15"/>
              </w:rPr>
              <w:t xml:space="preserve">Measurable and dated</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6"/>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289"/>
            <w:tcMar>
              <w:top w:type="dxa" w:w="50"/>
              <w:left w:type="dxa" w:w="110"/>
              <w:bottom w:type="dxa" w:w="50"/>
              <w:right w:type="dxa" w:w="110"/>
            </w:tcMar>
          </w:tcPr>
          <w:p>
            <w:pPr>
              <w:spacing w:before="28" w:after="28"/>
            </w:pPr>
            <w:r>
              <w:rPr>
                <w:sz w:val="15"/>
                <w:szCs w:val="15"/>
              </w:rPr>
              <w:t xml:space="preserve">“Train people more.”</w:t>
            </w:r>
          </w:p>
        </w:tc>
        <w:tc>
          <w:tcPr>
            <w:tcW w:type="pct" w:w="2135"/>
            <w:tcMar>
              <w:top w:type="dxa" w:w="50"/>
              <w:left w:type="dxa" w:w="110"/>
              <w:bottom w:type="dxa" w:w="50"/>
              <w:right w:type="dxa" w:w="110"/>
            </w:tcMar>
          </w:tcPr>
          <w:p>
            <w:pPr>
              <w:spacing w:before="28" w:after="28"/>
            </w:pPr>
            <w:r>
              <w:rPr>
                <w:sz w:val="15"/>
                <w:szCs w:val="15"/>
              </w:rPr>
              <w:t xml:space="preserve">“14.4 training hours per employee in 2028.”</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“Exports 20.4% of revenue in 2028.”   ·   Reviewed each year; contingency plans for major risks   ·   “0.48 kWh per case of juice in 2028.”   ·   Owned by HR, easy to check</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Follows from the mission and 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Communicated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Linked to budgets, people and 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 20.4% of revenue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Owned by HR, easy to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all five goals from the 2032 targets to the 2028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2028 to 2032, 5 years; baseline year 2027.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equal yearly steps from the baseline to each goal. </w:t>
      </w:r>
      <w:r>
        <w:rPr>
          <w:sz w:val="19"/>
          <w:szCs w:val="19"/>
        </w:rPr>
        <w:t xml:space="preserve">Return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must rise from 11.0% to 15.0%, so the first-year objective is 11.8%.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Method   ·   period   ·   operational   ·   follows   ·   objectives   ·   investment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568"/>
            <w:shd w:fill="FBFAF6" w:val="clear"/>
            <w:tcMar>
              <w:top w:type="dxa" w:w="50"/>
              <w:left w:type="dxa" w:w="110"/>
              <w:bottom w:type="dxa" w:w="50"/>
              <w:right w:type="dxa" w:w="110"/>
            </w:tcMar>
          </w:tcPr>
          <w:p>
            <w:pPr>
              <w:spacing w:before="28" w:after="28"/>
            </w:pPr>
            <w:r>
              <w:rPr>
                <w:sz w:val="15"/>
                <w:szCs w:val="15"/>
              </w:rPr>
              <w:t xml:space="preserve">0.48 kWh</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tcMar>
              <w:top w:type="dxa" w:w="50"/>
              <w:left w:type="dxa" w:w="110"/>
              <w:bottom w:type="dxa" w:w="50"/>
              <w:right w:type="dxa" w:w="110"/>
            </w:tcMar>
          </w:tcPr>
          <w:p>
            <w:pPr>
              <w:spacing w:before="28" w:after="28"/>
            </w:pPr>
            <w:r>
              <w:rPr>
                <w:sz w:val="15"/>
                <w:szCs w:val="15"/>
              </w:rPr>
              <w:t xml:space="preserve">14.4 h</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Sell unused equipment; tighter stock control   ·   Gulf retail chains; private-label tahini   ·   Launch sugar-free halva and juice   ·   Supervisor and quality courses   ·   0.40 kWh   ·   Plan period</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Expect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classify as mission, vision, goal, objective or tactic, and questions on time frames and on the fit between the budget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first-year   ·   strategy   ·   statements   ·   follows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0.40 kWh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0.50 − (0.50 − 0.40) ÷ 5 = 0.48 kWh   ·   To be the most reliable food distributor in the Levant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We deliver Orontes products to every shop in Jordan, fresh and on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 be the most reliable food distributor in the Levant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97% of deliveries on time by 2030</w:t>
            </w:r>
          </w:p>
        </w:tc>
        <w:tc>
          <w:tcPr>
            <w:tcW w:type="pct" w:w="2400"/>
            <w:tcMar>
              <w:top w:type="dxa" w:w="50"/>
              <w:left w:type="dxa" w:w="110"/>
              <w:bottom w:type="dxa" w:w="50"/>
              <w:right w:type="dxa" w:w="110"/>
            </w:tcMar>
          </w:tcPr>
          <w:p>
            <w:pPr>
              <w:spacing w:before="28" w:after="28"/>
            </w:pPr>
            <w:r>
              <w:rPr>
                <w:sz w:val="15"/>
                <w:szCs w:val="15"/>
              </w:rPr>
              <w:t xml:space="preserve">Long-term goal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91% of deliveries on time in 2028</w:t>
            </w:r>
          </w:p>
        </w:tc>
        <w:tc>
          <w:tcPr>
            <w:tcW w:type="pct" w:w="2400"/>
            <w:shd w:fill="FBFAF6" w:val="clear"/>
            <w:tcMar>
              <w:top w:type="dxa" w:w="50"/>
              <w:left w:type="dxa" w:w="110"/>
              <w:bottom w:type="dxa" w:w="50"/>
              <w:right w:type="dxa" w:w="110"/>
            </w:tcMar>
          </w:tcPr>
          <w:p>
            <w:pPr>
              <w:spacing w:before="28" w:after="28"/>
            </w:pPr>
            <w:r>
              <w:rPr>
                <w:sz w:val="15"/>
                <w:szCs w:val="15"/>
              </w:rPr>
              <w:t xml:space="preserve">Short-term objective</w:t>
            </w:r>
          </w:p>
        </w:tc>
      </w:tr>
      <w:tr>
        <w:tc>
          <w:tcPr>
            <w:tcW w:type="pct" w:w="2600"/>
            <w:tcMar>
              <w:top w:type="dxa" w:w="50"/>
              <w:left w:type="dxa" w:w="110"/>
              <w:bottom w:type="dxa" w:w="50"/>
              <w:right w:type="dxa" w:w="110"/>
            </w:tcMar>
          </w:tcPr>
          <w:p>
            <w:pPr>
              <w:spacing w:before="28" w:after="28"/>
            </w:pPr>
            <w:r>
              <w:rPr>
                <w:sz w:val="15"/>
                <w:szCs w:val="15"/>
              </w:rPr>
              <w:t xml:space="preserve">Plan delivery routes each night with new software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Tactic   ·   Vision   ·   Mission   ·   Long-term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first-year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Gulf retail chains; private-label tahini</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Tactic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0.40 kWh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Supervisor and quality courses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 Return on investment must rise from 11.0% to 15.0%, so the first-year objective is 11.8%.</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9bbee82a4123cbcc33cf278b29ce20f5e3a77cad.png" Type="http://schemas.openxmlformats.org/officeDocument/2006/relationships/image"/><Relationship Id="rId104" Target="media/7777f0941495b649ce53e73582af77a916e0523d.png" Type="http://schemas.openxmlformats.org/officeDocument/2006/relationships/image"/><Relationship Id="rId105" Target="media/11c730d31e875dcf55431355aef91543d694d530.png" Type="http://schemas.openxmlformats.org/officeDocument/2006/relationships/image"/><Relationship Id="rId106" Target="media/4f235748b9ff2d5c04a91e69696ba62cb71c13e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dc:title>
  <dc:subject>Summary handouts</dc:subject>
  <cp:category>Student Book</cp:category>
</cp:coreProperties>
</file>