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14.1  Why overhead needs its own variances</w:t>
            </w:r>
          </w:p>
          <w:p>
            <w:pPr>
              <w:spacing w:before="0" w:after="46"/>
            </w:pPr>
            <w:r>
              <w:rPr>
                <w:color w:val="E8EAF6"/>
                <w:sz w:val="16"/>
                <w:szCs w:val="16"/>
              </w:rPr>
              <w:t xml:space="preserve">Chapter 14 · section 14.1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Analysing variances and acting on them   ·   Why overhead needs its own variances   ·   Fixed overhead variances   ·   Variable overhead variances</w:t>
            </w:r>
          </w:p>
        </w:tc>
      </w:tr>
    </w:tbl>
    <w:p/>
    <w:p>
      <w:pPr>
        <w:spacing w:before="44" w:after="14"/>
      </w:pPr>
      <w:r>
        <w:rPr>
          <w:b/>
          <w:bCs/>
          <w:color w:val="353A7C"/>
          <w:sz w:val="18"/>
          <w:szCs w:val="18"/>
        </w:rPr>
        <w:t xml:space="preserve">Summary 1</w:t>
      </w:r>
      <w:r>
        <w:rPr>
          <w:color w:val="6B7280"/>
          <w:sz w:val="16"/>
          <w:szCs w:val="16"/>
        </w:rPr>
        <w:t xml:space="preserve">      gaps 4–10</w:t>
      </w:r>
    </w:p>
    <w:p>
      <w:pPr>
        <w:spacing w:before="20" w:after="20" w:line="360" w:lineRule="auto"/>
        <w:ind w:left="200"/>
      </w:pPr>
      <w:r>
        <w:rPr>
          <w:sz w:val="19"/>
          <w:szCs w:val="19"/>
        </w:rPr>
        <w:t xml:space="preserve">Variable overhead behaves like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 changes with a driver, here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hours, so it has both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variance and an efficiency variance. </w:t>
      </w:r>
      <w:r>
        <w:rPr>
          <w:sz w:val="19"/>
          <w:szCs w:val="19"/>
        </w:rPr>
        <w:t xml:space="preserve">Fixed overhead does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with activity, so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have an efficiency variance in the same sense. </w:t>
      </w:r>
      <w:r>
        <w:rPr>
          <w:sz w:val="19"/>
          <w:szCs w:val="19"/>
        </w:rPr>
        <w:t xml:space="preserve">Fixed overhead still produces a second variance, but of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kind: because the fixed rate assumes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level of activity, producing more or less than that volume changes how much fixed overhead is absorbed.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efficiency   ·   spending   ·   machine   ·   material   ·   change   ·   cannot   ·   different   ·   denominator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96"/>
        <w:gridCol w:w="2452"/>
        <w:gridCol w:w="1371"/>
        <w:gridCol w:w="408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How variable and fixed overhead differ</w:t>
            </w:r>
          </w:p>
        </w:tc>
      </w:tr>
      <w:tr>
        <w:tc>
          <w:tcPr>
            <w:tcW w:type="pct" w:w="884"/>
            <w:shd w:fill="353A7C" w:val="clear"/>
            <w:tcMar>
              <w:top w:type="dxa" w:w="50"/>
              <w:left w:type="dxa" w:w="110"/>
              <w:bottom w:type="dxa" w:w="50"/>
              <w:right w:type="dxa" w:w="110"/>
            </w:tcMar>
          </w:tcPr>
          <w:p>
            <w:pPr>
              <w:spacing w:before="30" w:after="30"/>
            </w:pPr>
            <w:r>
              <w:rPr>
                <w:b/>
                <w:bCs/>
                <w:color w:val="FFFFFF"/>
                <w:sz w:val="15"/>
                <w:szCs w:val="15"/>
              </w:rPr>
              <w:t xml:space="preserve">Overhead</w:t>
            </w:r>
          </w:p>
        </w:tc>
        <w:tc>
          <w:tcPr>
            <w:tcW w:type="pct" w:w="1277"/>
            <w:shd w:fill="353A7C" w:val="clear"/>
            <w:tcMar>
              <w:top w:type="dxa" w:w="50"/>
              <w:left w:type="dxa" w:w="110"/>
              <w:bottom w:type="dxa" w:w="50"/>
              <w:right w:type="dxa" w:w="110"/>
            </w:tcMar>
          </w:tcPr>
          <w:p>
            <w:pPr>
              <w:spacing w:before="30" w:after="30"/>
            </w:pPr>
            <w:r>
              <w:rPr>
                <w:b/>
                <w:bCs/>
                <w:color w:val="FFFFFF"/>
                <w:sz w:val="15"/>
                <w:szCs w:val="15"/>
              </w:rPr>
              <w:t xml:space="preserve">Examples (Chapter 7)</w:t>
            </w:r>
          </w:p>
        </w:tc>
        <w:tc>
          <w:tcPr>
            <w:tcW w:type="pct" w:w="714"/>
            <w:shd w:fill="353A7C" w:val="clear"/>
            <w:tcMar>
              <w:top w:type="dxa" w:w="50"/>
              <w:left w:type="dxa" w:w="110"/>
              <w:bottom w:type="dxa" w:w="50"/>
              <w:right w:type="dxa" w:w="110"/>
            </w:tcMar>
          </w:tcPr>
          <w:p>
            <w:pPr>
              <w:spacing w:before="30" w:after="30"/>
            </w:pPr>
            <w:r>
              <w:rPr>
                <w:b/>
                <w:bCs/>
                <w:color w:val="FFFFFF"/>
                <w:sz w:val="15"/>
                <w:szCs w:val="15"/>
              </w:rPr>
              <w:t xml:space="preserve">Standard</w:t>
            </w:r>
          </w:p>
        </w:tc>
        <w:tc>
          <w:tcPr>
            <w:tcW w:type="pct" w:w="2126"/>
            <w:shd w:fill="353A7C" w:val="clear"/>
            <w:tcMar>
              <w:top w:type="dxa" w:w="50"/>
              <w:left w:type="dxa" w:w="110"/>
              <w:bottom w:type="dxa" w:w="50"/>
              <w:right w:type="dxa" w:w="110"/>
            </w:tcMar>
          </w:tcPr>
          <w:p>
            <w:pPr>
              <w:spacing w:before="30" w:after="30"/>
            </w:pPr>
            <w:r>
              <w:rPr>
                <w:b/>
                <w:bCs/>
                <w:color w:val="FFFFFF"/>
                <w:sz w:val="15"/>
                <w:szCs w:val="15"/>
              </w:rPr>
              <w:t xml:space="preserve">Variances it can have</w:t>
            </w:r>
          </w:p>
        </w:tc>
      </w:tr>
      <w:tr>
        <w:tc>
          <w:tcPr>
            <w:tcW w:type="pct" w:w="884"/>
            <w:tcMar>
              <w:top w:type="dxa" w:w="50"/>
              <w:left w:type="dxa" w:w="110"/>
              <w:bottom w:type="dxa" w:w="50"/>
              <w:right w:type="dxa" w:w="110"/>
            </w:tcMar>
          </w:tcPr>
          <w:p>
            <w:pPr>
              <w:spacing w:before="28" w:after="28"/>
            </w:pPr>
            <w:r>
              <w:rPr>
                <w:sz w:val="15"/>
                <w:szCs w:val="15"/>
              </w:rPr>
              <w:t xml:space="preserve">Variable overhead</w:t>
            </w:r>
          </w:p>
        </w:tc>
        <w:tc>
          <w:tcPr>
            <w:tcW w:type="pct" w:w="1277"/>
            <w:tcMar>
              <w:top w:type="dxa" w:w="50"/>
              <w:left w:type="dxa" w:w="110"/>
              <w:bottom w:type="dxa" w:w="50"/>
              <w:right w:type="dxa" w:w="110"/>
            </w:tcMar>
          </w:tcPr>
          <w:p>
            <w:pPr>
              <w:spacing w:before="28" w:after="28"/>
            </w:pPr>
            <w:r>
              <w:rPr>
                <w:sz w:val="15"/>
                <w:szCs w:val="15"/>
              </w:rPr>
              <w:t xml:space="preserve">Power, supplies, maintenance</w:t>
            </w:r>
          </w:p>
        </w:tc>
        <w:tc>
          <w:tcPr>
            <w:tcW w:type="pct" w:w="714"/>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126"/>
            <w:tcMar>
              <w:top w:type="dxa" w:w="50"/>
              <w:left w:type="dxa" w:w="110"/>
              <w:bottom w:type="dxa" w:w="50"/>
              <w:right w:type="dxa" w:w="110"/>
            </w:tcMar>
          </w:tcPr>
          <w:p>
            <w:pPr>
              <w:spacing w:before="28" w:after="28"/>
            </w:pPr>
            <w:r>
              <w:rPr>
                <w:sz w:val="15"/>
                <w:szCs w:val="15"/>
              </w:rPr>
              <w:t xml:space="preserve">Spending and efficiency</w:t>
            </w:r>
          </w:p>
        </w:tc>
      </w:tr>
      <w:tr>
        <w:tc>
          <w:tcPr>
            <w:tcW w:type="pct" w:w="884"/>
            <w:shd w:fill="FBFAF6" w:val="clear"/>
            <w:tcMar>
              <w:top w:type="dxa" w:w="50"/>
              <w:left w:type="dxa" w:w="110"/>
              <w:bottom w:type="dxa" w:w="50"/>
              <w:right w:type="dxa" w:w="110"/>
            </w:tcMar>
          </w:tcPr>
          <w:p>
            <w:pPr>
              <w:spacing w:before="28" w:after="28"/>
            </w:pPr>
            <w:r>
              <w:rPr>
                <w:sz w:val="15"/>
                <w:szCs w:val="15"/>
              </w:rPr>
              <w:t xml:space="preserve">Fixed overhead</w:t>
            </w:r>
          </w:p>
        </w:tc>
        <w:tc>
          <w:tcPr>
            <w:tcW w:type="pct" w:w="1277"/>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714"/>
            <w:shd w:fill="FBFAF6" w:val="clear"/>
            <w:tcMar>
              <w:top w:type="dxa" w:w="50"/>
              <w:left w:type="dxa" w:w="110"/>
              <w:bottom w:type="dxa" w:w="50"/>
              <w:right w:type="dxa" w:w="110"/>
            </w:tcMar>
          </w:tcPr>
          <w:p>
            <w:pPr>
              <w:spacing w:before="28" w:after="28"/>
            </w:pPr>
            <w:r>
              <w:rPr>
                <w:sz w:val="15"/>
                <w:szCs w:val="15"/>
              </w:rPr>
              <w:t xml:space="preserve">$150,000 a month</w:t>
            </w:r>
          </w:p>
        </w:tc>
        <w:tc>
          <w:tcPr>
            <w:tcW w:type="pct" w:w="2126"/>
            <w:shd w:fill="FBFAF6" w:val="clear"/>
            <w:tcMar>
              <w:top w:type="dxa" w:w="50"/>
              <w:left w:type="dxa" w:w="110"/>
              <w:bottom w:type="dxa" w:w="50"/>
              <w:right w:type="dxa" w:w="110"/>
            </w:tcMar>
          </w:tcPr>
          <w:p>
            <w:pPr>
              <w:spacing w:before="28" w:after="28"/>
            </w:pPr>
            <w:r>
              <w:rPr>
                <w:sz w:val="15"/>
                <w:szCs w:val="15"/>
              </w:rPr>
              <w:t xml:space="preserve">Spending, and a volume effect on absorption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Power, supplies, maintenance   ·   Supervision, depreciation, insurance   ·   $50.00 a machine hour</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14.1  Why overhead needs its own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Why overhead needs its own variances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Fixed overhead variances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cannot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Analysing variances and acting on them</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material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denominator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machine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$50.00 a machine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Supervision, depreciation, insurance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Variable overhead behaves like a material: it changes with a driver, here machine hours, so it has both a spending variance and an efficiency variance. Fixed overhead does not change with activity, so it cannot have an efficiency variance in the same sense. Fixed overhead still produces a second variance, but of a different kind: because the fixed rate assumes a denominator level of activity, producing more or less than that volume changes how much fixed overhead is absorbed.</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14.2  Variable overhead variances</w:t>
            </w:r>
          </w:p>
          <w:p>
            <w:pPr>
              <w:spacing w:before="0" w:after="46"/>
            </w:pPr>
            <w:r>
              <w:rPr>
                <w:color w:val="E8EAF6"/>
                <w:sz w:val="16"/>
                <w:szCs w:val="16"/>
              </w:rPr>
              <w:t xml:space="preserve">Chapter 14 · section 14.2</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The three-column frame of, with machine hours as the input.</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variable overhead in June</w:t>
            </w:r>
          </w:p>
        </w:tc>
      </w:tr>
    </w:tbl>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variable overhead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variance compares actual overhead with the standard rate applied to the hours worked: $71,000 − 1,460 × $50.00 = $2,000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variable overhead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variance values the extra hours at the standard rate: $1,000 unfavorable.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spending   ·   compares   ·   favorable   ·   efficiency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variable overhead variances for June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Variable overhead, June 2028</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Cases produced</w:t>
            </w:r>
          </w:p>
        </w:tc>
        <w:tc>
          <w:tcPr>
            <w:tcW w:type="pct" w:w="2400"/>
            <w:tcMar>
              <w:top w:type="dxa" w:w="50"/>
              <w:left w:type="dxa" w:w="110"/>
              <w:bottom w:type="dxa" w:w="50"/>
              <w:right w:type="dxa" w:w="110"/>
            </w:tcMar>
          </w:tcPr>
          <w:p>
            <w:pPr>
              <w:spacing w:before="28" w:after="28"/>
            </w:pPr>
            <w:r>
              <w:rPr>
                <w:sz w:val="15"/>
                <w:szCs w:val="15"/>
              </w:rPr>
              <w:t xml:space="preserve">72,000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machine hours allowed (0.02 a case)</w:t>
            </w:r>
          </w:p>
        </w:tc>
        <w:tc>
          <w:tcPr>
            <w:tcW w:type="pct" w:w="2400"/>
            <w:shd w:fill="FBFAF6" w:val="clear"/>
            <w:tcMar>
              <w:top w:type="dxa" w:w="50"/>
              <w:left w:type="dxa" w:w="110"/>
              <w:bottom w:type="dxa" w:w="50"/>
              <w:right w:type="dxa" w:w="110"/>
            </w:tcMar>
          </w:tcPr>
          <w:p>
            <w:pPr>
              <w:spacing w:before="28" w:after="28"/>
            </w:pPr>
            <w:r>
              <w:rPr>
                <w:sz w:val="15"/>
                <w:szCs w:val="15"/>
              </w:rPr>
              <w:t xml:space="preserve">1,440</w:t>
            </w:r>
          </w:p>
        </w:tc>
      </w:tr>
      <w:tr>
        <w:tc>
          <w:tcPr>
            <w:tcW w:type="pct" w:w="2600"/>
            <w:tcMar>
              <w:top w:type="dxa" w:w="50"/>
              <w:left w:type="dxa" w:w="110"/>
              <w:bottom w:type="dxa" w:w="50"/>
              <w:right w:type="dxa" w:w="110"/>
            </w:tcMar>
          </w:tcPr>
          <w:p>
            <w:pPr>
              <w:spacing w:before="28" w:after="28"/>
            </w:pPr>
            <w:r>
              <w:rPr>
                <w:sz w:val="15"/>
                <w:szCs w:val="15"/>
              </w:rPr>
              <w:t xml:space="preserve">Actual machine hours</w:t>
            </w:r>
          </w:p>
        </w:tc>
        <w:tc>
          <w:tcPr>
            <w:tcW w:type="pct" w:w="2400"/>
            <w:tcMar>
              <w:top w:type="dxa" w:w="50"/>
              <w:left w:type="dxa" w:w="110"/>
              <w:bottom w:type="dxa" w:w="50"/>
              <w:right w:type="dxa" w:w="110"/>
            </w:tcMar>
          </w:tcPr>
          <w:p>
            <w:pPr>
              <w:spacing w:before="28" w:after="28"/>
            </w:pPr>
            <w:r>
              <w:rPr>
                <w:sz w:val="15"/>
                <w:szCs w:val="15"/>
              </w:rPr>
              <w:t xml:space="preserve">1,460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variable overhead rate</w:t>
            </w:r>
          </w:p>
        </w:tc>
        <w:tc>
          <w:tcPr>
            <w:tcW w:type="pct" w:w="2400"/>
            <w:shd w:fill="FBFAF6" w:val="clear"/>
            <w:tcMar>
              <w:top w:type="dxa" w:w="50"/>
              <w:left w:type="dxa" w:w="110"/>
              <w:bottom w:type="dxa" w:w="50"/>
              <w:right w:type="dxa" w:w="110"/>
            </w:tcMar>
          </w:tcPr>
          <w:p>
            <w:pPr>
              <w:spacing w:before="28" w:after="28"/>
            </w:pPr>
            <w:r>
              <w:rPr>
                <w:sz w:val="15"/>
                <w:szCs w:val="15"/>
              </w:rPr>
              <w:t xml:space="preserve">$50.00 an hour</w:t>
            </w:r>
          </w:p>
        </w:tc>
      </w:tr>
      <w:tr>
        <w:tc>
          <w:tcPr>
            <w:tcW w:type="pct" w:w="2600"/>
            <w:tcMar>
              <w:top w:type="dxa" w:w="50"/>
              <w:left w:type="dxa" w:w="110"/>
              <w:bottom w:type="dxa" w:w="50"/>
              <w:right w:type="dxa" w:w="110"/>
            </w:tcMar>
          </w:tcPr>
          <w:p>
            <w:pPr>
              <w:spacing w:before="28" w:after="28"/>
            </w:pPr>
            <w:r>
              <w:rPr>
                <w:sz w:val="15"/>
                <w:szCs w:val="15"/>
              </w:rPr>
              <w:t xml:space="preserve">Actual variable overhead</w:t>
            </w:r>
          </w:p>
        </w:tc>
        <w:tc>
          <w:tcPr>
            <w:tcW w:type="pct" w:w="2400"/>
            <w:tcMar>
              <w:top w:type="dxa" w:w="50"/>
              <w:left w:type="dxa" w:w="110"/>
              <w:bottom w:type="dxa" w:w="50"/>
              <w:right w:type="dxa" w:w="110"/>
            </w:tcMar>
          </w:tcPr>
          <w:p>
            <w:pPr>
              <w:spacing w:before="28" w:after="28"/>
            </w:pPr>
            <w:r>
              <w:rPr>
                <w:sz w:val="15"/>
                <w:szCs w:val="15"/>
              </w:rPr>
              <w:t xml:space="preserve">71,000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Spending variance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600"/>
            <w:tcMar>
              <w:top w:type="dxa" w:w="50"/>
              <w:left w:type="dxa" w:w="110"/>
              <w:bottom w:type="dxa" w:w="50"/>
              <w:right w:type="dxa" w:w="110"/>
            </w:tcMar>
          </w:tcPr>
          <w:p>
            <w:pPr>
              <w:spacing w:before="28" w:after="28"/>
            </w:pPr>
            <w:r>
              <w:rPr>
                <w:sz w:val="15"/>
                <w:szCs w:val="15"/>
              </w:rPr>
              <w:t xml:space="preserve">Efficiency variance</w:t>
            </w:r>
          </w:p>
        </w:tc>
        <w:tc>
          <w:tcPr>
            <w:tcW w:type="pct" w:w="2400"/>
            <w:tcMar>
              <w:top w:type="dxa" w:w="50"/>
              <w:left w:type="dxa" w:w="110"/>
              <w:bottom w:type="dxa" w:w="50"/>
              <w:right w:type="dxa" w:w="110"/>
            </w:tcMar>
          </w:tcPr>
          <w:p>
            <w:pPr>
              <w:spacing w:before="28" w:after="28"/>
            </w:pPr>
            <w:r>
              <w:rPr>
                <w:sz w:val="15"/>
                <w:szCs w:val="15"/>
              </w:rPr>
              <w:t xml:space="preserve">(1,460 − 1,440) × 50.00 = 1,000 U</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Total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71,000 − 1,460 × 50.00 = 2,000 F   ·   fixed overhead spending variance   ·   1,000 F</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The 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make the $1,000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Note what each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spending is about the rate paid for power and supplies; efficiency is about machine hours, so it follows the same cause as the labor efficiency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   ·   measures   ·   favorable   ·   together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variable overhead spending variance</w:t>
            </w:r>
          </w:p>
        </w:tc>
        <w:tc>
          <w:tcPr>
            <w:tcW w:type="pct" w:w="2600"/>
            <w:tcMar>
              <w:top w:type="dxa" w:w="50"/>
              <w:left w:type="dxa" w:w="110"/>
              <w:bottom w:type="dxa" w:w="50"/>
              <w:right w:type="dxa" w:w="110"/>
            </w:tcMar>
          </w:tcPr>
          <w:p>
            <w:pPr>
              <w:spacing w:before="26" w:after="26"/>
            </w:pPr>
            <w:r>
              <w:rPr>
                <w:color w:val="232733"/>
                <w:sz w:val="16"/>
                <w:szCs w:val="16"/>
              </w:rPr>
              <w:t xml:space="preserve">انحراف إنفاق التكاليف غير المباشرة المتغيرة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variable overhead efficiency variance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انحراف كفاءة التكاليف غير المباشرة المتغيرة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14.2  Variable overhead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1,000 F</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favorable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efficiency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71,000 − 1,460 × 50.00 = 2,000 F</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measures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variable overhead spending variance compares actual overhead with the standard rate applied to the hours worked: $71,000 − 1,460 × $50.00 = $2,000 favorable. The variable overhead efficiency variance values the extra hours at the standard rate: $1,000 unfavorable.</w:t>
      </w:r>
    </w:p>
    <w:p>
      <w:pPr>
        <w:spacing w:before="20" w:after="20"/>
        <w:ind w:left="240" w:hanging="240"/>
      </w:pPr>
      <w:r>
        <w:rPr>
          <w:b/>
          <w:bCs/>
          <w:color w:val="353A7C"/>
          <w:sz w:val="15"/>
          <w:szCs w:val="15"/>
        </w:rPr>
        <w:t xml:space="preserve">Summary 2   </w:t>
      </w:r>
      <w:r>
        <w:rPr>
          <w:color w:val="6B7280"/>
          <w:sz w:val="15"/>
          <w:szCs w:val="15"/>
        </w:rPr>
        <w:t xml:space="preserve">The two together make the $1,000 favorable. Note what each measures: spending is about the rate paid for power and supplies; efficiency is about machine hours, so it follows the same cause as the labor efficiency variance.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14.3  Fixed overhead variances</w:t>
            </w:r>
          </w:p>
          <w:p>
            <w:pPr>
              <w:spacing w:before="0" w:after="46"/>
            </w:pPr>
            <w:r>
              <w:rPr>
                <w:color w:val="E8EAF6"/>
                <w:sz w:val="16"/>
                <w:szCs w:val="16"/>
              </w:rPr>
              <w:t xml:space="preserve">Chapter 14 · section 14.3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Fixed overhead uses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middle column: the budget, which is the same at any volume. </w:t>
      </w:r>
      <w:r>
        <w:rPr>
          <w:sz w:val="19"/>
          <w:szCs w:val="19"/>
        </w:rPr>
        <w:t xml:space="preserve">The left gap is the fixed overhead spending variance; the right gap is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   ·   different   ·   production-volume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fixed overhead in June</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Spending: $152,000 − $150,000 = $2,000 unfavorable.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$150,000 − 1,440 hours × $100.00 = $6,000 unfavorable, which is the 3,000 cases below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volume × $2.00 a case.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   ·   denominator   ·   Production-volume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fixed overhead variances</w:t>
            </w:r>
          </w:p>
        </w:tc>
      </w:tr>
    </w:tbl>
    <w:p/>
    <w:p>
      <w:pPr>
        <w:spacing w:before="20" w:after="20" w:line="360" w:lineRule="auto"/>
        <w:ind w:left="200"/>
      </w:pPr>
      <w:r>
        <w:rPr>
          <w:sz w:val="19"/>
          <w:szCs w:val="19"/>
        </w:rPr>
        <w:t xml:space="preserve">Complete the blank rows.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Your turn: the fixed overhead variances (complete the blanks)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Fixed overhead, June 2028</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600"/>
            <w:tcMar>
              <w:top w:type="dxa" w:w="50"/>
              <w:left w:type="dxa" w:w="110"/>
              <w:bottom w:type="dxa" w:w="50"/>
              <w:right w:type="dxa" w:w="110"/>
            </w:tcMar>
          </w:tcPr>
          <w:p>
            <w:pPr>
              <w:spacing w:before="28" w:after="28"/>
            </w:pPr>
            <w:r>
              <w:rPr>
                <w:sz w:val="15"/>
                <w:szCs w:val="15"/>
              </w:rPr>
              <w:t xml:space="preserve">150,000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600"/>
            <w:shd w:fill="FBFAF6" w:val="clear"/>
            <w:tcMar>
              <w:top w:type="dxa" w:w="50"/>
              <w:left w:type="dxa" w:w="110"/>
              <w:bottom w:type="dxa" w:w="50"/>
              <w:right w:type="dxa" w:w="110"/>
            </w:tcMar>
          </w:tcPr>
          <w:p>
            <w:pPr>
              <w:spacing w:before="28" w:after="28"/>
            </w:pPr>
            <w:r>
              <w:rPr>
                <w:sz w:val="15"/>
                <w:szCs w:val="15"/>
              </w:rPr>
              <w:t xml:space="preserve">1,500 machine hours</w:t>
            </w:r>
          </w:p>
        </w:tc>
      </w:tr>
      <w:tr>
        <w:tc>
          <w:tcPr>
            <w:tcW w:type="pct" w:w="2400"/>
            <w:tcMar>
              <w:top w:type="dxa" w:w="50"/>
              <w:left w:type="dxa" w:w="110"/>
              <w:bottom w:type="dxa" w:w="50"/>
              <w:right w:type="dxa" w:w="110"/>
            </w:tcMar>
          </w:tcPr>
          <w:p>
            <w:pPr>
              <w:spacing w:before="28" w:after="28"/>
            </w:pPr>
            <w:r>
              <w:rPr>
                <w:sz w:val="15"/>
                <w:szCs w:val="15"/>
              </w:rPr>
              <w:t xml:space="preserve">Fixed overhead rate</w:t>
            </w:r>
          </w:p>
        </w:tc>
        <w:tc>
          <w:tcPr>
            <w:tcW w:type="pct" w:w="2600"/>
            <w:tcMar>
              <w:top w:type="dxa" w:w="50"/>
              <w:left w:type="dxa" w:w="110"/>
              <w:bottom w:type="dxa" w:w="50"/>
              <w:right w:type="dxa" w:w="110"/>
            </w:tcMar>
          </w:tcPr>
          <w:p>
            <w:pPr>
              <w:spacing w:before="28" w:after="28"/>
            </w:pPr>
            <w:r>
              <w:rPr>
                <w:sz w:val="15"/>
                <w:szCs w:val="15"/>
              </w:rPr>
              <w:t xml:space="preserve">$100.00 an hour ($2.00 a case)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Actual fixed overhead</w:t>
            </w:r>
          </w:p>
        </w:tc>
        <w:tc>
          <w:tcPr>
            <w:tcW w:type="pct" w:w="2600"/>
            <w:shd w:fill="FBFAF6" w:val="clear"/>
            <w:tcMar>
              <w:top w:type="dxa" w:w="50"/>
              <w:left w:type="dxa" w:w="110"/>
              <w:bottom w:type="dxa" w:w="50"/>
              <w:right w:type="dxa" w:w="110"/>
            </w:tcMar>
          </w:tcPr>
          <w:p>
            <w:pPr>
              <w:spacing w:before="28" w:after="28"/>
            </w:pPr>
            <w:r>
              <w:rPr>
                <w:sz w:val="15"/>
                <w:szCs w:val="15"/>
              </w:rPr>
              <w:t xml:space="preserve">152,000</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600"/>
            <w:tcMar>
              <w:top w:type="dxa" w:w="50"/>
              <w:left w:type="dxa" w:w="110"/>
              <w:bottom w:type="dxa" w:w="50"/>
              <w:right w:type="dxa" w:w="110"/>
            </w:tcMar>
          </w:tcPr>
          <w:p>
            <w:pPr>
              <w:spacing w:before="28" w:after="28"/>
            </w:pPr>
            <w:r>
              <w:rPr>
                <w:sz w:val="15"/>
                <w:szCs w:val="15"/>
              </w:rPr>
              <w:t xml:space="preserve">144,000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Spending variance</w:t>
            </w:r>
          </w:p>
        </w:tc>
        <w:tc>
          <w:tcPr>
            <w:tcW w:type="pct" w:w="26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600"/>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Denominator volume (75,000 cases)   ·   Applied: 1,440 hours × $100.00   ·   Production-volume variance   ·   denominator level   ·   Budgeted fixed overhead for the month</w:t>
            </w:r>
          </w:p>
        </w:tc>
      </w:tr>
    </w:tbl>
    <w:p/>
    <w:p>
      <w:pPr>
        <w:spacing w:before="44" w:after="14"/>
      </w:pPr>
      <w:r>
        <w:rPr>
          <w:b/>
          <w:bCs/>
          <w:color w:val="353A7C"/>
          <w:sz w:val="18"/>
          <w:szCs w:val="18"/>
        </w:rPr>
        <w:t xml:space="preserve">Summary 3</w:t>
      </w:r>
      <w:r>
        <w:rPr>
          <w:color w:val="6B7280"/>
          <w:sz w:val="16"/>
          <w:szCs w:val="16"/>
        </w:rPr>
        <w:t xml:space="preserve">      gaps 9–11</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variance is not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of cost control. </w:t>
      </w:r>
      <w:r>
        <w:rPr>
          <w:sz w:val="19"/>
          <w:szCs w:val="19"/>
        </w:rPr>
        <w:t xml:space="preserve">Nobody spent $6,000 too much: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simply produced fewer cases than the volume assumed when the rate was set, so less fixed overhead was absorbed into products.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measure   ·   overhead   ·   division   ·   production-volume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No fixed overhead efficiency variance</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12–13</w:t>
      </w:r>
    </w:p>
    <w:p>
      <w:pPr>
        <w:spacing w:before="20" w:after="20" w:line="360" w:lineRule="auto"/>
        <w:ind w:left="200"/>
      </w:pPr>
      <w:r>
        <w:rPr>
          <w:sz w:val="19"/>
          <w:szCs w:val="19"/>
        </w:rPr>
        <w:t xml:space="preserve">Fixed overhead has a spending variance and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variance, and nothing else. </w:t>
      </w:r>
      <w:r>
        <w:rPr>
          <w:sz w:val="19"/>
          <w:szCs w:val="19"/>
        </w:rPr>
        <w:t xml:space="preserve">An answer that reports a fixed overhead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variance has borrowed a variance that does not exist.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efficiency   ·   borrowed   ·   production-volume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corrective action   ·   denominator level   ·   fixed overhead spending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fixed overhead spending variance</w:t>
            </w:r>
          </w:p>
        </w:tc>
        <w:tc>
          <w:tcPr>
            <w:tcW w:type="pct" w:w="2600"/>
            <w:tcMar>
              <w:top w:type="dxa" w:w="50"/>
              <w:left w:type="dxa" w:w="110"/>
              <w:bottom w:type="dxa" w:w="50"/>
              <w:right w:type="dxa" w:w="110"/>
            </w:tcMar>
          </w:tcPr>
          <w:p>
            <w:pPr>
              <w:spacing w:before="26" w:after="26"/>
            </w:pPr>
            <w:r>
              <w:rPr>
                <w:color w:val="232733"/>
                <w:sz w:val="16"/>
                <w:szCs w:val="16"/>
              </w:rPr>
              <w:t xml:space="preserve">انحراف إنفاق التكاليف غير المباشرة الثابتة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production-volume variance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انحراف حجم الإنتاج</w:t>
            </w:r>
          </w:p>
        </w:tc>
      </w:tr>
      <w:tr>
        <w:tc>
          <w:tcPr>
            <w:tcW w:type="pct" w:w="2400"/>
            <w:tcMar>
              <w:top w:type="dxa" w:w="50"/>
              <w:left w:type="dxa" w:w="110"/>
              <w:bottom w:type="dxa" w:w="50"/>
              <w:right w:type="dxa" w:w="110"/>
            </w:tcMar>
          </w:tcPr>
          <w:p>
            <w:pPr>
              <w:spacing w:before="26" w:after="26"/>
            </w:pPr>
            <w:r>
              <w:rPr>
                <w:color w:val="232733"/>
                <w:sz w:val="16"/>
                <w:szCs w:val="16"/>
              </w:rPr>
              <w:t xml:space="preserve">denominator level</w:t>
            </w:r>
          </w:p>
        </w:tc>
        <w:tc>
          <w:tcPr>
            <w:tcW w:type="pct" w:w="2600"/>
            <w:tcMar>
              <w:top w:type="dxa" w:w="50"/>
              <w:left w:type="dxa" w:w="110"/>
              <w:bottom w:type="dxa" w:w="50"/>
              <w:right w:type="dxa" w:w="110"/>
            </w:tcMar>
          </w:tcPr>
          <w:p>
            <w:pPr>
              <w:spacing w:before="26" w:after="26"/>
            </w:pPr>
            <w:r>
              <w:rPr>
                <w:color w:val="232733"/>
                <w:sz w:val="16"/>
                <w:szCs w:val="16"/>
              </w:rPr>
              <w:t xml:space="preserve">مستوى الطاقة المستخدم في المقام</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14.3  Fixed overhead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production-volume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production-volume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measure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Production-volume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denominator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production-volume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Budgeted fixed overhead for the month</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efficiency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Denominator volume (75,000 cases)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fixed overhead spending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Applied: 1,440 hours × $100.00</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denominator 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Production-volume variance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Fixed overhead uses a different middle column: the budget, which is the same at any volume. The left gap is the fixed overhead spending variance; the right gap is the production-volume variance.</w:t>
      </w:r>
    </w:p>
    <w:p>
      <w:pPr>
        <w:spacing w:before="20" w:after="20"/>
        <w:ind w:left="240" w:hanging="240"/>
      </w:pPr>
      <w:r>
        <w:rPr>
          <w:b/>
          <w:bCs/>
          <w:color w:val="353A7C"/>
          <w:sz w:val="15"/>
          <w:szCs w:val="15"/>
        </w:rPr>
        <w:t xml:space="preserve">Summary 2   </w:t>
      </w:r>
      <w:r>
        <w:rPr>
          <w:color w:val="6B7280"/>
          <w:sz w:val="15"/>
          <w:szCs w:val="15"/>
        </w:rPr>
        <w:t xml:space="preserve">Spending: $152,000 − $150,000 = $2,000 unfavorable. Production-volume: $150,000 − 1,440 hours × $100.00 = $6,000 unfavorable, which is the 3,000 cases below the denominator volume × $2.00 a case.</w:t>
      </w:r>
    </w:p>
    <w:p>
      <w:pPr>
        <w:spacing w:before="20" w:after="20"/>
        <w:ind w:left="240" w:hanging="240"/>
      </w:pPr>
      <w:r>
        <w:rPr>
          <w:b/>
          <w:bCs/>
          <w:color w:val="353A7C"/>
          <w:sz w:val="15"/>
          <w:szCs w:val="15"/>
        </w:rPr>
        <w:t xml:space="preserve">Summary 3   </w:t>
      </w:r>
      <w:r>
        <w:rPr>
          <w:color w:val="6B7280"/>
          <w:sz w:val="15"/>
          <w:szCs w:val="15"/>
        </w:rPr>
        <w:t xml:space="preserve">The production-volume variance is not a measure of cost control. Nobody spent $6,000 too much: the division simply produced fewer cases than the volume assumed when the rate was set, so less fixed overhead was absorbed into products.</w:t>
      </w:r>
    </w:p>
    <w:p>
      <w:pPr>
        <w:spacing w:before="20" w:after="20"/>
        <w:ind w:left="240" w:hanging="240"/>
      </w:pPr>
      <w:r>
        <w:rPr>
          <w:b/>
          <w:bCs/>
          <w:color w:val="353A7C"/>
          <w:sz w:val="15"/>
          <w:szCs w:val="15"/>
        </w:rPr>
        <w:t xml:space="preserve">Summary 4   </w:t>
      </w:r>
      <w:r>
        <w:rPr>
          <w:color w:val="6B7280"/>
          <w:sz w:val="15"/>
          <w:szCs w:val="15"/>
        </w:rPr>
        <w:t xml:space="preserve">Fixed overhead has a spending variance and a production-volume variance, and nothing else. An answer that reports a fixed overhead efficiency variance has borrowed a variance that does not exist.</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14.4  Two-, three- and four-way analysis</w:t>
            </w:r>
          </w:p>
          <w:p>
            <w:pPr>
              <w:spacing w:before="0" w:after="46"/>
            </w:pPr>
            <w:r>
              <w:rPr>
                <w:color w:val="E8EAF6"/>
                <w:sz w:val="16"/>
                <w:szCs w:val="16"/>
              </w:rPr>
              <w:t xml:space="preserve">Chapter 14 · section 14.4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The four variances can be reported in groups.</w:t>
      </w:r>
    </w:p>
    <w:p>
      <w:pPr>
        <w:spacing w:before="44" w:after="10"/>
      </w:pPr>
      <w:r>
        <w:rPr>
          <w:b/>
          <w:bCs/>
          <w:color w:val="353A7C"/>
          <w:sz w:val="18"/>
          <w:szCs w:val="18"/>
        </w:rPr>
        <w:t xml:space="preserve">The same overhead variance in four, three and two parts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Four-way   ·   Three-way</w:t>
            </w:r>
          </w:p>
        </w:tc>
      </w:tr>
    </w:tbl>
    <w:p/>
    <w:p>
      <w:pPr>
        <w:spacing w:before="44" w:after="14"/>
      </w:pPr>
      <w:r>
        <w:rPr>
          <w:b/>
          <w:bCs/>
          <w:color w:val="353A7C"/>
          <w:sz w:val="18"/>
          <w:szCs w:val="18"/>
        </w:rPr>
        <w:t xml:space="preserve">Summary 1</w:t>
      </w:r>
      <w:r>
        <w:rPr>
          <w:color w:val="6B7280"/>
          <w:sz w:val="16"/>
          <w:szCs w:val="16"/>
        </w:rPr>
        <w:t xml:space="preserve">      gaps 2–5</w:t>
      </w:r>
    </w:p>
    <w:p>
      <w:pPr>
        <w:spacing w:before="20" w:after="20" w:line="360" w:lineRule="auto"/>
        <w:ind w:left="200"/>
      </w:pPr>
      <w:r>
        <w:rPr>
          <w:sz w:val="19"/>
          <w:szCs w:val="19"/>
        </w:rPr>
        <w:t xml:space="preserve">In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analysis the two spending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combined; here they cancel, which shows why the four-way analysis is more useful. </w:t>
      </w:r>
      <w:r>
        <w:rPr>
          <w:sz w:val="19"/>
          <w:szCs w:val="19"/>
        </w:rPr>
        <w:t xml:space="preserve">In the two-way analysis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except volume is called the budget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variance. </w:t>
      </w:r>
      <w:r>
        <w:rPr>
          <w:sz w:val="19"/>
          <w:szCs w:val="19"/>
        </w:rPr>
        <w:t xml:space="preserve">Whichever grouping is used, the total is the same.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variances   ·   everything   ·   three-way   ·   controllable   ·   combined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Proof: actual overhead less applied overhead</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Proof, June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Actual variable overhead</w:t>
            </w:r>
          </w:p>
        </w:tc>
        <w:tc>
          <w:tcPr>
            <w:tcW w:type="pct" w:w="2400"/>
            <w:tcMar>
              <w:top w:type="dxa" w:w="50"/>
              <w:left w:type="dxa" w:w="110"/>
              <w:bottom w:type="dxa" w:w="50"/>
              <w:right w:type="dxa" w:w="110"/>
            </w:tcMar>
          </w:tcPr>
          <w:p>
            <w:pPr>
              <w:spacing w:before="28" w:after="28"/>
            </w:pPr>
            <w:r>
              <w:rPr>
                <w:sz w:val="15"/>
                <w:szCs w:val="15"/>
              </w:rPr>
              <w:t xml:space="preserve">71,000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400"/>
            <w:shd w:fill="FBFAF6" w:val="clear"/>
            <w:tcMar>
              <w:top w:type="dxa" w:w="50"/>
              <w:left w:type="dxa" w:w="110"/>
              <w:bottom w:type="dxa" w:w="50"/>
              <w:right w:type="dxa" w:w="110"/>
            </w:tcMar>
          </w:tcPr>
          <w:p>
            <w:pPr>
              <w:spacing w:before="28" w:after="28"/>
            </w:pPr>
            <w:r>
              <w:rPr>
                <w:sz w:val="15"/>
                <w:szCs w:val="15"/>
              </w:rPr>
              <w:t xml:space="preserve">152,000</w:t>
            </w:r>
          </w:p>
        </w:tc>
      </w:tr>
      <w:tr>
        <w:tc>
          <w:tcPr>
            <w:tcW w:type="pct" w:w="2600"/>
            <w:tcMar>
              <w:top w:type="dxa" w:w="50"/>
              <w:left w:type="dxa" w:w="110"/>
              <w:bottom w:type="dxa" w:w="50"/>
              <w:right w:type="dxa" w:w="110"/>
            </w:tcMar>
          </w:tcPr>
          <w:p>
            <w:pPr>
              <w:spacing w:before="28" w:after="28"/>
            </w:pPr>
            <w:r>
              <w:rPr>
                <w:sz w:val="15"/>
                <w:szCs w:val="15"/>
              </w:rPr>
              <w:t xml:space="preserve">Total actual overhead</w:t>
            </w:r>
          </w:p>
        </w:tc>
        <w:tc>
          <w:tcPr>
            <w:tcW w:type="pct" w:w="2400"/>
            <w:tcMar>
              <w:top w:type="dxa" w:w="50"/>
              <w:left w:type="dxa" w:w="110"/>
              <w:bottom w:type="dxa" w:w="50"/>
              <w:right w:type="dxa" w:w="110"/>
            </w:tcMar>
          </w:tcPr>
          <w:p>
            <w:pPr>
              <w:spacing w:before="28" w:after="28"/>
            </w:pPr>
            <w:r>
              <w:rPr>
                <w:sz w:val="15"/>
                <w:szCs w:val="15"/>
              </w:rPr>
              <w:t xml:space="preserve">223,000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400"/>
            <w:shd w:fill="FBFAF6" w:val="clear"/>
            <w:tcMar>
              <w:top w:type="dxa" w:w="50"/>
              <w:left w:type="dxa" w:w="110"/>
              <w:bottom w:type="dxa" w:w="50"/>
              <w:right w:type="dxa" w:w="110"/>
            </w:tcMar>
          </w:tcPr>
          <w:p>
            <w:pPr>
              <w:spacing w:before="28" w:after="28"/>
            </w:pPr>
            <w:r>
              <w:rPr>
                <w:sz w:val="15"/>
                <w:szCs w:val="15"/>
              </w:rPr>
              <w:t xml:space="preserve">72,000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400"/>
            <w:tcMar>
              <w:top w:type="dxa" w:w="50"/>
              <w:left w:type="dxa" w:w="110"/>
              <w:bottom w:type="dxa" w:w="50"/>
              <w:right w:type="dxa" w:w="110"/>
            </w:tcMar>
          </w:tcPr>
          <w:p>
            <w:pPr>
              <w:spacing w:before="28" w:after="28"/>
            </w:pPr>
            <w:r>
              <w:rPr>
                <w:sz w:val="15"/>
                <w:szCs w:val="15"/>
              </w:rPr>
              <w:t xml:space="preserve">144,000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400"/>
            <w:shd w:fill="FBFAF6" w:val="clear"/>
            <w:tcMar>
              <w:top w:type="dxa" w:w="50"/>
              <w:left w:type="dxa" w:w="110"/>
              <w:bottom w:type="dxa" w:w="50"/>
              <w:right w:type="dxa" w:w="110"/>
            </w:tcMar>
          </w:tcPr>
          <w:p>
            <w:pPr>
              <w:spacing w:before="28" w:after="28"/>
            </w:pPr>
            <w:r>
              <w:rPr>
                <w:sz w:val="15"/>
                <w:szCs w:val="15"/>
              </w:rPr>
              <w:t xml:space="preserve">216,000</w:t>
            </w:r>
          </w:p>
        </w:tc>
      </w:tr>
      <w:tr>
        <w:tc>
          <w:tcPr>
            <w:tcW w:type="pct" w:w="2600"/>
            <w:tcMar>
              <w:top w:type="dxa" w:w="50"/>
              <w:left w:type="dxa" w:w="110"/>
              <w:bottom w:type="dxa" w:w="50"/>
              <w:right w:type="dxa" w:w="110"/>
            </w:tcMar>
          </w:tcPr>
          <w:p>
            <w:pPr>
              <w:spacing w:before="28" w:after="28"/>
            </w:pPr>
            <w:r>
              <w:rPr>
                <w:sz w:val="15"/>
                <w:szCs w:val="15"/>
              </w:rPr>
              <w:t xml:space="preserve">Total overhead variance (under-applied)</w:t>
            </w:r>
          </w:p>
        </w:tc>
        <w:tc>
          <w:tcPr>
            <w:tcW w:type="pct" w:w="2400"/>
            <w:tcMar>
              <w:top w:type="dxa" w:w="50"/>
              <w:left w:type="dxa" w:w="110"/>
              <w:bottom w:type="dxa" w:w="50"/>
              <w:right w:type="dxa" w:w="110"/>
            </w:tcMar>
          </w:tcPr>
          <w:p>
            <w:pPr>
              <w:spacing w:before="28" w:after="28"/>
            </w:pPr>
            <w:r>
              <w:rPr>
                <w:sz w:val="15"/>
                <w:szCs w:val="15"/>
              </w:rPr>
              <w:t xml:space="preserve">7,000 U</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Applied fixed overhead (1,440 hours × $100.00)   ·   Total applied overhead   ·   Actual fixed overhead   ·   Applied variable overhead (1,440 hours × $50.00)   ·   Spending (variable + fixed)</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14.4  Two-, three- and four-way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Three-way</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Actual fixed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three-way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Applied variable overhead (1,440 hours × $50.00)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variances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Applied fixed overhead (1,440 hours × $100.00)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Total 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controllable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 the three-way analysis the two spending variances are combined; here they cancel, which shows why the four-way analysis is more useful. In the two-way analysis everything except volume is called the budget or controllable variance. Whichever grouping is used, the total is the same.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14.5  Analysing variances and acting on them</w:t>
            </w:r>
          </w:p>
          <w:p>
            <w:pPr>
              <w:spacing w:before="0" w:after="46"/>
            </w:pPr>
            <w:r>
              <w:rPr>
                <w:color w:val="E8EAF6"/>
                <w:sz w:val="16"/>
                <w:szCs w:val="16"/>
              </w:rPr>
              <w:t xml:space="preserve">Chapter 14 · section 14.5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A variance report is the start of a conversation, not its conclusion.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Five questions before recommending an action</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Step (C.1.s)</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What to ask</w:t>
            </w:r>
          </w:p>
        </w:tc>
      </w:tr>
      <w:tr>
        <w:tc>
          <w:tcPr>
            <w:tcW w:type="pct" w:w="2400"/>
            <w:tcMar>
              <w:top w:type="dxa" w:w="50"/>
              <w:left w:type="dxa" w:w="110"/>
              <w:bottom w:type="dxa" w:w="50"/>
              <w:right w:type="dxa" w:w="110"/>
            </w:tcMar>
          </w:tcPr>
          <w:p>
            <w:pPr>
              <w:spacing w:before="28" w:after="28"/>
            </w:pPr>
            <w:r>
              <w:rPr>
                <w:sz w:val="15"/>
                <w:szCs w:val="15"/>
              </w:rPr>
              <w:t xml:space="preserve">1. Is it significant?</w:t>
            </w:r>
          </w:p>
        </w:tc>
        <w:tc>
          <w:tcPr>
            <w:tcW w:type="pct" w:w="2600"/>
            <w:tcMar>
              <w:top w:type="dxa" w:w="50"/>
              <w:left w:type="dxa" w:w="110"/>
              <w:bottom w:type="dxa" w:w="50"/>
              <w:right w:type="dxa" w:w="110"/>
            </w:tcMar>
          </w:tcPr>
          <w:p>
            <w:pPr>
              <w:spacing w:before="28" w:after="28"/>
            </w:pPr>
            <w:r>
              <w:rPr>
                <w:sz w:val="15"/>
                <w:szCs w:val="15"/>
              </w:rPr>
              <w:t xml:space="preserve">Compare with the rule of Chapter 11 (5% of the </w:t>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figure)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2. What caused it?</w:t>
            </w:r>
          </w:p>
        </w:tc>
        <w:tc>
          <w:tcPr>
            <w:tcW w:type="pct" w:w="2600"/>
            <w:shd w:fill="FBFAF6" w:val="clear"/>
            <w:tcMar>
              <w:top w:type="dxa" w:w="50"/>
              <w:left w:type="dxa" w:w="110"/>
              <w:bottom w:type="dxa" w:w="50"/>
              <w:right w:type="dxa" w:w="110"/>
            </w:tcMar>
          </w:tcPr>
          <w:p>
            <w:pPr>
              <w:spacing w:before="28" w:after="28"/>
            </w:pPr>
            <w:r>
              <w:rPr>
                <w:sz w:val="15"/>
                <w:szCs w:val="15"/>
              </w:rPr>
              <w:t xml:space="preserve">Separate price from quantity, and the plan from the result</w:t>
            </w:r>
          </w:p>
        </w:tc>
      </w:tr>
      <w:tr>
        <w:tc>
          <w:tcPr>
            <w:tcW w:type="pct" w:w="2400"/>
            <w:tcMar>
              <w:top w:type="dxa" w:w="50"/>
              <w:left w:type="dxa" w:w="110"/>
              <w:bottom w:type="dxa" w:w="50"/>
              <w:right w:type="dxa" w:w="110"/>
            </w:tcMar>
          </w:tcPr>
          <w:p>
            <w:pPr>
              <w:spacing w:before="28" w:after="28"/>
            </w:pPr>
            <w:r>
              <w:rPr>
                <w:sz w:val="15"/>
                <w:szCs w:val="15"/>
              </w:rPr>
              <w:t xml:space="preserve">3. Who controls the cause?</w:t>
            </w:r>
          </w:p>
        </w:tc>
        <w:tc>
          <w:tcPr>
            <w:tcW w:type="pct" w:w="2600"/>
            <w:tcMar>
              <w:top w:type="dxa" w:w="50"/>
              <w:left w:type="dxa" w:w="110"/>
              <w:bottom w:type="dxa" w:w="50"/>
              <w:right w:type="dxa" w:w="110"/>
            </w:tcMar>
          </w:tcPr>
          <w:p>
            <w:pPr>
              <w:spacing w:before="28" w:after="28"/>
            </w:pPr>
            <w:r>
              <w:rPr>
                <w:sz w:val="15"/>
                <w:szCs w:val="15"/>
              </w:rPr>
              <w:t xml:space="preserve">A world price rise is not the plant's responsibility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4. Is it linked to another variance?</w:t>
            </w:r>
          </w:p>
        </w:tc>
        <w:tc>
          <w:tcPr>
            <w:tcW w:type="pct" w:w="2600"/>
            <w:shd w:fill="FBFAF6" w:val="clear"/>
            <w:tcMar>
              <w:top w:type="dxa" w:w="50"/>
              <w:left w:type="dxa" w:w="110"/>
              <w:bottom w:type="dxa" w:w="50"/>
              <w:right w:type="dxa" w:w="110"/>
            </w:tcMar>
          </w:tcPr>
          <w:p>
            <w:pPr>
              <w:spacing w:before="28" w:after="28"/>
            </w:pPr>
            <w:r>
              <w:rPr>
                <w:sz w:val="15"/>
                <w:szCs w:val="15"/>
              </w:rPr>
              <w:t xml:space="preserve">A favorable price beside an </w:t>
            </w:r>
            <w:r>
              <w:rPr>
                <w:b/>
                <w:bCs/>
                <w:color w:val="8186EF"/>
                <w:sz w:val="14"/>
                <w:szCs w:val="14"/>
              </w:rPr>
              <w:t xml:space="preserve"> (2) </w:t>
            </w:r>
            <w:r>
              <w:rPr>
                <w:u w:val="single"/>
                <w:sz w:val="15"/>
                <w:szCs w:val="15"/>
              </w:rPr>
              <w:t xml:space="preserve">              </w:t>
            </w:r>
            <w:r>
              <w:rPr>
                <w:sz w:val="15"/>
                <w:szCs w:val="15"/>
              </w:rPr>
              <w:t xml:space="preserve"> </w:t>
            </w:r>
            <w:r>
              <w:rPr>
                <w:sz w:val="15"/>
                <w:szCs w:val="15"/>
              </w:rPr>
              <w:t xml:space="preserve"> usage usually has one cause</w:t>
            </w:r>
          </w:p>
        </w:tc>
      </w:tr>
      <w:tr>
        <w:tc>
          <w:tcPr>
            <w:tcW w:type="pct" w:w="2400"/>
            <w:tcMar>
              <w:top w:type="dxa" w:w="50"/>
              <w:left w:type="dxa" w:w="110"/>
              <w:bottom w:type="dxa" w:w="50"/>
              <w:right w:type="dxa" w:w="110"/>
            </w:tcMar>
          </w:tcPr>
          <w:p>
            <w:pPr>
              <w:spacing w:before="28" w:after="28"/>
            </w:pPr>
            <w:r>
              <w:rPr>
                <w:sz w:val="15"/>
                <w:szCs w:val="15"/>
              </w:rPr>
              <w:t xml:space="preserve">5. What action follows?</w:t>
            </w:r>
          </w:p>
        </w:tc>
        <w:tc>
          <w:tcPr>
            <w:tcW w:type="pct" w:w="2600"/>
            <w:tcMar>
              <w:top w:type="dxa" w:w="50"/>
              <w:left w:type="dxa" w:w="110"/>
              <w:bottom w:type="dxa" w:w="50"/>
              <w:right w:type="dxa" w:w="110"/>
            </w:tcMar>
          </w:tcPr>
          <w:p>
            <w:pPr>
              <w:spacing w:before="28" w:after="28"/>
            </w:pPr>
            <w:r>
              <w:rPr>
                <w:sz w:val="15"/>
                <w:szCs w:val="15"/>
              </w:rPr>
              <w:t xml:space="preserve">Remove the cause, change the </w:t>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or accept it and explain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   Separate   ·   budgeted   ·   unfavorable</w:t>
            </w:r>
          </w:p>
        </w:tc>
      </w:tr>
    </w:tbl>
    <w:p/>
    <w:p>
      <w:pPr>
        <w:spacing w:before="44" w:after="14"/>
      </w:pPr>
      <w:r>
        <w:rPr>
          <w:b/>
          <w:bCs/>
          <w:color w:val="353A7C"/>
          <w:sz w:val="18"/>
          <w:szCs w:val="18"/>
        </w:rPr>
        <w:t xml:space="preserve">Summary 1</w:t>
      </w:r>
      <w:r>
        <w:rPr>
          <w:color w:val="6B7280"/>
          <w:sz w:val="16"/>
          <w:szCs w:val="16"/>
        </w:rPr>
        <w:t xml:space="preserve">      gaps 4–8</w:t>
      </w:r>
    </w:p>
    <w:p>
      <w:pPr>
        <w:spacing w:before="20" w:after="20" w:line="360" w:lineRule="auto"/>
        <w:ind w:left="200"/>
      </w:pPr>
      <w:r>
        <w:rPr>
          <w:sz w:val="19"/>
          <w:szCs w:val="19"/>
        </w:rPr>
        <w:t xml:space="preserve">Deciding on an action before knowing the cause is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fault in variance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so is acting on a variance whose cause nobody in the division controls. </w:t>
      </w:r>
      <w:r>
        <w:rPr>
          <w:sz w:val="19"/>
          <w:szCs w:val="19"/>
        </w:rPr>
        <w:t xml:space="preserve">A favorable variance also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question. </w:t>
      </w:r>
      <w:r>
        <w:rPr>
          <w:sz w:val="19"/>
          <w:szCs w:val="19"/>
        </w:rPr>
        <w:t xml:space="preserve">A favorable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variance that came from skipping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not good news; it has moved cost into a later month.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commonest   ·   spending   ·   deserves   ·   reporting   ·   maintenance   ·   controls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corrective action</w:t>
            </w:r>
          </w:p>
        </w:tc>
        <w:tc>
          <w:tcPr>
            <w:tcW w:type="pct" w:w="2400"/>
            <w:tcMar>
              <w:top w:type="dxa" w:w="50"/>
              <w:left w:type="dxa" w:w="110"/>
              <w:bottom w:type="dxa" w:w="50"/>
              <w:right w:type="dxa" w:w="110"/>
            </w:tcMar>
          </w:tcPr>
          <w:p>
            <w:pPr>
              <w:spacing w:before="26" w:after="26"/>
            </w:pPr>
            <w:r>
              <w:rPr>
                <w:color w:val="232733"/>
                <w:sz w:val="16"/>
                <w:szCs w:val="16"/>
              </w:rPr>
              <w:t xml:space="preserve">الإجراء التصحيحي</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14.5  Analysing variances and acting on them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budgeted</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unfavorable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deserves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spending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commonest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maintenance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Deciding on an action before knowing the cause is the commonest fault in variance reporting, and so is acting on a variance whose cause nobody in the division controls. A favorable variance also deserves a question. A favorable spending variance that came from skipping maintenance is not good news; it has moved cost into a later month.</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14.6  Extended Example 14A: what June means and what to do</w:t>
            </w:r>
          </w:p>
          <w:p>
            <w:pPr>
              <w:spacing w:before="0" w:after="46"/>
            </w:pPr>
            <w:r>
              <w:rPr>
                <w:color w:val="E8EAF6"/>
                <w:sz w:val="16"/>
                <w:szCs w:val="16"/>
              </w:rPr>
              <w:t xml:space="preserve">Chapter 14 · section 14.6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example takes the four overhead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the review meeting and turns them into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variances   ·   Remember   ·   decisions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84"/>
        <w:gridCol w:w="1091"/>
        <w:gridCol w:w="4224"/>
        <w:gridCol w:w="310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causes and recommended actions for June</w:t>
            </w:r>
          </w:p>
        </w:tc>
      </w:tr>
      <w:tr>
        <w:tc>
          <w:tcPr>
            <w:tcW w:type="pct" w:w="617"/>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Likely cause</w:t>
            </w:r>
          </w:p>
        </w:tc>
        <w:tc>
          <w:tcPr>
            <w:tcW w:type="pct" w:w="1615"/>
            <w:shd w:fill="353A7C" w:val="clear"/>
            <w:tcMar>
              <w:top w:type="dxa" w:w="50"/>
              <w:left w:type="dxa" w:w="110"/>
              <w:bottom w:type="dxa" w:w="50"/>
              <w:right w:type="dxa" w:w="110"/>
            </w:tcMar>
          </w:tcPr>
          <w:p>
            <w:pPr>
              <w:spacing w:before="30" w:after="30"/>
            </w:pPr>
            <w:r>
              <w:rPr>
                <w:b/>
                <w:bCs/>
                <w:color w:val="FFFFFF"/>
                <w:sz w:val="15"/>
                <w:szCs w:val="15"/>
              </w:rPr>
              <w:t xml:space="preserve">Recommended action</w:t>
            </w:r>
          </w:p>
        </w:tc>
      </w:tr>
      <w:tr>
        <w:tc>
          <w:tcPr>
            <w:tcW w:type="pct" w:w="617"/>
            <w:tcMar>
              <w:top w:type="dxa" w:w="50"/>
              <w:left w:type="dxa" w:w="110"/>
              <w:bottom w:type="dxa" w:w="50"/>
              <w:right w:type="dxa" w:w="110"/>
            </w:tcMar>
          </w:tcPr>
          <w:p>
            <w:pPr>
              <w:spacing w:before="28" w:after="28"/>
            </w:pPr>
            <w:r>
              <w:rPr>
                <w:sz w:val="15"/>
                <w:szCs w:val="15"/>
              </w:rPr>
              <w:t xml:space="preserve">VOH spending</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Cheaper power tariff agreed in May</w:t>
            </w:r>
          </w:p>
        </w:tc>
        <w:tc>
          <w:tcPr>
            <w:tcW w:type="pct" w:w="1615"/>
            <w:tcMar>
              <w:top w:type="dxa" w:w="50"/>
              <w:left w:type="dxa" w:w="110"/>
              <w:bottom w:type="dxa" w:w="50"/>
              <w:right w:type="dxa" w:w="110"/>
            </w:tcMar>
          </w:tcPr>
          <w:p>
            <w:pPr>
              <w:spacing w:before="28" w:after="28"/>
            </w:pPr>
            <w:r>
              <w:rPr>
                <w:sz w:val="15"/>
                <w:szCs w:val="15"/>
              </w:rPr>
              <w:t xml:space="preserve">Keep the tariff; check that quality has not suffered</w:t>
            </w:r>
          </w:p>
        </w:tc>
      </w:tr>
      <w:tr>
        <w:tc>
          <w:tcPr>
            <w:tcW w:type="pct" w:w="617"/>
            <w:shd w:fill="FBFAF6" w:val="clear"/>
            <w:tcMar>
              <w:top w:type="dxa" w:w="50"/>
              <w:left w:type="dxa" w:w="110"/>
              <w:bottom w:type="dxa" w:w="50"/>
              <w:right w:type="dxa" w:w="110"/>
            </w:tcMar>
          </w:tcPr>
          <w:p>
            <w:pPr>
              <w:spacing w:before="28" w:after="28"/>
            </w:pPr>
            <w:r>
              <w:rPr>
                <w:sz w:val="15"/>
                <w:szCs w:val="15"/>
              </w:rPr>
              <w:t xml:space="preserve">VOH efficiency</w:t>
            </w:r>
          </w:p>
        </w:tc>
        <w:tc>
          <w:tcPr>
            <w:tcW w:type="pct" w:w="568"/>
            <w:shd w:fill="FBFAF6" w:val="clear"/>
            <w:tcMar>
              <w:top w:type="dxa" w:w="50"/>
              <w:left w:type="dxa" w:w="110"/>
              <w:bottom w:type="dxa" w:w="50"/>
              <w:right w:type="dxa" w:w="110"/>
            </w:tcMar>
          </w:tcPr>
          <w:p>
            <w:pPr>
              <w:spacing w:before="28" w:after="28"/>
            </w:pPr>
            <w:r>
              <w:rPr>
                <w:sz w:val="15"/>
                <w:szCs w:val="15"/>
              </w:rPr>
              <w:t xml:space="preserve">1,000 U</w:t>
            </w:r>
          </w:p>
        </w:tc>
        <w:tc>
          <w:tcPr>
            <w:tcW w:type="pct" w:w="2200"/>
            <w:shd w:fill="FBFAF6" w:val="clear"/>
            <w:tcMar>
              <w:top w:type="dxa" w:w="50"/>
              <w:left w:type="dxa" w:w="110"/>
              <w:bottom w:type="dxa" w:w="50"/>
              <w:right w:type="dxa" w:w="110"/>
            </w:tcMar>
          </w:tcPr>
          <w:p>
            <w:pPr>
              <w:spacing w:before="28" w:after="28"/>
            </w:pPr>
            <w:r>
              <w:rPr>
                <w:sz w:val="15"/>
                <w:szCs w:val="15"/>
              </w:rPr>
              <w:t xml:space="preserve">The long changeover ran the machines 20 hours longer than the standard</w:t>
            </w:r>
          </w:p>
        </w:tc>
        <w:tc>
          <w:tcPr>
            <w:tcW w:type="pct" w:w="1615"/>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617"/>
            <w:tcMar>
              <w:top w:type="dxa" w:w="50"/>
              <w:left w:type="dxa" w:w="110"/>
              <w:bottom w:type="dxa" w:w="50"/>
              <w:right w:type="dxa" w:w="110"/>
            </w:tcMar>
          </w:tcPr>
          <w:p>
            <w:pPr>
              <w:spacing w:before="28" w:after="28"/>
            </w:pPr>
            <w:r>
              <w:rPr>
                <w:sz w:val="15"/>
                <w:szCs w:val="15"/>
              </w:rPr>
              <w:t xml:space="preserve">FOH spending</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200"/>
            <w:tcMar>
              <w:top w:type="dxa" w:w="50"/>
              <w:left w:type="dxa" w:w="110"/>
              <w:bottom w:type="dxa" w:w="50"/>
              <w:right w:type="dxa" w:w="110"/>
            </w:tcMar>
          </w:tcPr>
          <w:p>
            <w:pPr>
              <w:spacing w:before="28" w:after="28"/>
            </w:pPr>
            <w:r>
              <w:rPr>
                <w:sz w:val="15"/>
                <w:szCs w:val="15"/>
              </w:rPr>
              <w:t xml:space="preserve">Unplanned repair to the filling line</w:t>
            </w:r>
          </w:p>
        </w:tc>
        <w:tc>
          <w:tcPr>
            <w:tcW w:type="pct" w:w="1615"/>
            <w:tcMar>
              <w:top w:type="dxa" w:w="50"/>
              <w:left w:type="dxa" w:w="110"/>
              <w:bottom w:type="dxa" w:w="50"/>
              <w:right w:type="dxa" w:w="110"/>
            </w:tcMar>
          </w:tcPr>
          <w:p>
            <w:pPr>
              <w:spacing w:before="28" w:after="28"/>
            </w:pPr>
            <w:r>
              <w:rPr>
                <w:sz w:val="15"/>
                <w:szCs w:val="15"/>
              </w:rPr>
              <w:t xml:space="preserve">Plan preventive maintenance in the quiet quarter</w:t>
            </w:r>
          </w:p>
        </w:tc>
      </w:tr>
      <w:tr>
        <w:tc>
          <w:tcPr>
            <w:tcW w:type="pct" w:w="617"/>
            <w:shd w:fill="FBFAF6" w:val="clear"/>
            <w:tcMar>
              <w:top w:type="dxa" w:w="50"/>
              <w:left w:type="dxa" w:w="110"/>
              <w:bottom w:type="dxa" w:w="50"/>
              <w:right w:type="dxa" w:w="110"/>
            </w:tcMar>
          </w:tcPr>
          <w:p>
            <w:pPr>
              <w:spacing w:before="28" w:after="28"/>
            </w:pPr>
            <w:r>
              <w:rPr>
                <w:sz w:val="15"/>
                <w:szCs w:val="15"/>
              </w:rPr>
              <w:t xml:space="preserve">Production-volume</w:t>
            </w:r>
          </w:p>
        </w:tc>
        <w:tc>
          <w:tcPr>
            <w:tcW w:type="pct" w:w="568"/>
            <w:shd w:fill="FBFAF6" w:val="clear"/>
            <w:tcMar>
              <w:top w:type="dxa" w:w="50"/>
              <w:left w:type="dxa" w:w="110"/>
              <w:bottom w:type="dxa" w:w="50"/>
              <w:right w:type="dxa" w:w="110"/>
            </w:tcMar>
          </w:tcPr>
          <w:p>
            <w:pPr>
              <w:spacing w:before="28" w:after="28"/>
            </w:pPr>
            <w:r>
              <w:rPr>
                <w:sz w:val="15"/>
                <w:szCs w:val="15"/>
              </w:rPr>
              <w:t xml:space="preserve">6,000 U</w:t>
            </w:r>
          </w:p>
        </w:tc>
        <w:tc>
          <w:tcPr>
            <w:tcW w:type="pct" w:w="2200"/>
            <w:shd w:fill="FBFAF6" w:val="clear"/>
            <w:tcMar>
              <w:top w:type="dxa" w:w="50"/>
              <w:left w:type="dxa" w:w="110"/>
              <w:bottom w:type="dxa" w:w="50"/>
              <w:right w:type="dxa" w:w="110"/>
            </w:tcMar>
          </w:tcPr>
          <w:p>
            <w:pPr>
              <w:spacing w:before="28" w:after="28"/>
            </w:pPr>
            <w:r>
              <w:rPr>
                <w:sz w:val="15"/>
                <w:szCs w:val="15"/>
              </w:rPr>
              <w:t xml:space="preserve">3,000 fewer cases than the normal volume, so less fixed overhead was absorbed</w:t>
            </w:r>
          </w:p>
        </w:tc>
        <w:tc>
          <w:tcPr>
            <w:tcW w:type="pct" w:w="1615"/>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2,000 F   ·   6,000 U   ·   A sales matter, not a plant one: no plant action   ·   Shorten changeovers (Book 2, Chapter 15)   ·   2,000 U</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Only two of the four led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inside the plant.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spending variance is kept but watched; the volume variance is passed to the sales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because the plant cannot sell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favorable   ·   action   ·   discussion   ·   spending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10–11</w:t>
      </w:r>
    </w:p>
    <w:p>
      <w:pPr>
        <w:spacing w:before="20" w:after="20" w:line="360" w:lineRule="auto"/>
        <w:ind w:left="200"/>
      </w:pPr>
      <w:r>
        <w:rPr>
          <w:sz w:val="19"/>
          <w:szCs w:val="19"/>
        </w:rPr>
        <w:t xml:space="preserve">Variable overhead: $2,000 favorable + $1,000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 $1,000 favorable, the figure. </w:t>
      </w:r>
      <w:r>
        <w:rPr>
          <w:sz w:val="19"/>
          <w:szCs w:val="19"/>
        </w:rPr>
        <w:t xml:space="preserve">All four: $223,000 actual − $216,000 applied = $7,000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under-applied   ·   unfavorable   ·   decisions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12–14</w:t>
      </w:r>
    </w:p>
    <w:p>
      <w:pPr>
        <w:spacing w:before="20" w:after="20" w:line="360" w:lineRule="auto"/>
        <w:ind w:left="200"/>
      </w:pPr>
      <w:r>
        <w:rPr>
          <w:sz w:val="19"/>
          <w:szCs w:val="19"/>
        </w:rPr>
        <w:t xml:space="preserve">Expect actual overhead, actual hours, the standard rates, the output produced and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volume. </w:t>
      </w:r>
      <w:r>
        <w:rPr>
          <w:sz w:val="19"/>
          <w:szCs w:val="19"/>
        </w:rPr>
        <w:t xml:space="preserve">Work out the standard hours allowed first, then apply the four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Remember that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variance uses the standard hours allowed, never the hours worked.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formulas   ·   because   ·   denominator   ·   production-volume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overhead, one month</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110,000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machine hours a jar</w:t>
            </w:r>
          </w:p>
        </w:tc>
        <w:tc>
          <w:tcPr>
            <w:tcW w:type="pct" w:w="2400"/>
            <w:shd w:fill="FBFAF6" w:val="clear"/>
            <w:tcMar>
              <w:top w:type="dxa" w:w="50"/>
              <w:left w:type="dxa" w:w="110"/>
              <w:bottom w:type="dxa" w:w="50"/>
              <w:right w:type="dxa" w:w="110"/>
            </w:tcMar>
          </w:tcPr>
          <w:p>
            <w:pPr>
              <w:spacing w:before="28" w:after="28"/>
            </w:pPr>
            <w:r>
              <w:rPr>
                <w:sz w:val="15"/>
                <w:szCs w:val="15"/>
              </w:rPr>
              <w:t xml:space="preserve">0.02</w:t>
            </w:r>
          </w:p>
        </w:tc>
      </w:tr>
      <w:tr>
        <w:tc>
          <w:tcPr>
            <w:tcW w:type="pct" w:w="2600"/>
            <w:tcMar>
              <w:top w:type="dxa" w:w="50"/>
              <w:left w:type="dxa" w:w="110"/>
              <w:bottom w:type="dxa" w:w="50"/>
              <w:right w:type="dxa" w:w="110"/>
            </w:tcMar>
          </w:tcPr>
          <w:p>
            <w:pPr>
              <w:spacing w:before="28" w:after="28"/>
            </w:pPr>
            <w:r>
              <w:rPr>
                <w:sz w:val="15"/>
                <w:szCs w:val="15"/>
              </w:rPr>
              <w:t xml:space="preserve">Standard variable overhead rate</w:t>
            </w:r>
          </w:p>
        </w:tc>
        <w:tc>
          <w:tcPr>
            <w:tcW w:type="pct" w:w="2400"/>
            <w:tcMar>
              <w:top w:type="dxa" w:w="50"/>
              <w:left w:type="dxa" w:w="110"/>
              <w:bottom w:type="dxa" w:w="50"/>
              <w:right w:type="dxa" w:w="110"/>
            </w:tcMar>
          </w:tcPr>
          <w:p>
            <w:pPr>
              <w:spacing w:before="28" w:after="28"/>
            </w:pPr>
            <w:r>
              <w:rPr>
                <w:sz w:val="15"/>
                <w:szCs w:val="15"/>
              </w:rPr>
              <w:t xml:space="preserve">$25.00 an hour</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80,000</w:t>
            </w:r>
          </w:p>
        </w:tc>
      </w:tr>
      <w:tr>
        <w:tc>
          <w:tcPr>
            <w:tcW w:type="pct" w:w="2600"/>
            <w:tcMar>
              <w:top w:type="dxa" w:w="50"/>
              <w:left w:type="dxa" w:w="110"/>
              <w:bottom w:type="dxa" w:w="50"/>
              <w:right w:type="dxa" w:w="110"/>
            </w:tcMar>
          </w:tcPr>
          <w:p>
            <w:pPr>
              <w:spacing w:before="28" w:after="28"/>
            </w:pPr>
            <w:r>
              <w:rPr>
                <w:sz w:val="15"/>
                <w:szCs w:val="15"/>
              </w:rPr>
              <w:t xml:space="preserve">Normal volume used for the fixed rate</w:t>
            </w:r>
          </w:p>
        </w:tc>
        <w:tc>
          <w:tcPr>
            <w:tcW w:type="pct" w:w="2400"/>
            <w:tcMar>
              <w:top w:type="dxa" w:w="50"/>
              <w:left w:type="dxa" w:w="110"/>
              <w:bottom w:type="dxa" w:w="50"/>
              <w:right w:type="dxa" w:w="110"/>
            </w:tcMar>
          </w:tcPr>
          <w:p>
            <w:pPr>
              <w:spacing w:before="28" w:after="28"/>
            </w:pPr>
            <w:r>
              <w:rPr>
                <w:sz w:val="15"/>
                <w:szCs w:val="15"/>
              </w:rPr>
              <w:t xml:space="preserve">100,000 jars (2,000 machine hours)</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shd w:fill="FBFAF6" w:val="clear"/>
            <w:tcMar>
              <w:top w:type="dxa" w:w="50"/>
              <w:left w:type="dxa" w:w="110"/>
              <w:bottom w:type="dxa" w:w="50"/>
              <w:right w:type="dxa" w:w="110"/>
            </w:tcMar>
          </w:tcPr>
          <w:p>
            <w:pPr>
              <w:spacing w:before="28" w:after="28"/>
            </w:pPr>
            <w:r>
              <w:rPr>
                <w:sz w:val="15"/>
                <w:szCs w:val="15"/>
              </w:rPr>
              <w:t xml:space="preserve">2,260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2400"/>
            <w:tcMar>
              <w:top w:type="dxa" w:w="50"/>
              <w:left w:type="dxa" w:w="110"/>
              <w:bottom w:type="dxa" w:w="50"/>
              <w:right w:type="dxa" w:w="110"/>
            </w:tcMar>
          </w:tcPr>
          <w:p>
            <w:pPr>
              <w:spacing w:before="28" w:after="28"/>
            </w:pPr>
            <w:r>
              <w:rPr>
                <w:sz w:val="15"/>
                <w:szCs w:val="15"/>
              </w:rPr>
              <w:t xml:space="preserve">55,000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Actual fixed overhead</w:t>
            </w:r>
          </w:p>
        </w:tc>
        <w:tc>
          <w:tcPr>
            <w:tcW w:type="pct" w:w="2400"/>
            <w:shd w:fill="FBFAF6" w:val="clear"/>
            <w:tcMar>
              <w:top w:type="dxa" w:w="50"/>
              <w:left w:type="dxa" w:w="110"/>
              <w:bottom w:type="dxa" w:w="50"/>
              <w:right w:type="dxa" w:w="110"/>
            </w:tcMar>
          </w:tcPr>
          <w:p>
            <w:pPr>
              <w:spacing w:before="28" w:after="28"/>
            </w:pPr>
            <w:r>
              <w:rPr>
                <w:sz w:val="15"/>
                <w:szCs w:val="15"/>
              </w:rPr>
              <w:t xml:space="preserve">83,000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Actual machine hours   ·   Budgeted fixed overhead for the month   ·   Jars produced   ·   Actual variable overhead   ·   Variable overhead efficiency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Fixed overhead spending variance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Production-volume variance</w:t>
            </w:r>
          </w:p>
        </w:tc>
        <w:tc>
          <w:tcPr>
            <w:tcW w:type="pct" w:w="2600"/>
            <w:shd w:fill="FBFAF6" w:val="clear"/>
            <w:tcMar>
              <w:top w:type="dxa" w:w="50"/>
              <w:left w:type="dxa" w:w="110"/>
              <w:bottom w:type="dxa" w:w="50"/>
              <w:right w:type="dxa" w:w="110"/>
            </w:tcMar>
          </w:tcPr>
          <w:p>
            <w:pPr>
              <w:spacing w:before="28" w:after="28"/>
            </w:pPr>
            <w:r>
              <w:rPr>
                <w:sz w:val="15"/>
                <w:szCs w:val="15"/>
              </w:rPr>
              <w:t xml:space="preserve">$150,000 − 1,440 × $100.00 = $6,000 unfavorable (3,000 cases × $2.00)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$152,000 − $150,000 = $2,000 unfavorable   ·   Unplanned repair to the filling line</w:t>
            </w:r>
          </w:p>
        </w:tc>
      </w:tr>
    </w:tbl>
    <w:p/>
    <w:p>
      <w:pPr>
        <w:spacing w:before="44" w:after="10"/>
      </w:pPr>
      <w:r>
        <w:rPr>
          <w:b/>
          <w:bCs/>
          <w:color w:val="353A7C"/>
          <w:sz w:val="18"/>
          <w:szCs w:val="18"/>
        </w:rPr>
        <w:t xml:space="preserve">Variance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overhead spending variance   ·   Variable overhead spending variance   ·   Variable overhead efficiency variance   ·   Total overhead variance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overhead spending variance   ·   variable overhead spending variance   ·   production-volume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variable overhead spending variance</w:t>
            </w:r>
          </w:p>
        </w:tc>
        <w:tc>
          <w:tcPr>
            <w:tcW w:type="pct" w:w="2600"/>
            <w:tcMar>
              <w:top w:type="dxa" w:w="50"/>
              <w:left w:type="dxa" w:w="110"/>
              <w:bottom w:type="dxa" w:w="50"/>
              <w:right w:type="dxa" w:w="110"/>
            </w:tcMar>
          </w:tcPr>
          <w:p>
            <w:pPr>
              <w:spacing w:before="26" w:after="26"/>
            </w:pPr>
            <w:r>
              <w:rPr>
                <w:color w:val="232733"/>
                <w:sz w:val="16"/>
                <w:szCs w:val="16"/>
              </w:rPr>
              <w:t xml:space="preserve">انحراف إنفاق التكاليف غير المباشرة المتغيرة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fixed overhead spending variance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انحراف إنفاق التكاليف غير المباشرة الثابتة</w:t>
            </w:r>
          </w:p>
        </w:tc>
      </w:tr>
      <w:tr>
        <w:tc>
          <w:tcPr>
            <w:tcW w:type="pct" w:w="2400"/>
            <w:tcMar>
              <w:top w:type="dxa" w:w="50"/>
              <w:left w:type="dxa" w:w="110"/>
              <w:bottom w:type="dxa" w:w="50"/>
              <w:right w:type="dxa" w:w="110"/>
            </w:tcMar>
          </w:tcPr>
          <w:p>
            <w:pPr>
              <w:spacing w:before="26" w:after="26"/>
            </w:pPr>
            <w:r>
              <w:rPr>
                <w:color w:val="232733"/>
                <w:sz w:val="16"/>
                <w:szCs w:val="16"/>
              </w:rPr>
              <w:t xml:space="preserve">production-volume variance</w:t>
            </w:r>
          </w:p>
        </w:tc>
        <w:tc>
          <w:tcPr>
            <w:tcW w:type="pct" w:w="2600"/>
            <w:tcMar>
              <w:top w:type="dxa" w:w="50"/>
              <w:left w:type="dxa" w:w="110"/>
              <w:bottom w:type="dxa" w:w="50"/>
              <w:right w:type="dxa" w:w="110"/>
            </w:tcMar>
          </w:tcPr>
          <w:p>
            <w:pPr>
              <w:spacing w:before="26" w:after="26"/>
            </w:pPr>
            <w:r>
              <w:rPr>
                <w:color w:val="232733"/>
                <w:sz w:val="16"/>
                <w:szCs w:val="16"/>
              </w:rPr>
              <w:t xml:space="preserve">انحراف حجم الإنتاج</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14.6  Extended Example 14A: what June means and what to do</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variances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formulas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production-volume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2,000 F</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Jars produced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Shorten changeovers (Book 2, Chapter 15)</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Budgeted fixed overhead for the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2,000 U</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Actual machine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sales matter, not a plant one: no plant action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Actual variable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$152,000 − $150,000 = $2,000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favorable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Variable overhead spending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discussion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Total overhead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unfavorable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Variable overhead efficiency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under-applied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variable overhead spending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denominator</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production-volume variance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the four overhead variances to the review meeting and turns them into decisions.</w:t>
      </w:r>
    </w:p>
    <w:p>
      <w:pPr>
        <w:spacing w:before="20" w:after="20"/>
        <w:ind w:left="240" w:hanging="240"/>
      </w:pPr>
      <w:r>
        <w:rPr>
          <w:b/>
          <w:bCs/>
          <w:color w:val="353A7C"/>
          <w:sz w:val="15"/>
          <w:szCs w:val="15"/>
        </w:rPr>
        <w:t xml:space="preserve">Summary 2   </w:t>
      </w:r>
      <w:r>
        <w:rPr>
          <w:color w:val="6B7280"/>
          <w:sz w:val="15"/>
          <w:szCs w:val="15"/>
        </w:rPr>
        <w:t xml:space="preserve">Only two of the four led to action inside the plant. The favorable spending variance is kept but watched; the volume variance is passed to the sales discussion of, because the plant cannot sell cases.</w:t>
      </w:r>
    </w:p>
    <w:p>
      <w:pPr>
        <w:spacing w:before="20" w:after="20"/>
        <w:ind w:left="240" w:hanging="240"/>
      </w:pPr>
      <w:r>
        <w:rPr>
          <w:b/>
          <w:bCs/>
          <w:color w:val="353A7C"/>
          <w:sz w:val="15"/>
          <w:szCs w:val="15"/>
        </w:rPr>
        <w:t xml:space="preserve">Summary 3   </w:t>
      </w:r>
      <w:r>
        <w:rPr>
          <w:color w:val="6B7280"/>
          <w:sz w:val="15"/>
          <w:szCs w:val="15"/>
        </w:rPr>
        <w:t xml:space="preserve">Variable overhead: $2,000 favorable + $1,000 unfavorable = $1,000 favorable, the figure. All four: $223,000 actual − $216,000 applied = $7,000 under-applied.</w:t>
      </w:r>
    </w:p>
    <w:p>
      <w:pPr>
        <w:spacing w:before="20" w:after="20"/>
        <w:ind w:left="240" w:hanging="240"/>
      </w:pPr>
      <w:r>
        <w:rPr>
          <w:b/>
          <w:bCs/>
          <w:color w:val="353A7C"/>
          <w:sz w:val="15"/>
          <w:szCs w:val="15"/>
        </w:rPr>
        <w:t xml:space="preserve">Summary 4   </w:t>
      </w:r>
      <w:r>
        <w:rPr>
          <w:color w:val="6B7280"/>
          <w:sz w:val="15"/>
          <w:szCs w:val="15"/>
        </w:rPr>
        <w:t xml:space="preserve">Expect actual overhead, actual hours, the standard rates, the output produced and the denominator volume. Work out the standard hours allowed first, then apply the four formulas. Remember that the production-volume variance uses the standard hours allowed, never the hours worked.</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14.1 · Why overhead needs its own variances</w:t>
          </w:r>
        </w:p>
      </w:tc>
      <w:tc>
        <w:tcPr>
          <w:tcW w:type="pct" w:w="1400"/>
          <w:tcMar>
            <w:top w:type="dxa" w:w="-30"/>
            <w:left w:type="dxa" w:w="30"/>
            <w:bottom w:type="dxa" w:w="-30"/>
            <w:right w:type="dxa" w:w="30"/>
          </w:tcMar>
        </w:tcPr>
        <w:p>
          <w:pPr>
            <w:jc w:val="right"/>
          </w:pPr>
          <w:r>
            <w:rPr>
              <w:color w:val="6B7280"/>
              <w:sz w:val="16"/>
              <w:szCs w:val="16"/>
            </w:rPr>
            <w:t xml:space="preserve">Handout 14.1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14.2 · Variable overhead variances</w:t>
          </w:r>
        </w:p>
      </w:tc>
      <w:tc>
        <w:tcPr>
          <w:tcW w:type="pct" w:w="1400"/>
          <w:tcMar>
            <w:top w:type="dxa" w:w="-30"/>
            <w:left w:type="dxa" w:w="30"/>
            <w:bottom w:type="dxa" w:w="-30"/>
            <w:right w:type="dxa" w:w="30"/>
          </w:tcMar>
        </w:tcPr>
        <w:p>
          <w:pPr>
            <w:jc w:val="right"/>
          </w:pPr>
          <w:r>
            <w:rPr>
              <w:color w:val="6B7280"/>
              <w:sz w:val="16"/>
              <w:szCs w:val="16"/>
            </w:rPr>
            <w:t xml:space="preserve">Handout 14.2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14.3 · Fixed overhead variances</w:t>
          </w:r>
        </w:p>
      </w:tc>
      <w:tc>
        <w:tcPr>
          <w:tcW w:type="pct" w:w="1400"/>
          <w:tcMar>
            <w:top w:type="dxa" w:w="-30"/>
            <w:left w:type="dxa" w:w="30"/>
            <w:bottom w:type="dxa" w:w="-30"/>
            <w:right w:type="dxa" w:w="30"/>
          </w:tcMar>
        </w:tcPr>
        <w:p>
          <w:pPr>
            <w:jc w:val="right"/>
          </w:pPr>
          <w:r>
            <w:rPr>
              <w:color w:val="6B7280"/>
              <w:sz w:val="16"/>
              <w:szCs w:val="16"/>
            </w:rPr>
            <w:t xml:space="preserve">Handout 14.3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14.4 · Two-, three- and four-way analysis</w:t>
          </w:r>
        </w:p>
      </w:tc>
      <w:tc>
        <w:tcPr>
          <w:tcW w:type="pct" w:w="1400"/>
          <w:tcMar>
            <w:top w:type="dxa" w:w="-30"/>
            <w:left w:type="dxa" w:w="30"/>
            <w:bottom w:type="dxa" w:w="-30"/>
            <w:right w:type="dxa" w:w="30"/>
          </w:tcMar>
        </w:tcPr>
        <w:p>
          <w:pPr>
            <w:jc w:val="right"/>
          </w:pPr>
          <w:r>
            <w:rPr>
              <w:color w:val="6B7280"/>
              <w:sz w:val="16"/>
              <w:szCs w:val="16"/>
            </w:rPr>
            <w:t xml:space="preserve">Handout 14.4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14.5 · Analysing variances and acting on them</w:t>
          </w:r>
        </w:p>
      </w:tc>
      <w:tc>
        <w:tcPr>
          <w:tcW w:type="pct" w:w="1400"/>
          <w:tcMar>
            <w:top w:type="dxa" w:w="-30"/>
            <w:left w:type="dxa" w:w="30"/>
            <w:bottom w:type="dxa" w:w="-30"/>
            <w:right w:type="dxa" w:w="30"/>
          </w:tcMar>
        </w:tcPr>
        <w:p>
          <w:pPr>
            <w:jc w:val="right"/>
          </w:pPr>
          <w:r>
            <w:rPr>
              <w:color w:val="6B7280"/>
              <w:sz w:val="16"/>
              <w:szCs w:val="16"/>
            </w:rPr>
            <w:t xml:space="preserve">Handout 14.5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14.6 · Extended Example 14A: what June means and what to do</w:t>
          </w:r>
        </w:p>
      </w:tc>
      <w:tc>
        <w:tcPr>
          <w:tcW w:type="pct" w:w="1400"/>
          <w:tcMar>
            <w:top w:type="dxa" w:w="-30"/>
            <w:left w:type="dxa" w:w="30"/>
            <w:bottom w:type="dxa" w:w="-30"/>
            <w:right w:type="dxa" w:w="30"/>
          </w:tcMar>
        </w:tcPr>
        <w:p>
          <w:pPr>
            <w:jc w:val="right"/>
          </w:pPr>
          <w:r>
            <w:rPr>
              <w:color w:val="6B7280"/>
              <w:sz w:val="16"/>
              <w:szCs w:val="16"/>
            </w:rPr>
            <w:t xml:space="preserve">Handout 14.6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e830c7ed6ee6c38a50ec81f2a917e75b7e21746d.png" Type="http://schemas.openxmlformats.org/officeDocument/2006/relationships/image"/><Relationship Id="rId102" Target="media/743d6596329a9a64c22ce1205d73f283eca6362e.png" Type="http://schemas.openxmlformats.org/officeDocument/2006/relationships/image"/><Relationship Id="rId103" Target="media/b5d1c27612a327a755dc7a31a160a306df4f6180.png" Type="http://schemas.openxmlformats.org/officeDocument/2006/relationships/image"/><Relationship Id="rId104" Target="media/29c8b25c541772cf06d21cb01f931faabd5d4b88.png" Type="http://schemas.openxmlformats.org/officeDocument/2006/relationships/image"/><Relationship Id="rId105" Target="media/37a1197fd36dd886b8f54d7c5b4954a1d1c6005b.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14</dc:title>
  <dc:subject>Summary handouts</dc:subject>
  <cp:category>Student Book</cp:category>
</cp:coreProperties>
</file>