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758"/>
            <w:tcMar>
              <w:top w:type="dxa" w:w="50"/>
              <w:left w:type="dxa" w:w="110"/>
              <w:bottom w:type="dxa" w:w="50"/>
              <w:right w:type="dxa" w:w="110"/>
            </w:tcMar>
          </w:tcPr>
          <w:p>
            <w:pPr>
              <w:spacing w:before="28" w:after="28"/>
            </w:pPr>
            <w:r>
              <w:rPr>
                <w:sz w:val="15"/>
                <w:szCs w:val="15"/>
              </w:rPr>
              <w:t xml:space="preserve">Profit center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4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Any division's allocated head-office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Levant Distribution   ·   Any division's allocated head-office cost   ·   Revenue center   ·   No center: the charge is not controllable   ·   Cost center</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tahini plant is a cost center, because the sales team decides what to sell and at what price. </w:t>
      </w:r>
      <w:r>
        <w:rPr>
          <w:sz w:val="19"/>
          <w:szCs w:val="19"/>
        </w:rPr>
        <w:t xml:space="preserve">Levant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profit center, because its manager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center, because its manager decides on new equipment.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Distribution   ·   delivery   ·   investment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12–17</w:t>
      </w:r>
    </w:p>
    <w:p>
      <w:pPr>
        <w:spacing w:before="20" w:after="20" w:line="360" w:lineRule="auto"/>
        <w:ind w:left="200"/>
      </w:pPr>
      <w:r>
        <w:rPr>
          <w:sz w:val="19"/>
          <w:szCs w:val="19"/>
        </w:rPr>
        <w:t xml:space="preserve">Calling a unit a profit center does not give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control over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misleading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manager   ·   however   ·   question   ·   behavior   ·   choice   ·   prices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center   ·   cost center   ·   common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Levant 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center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 center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center: the charge is not 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report in contribution format has three margins,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then deducts the fixed costs the manager can change,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the division,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traceable   ·   depreciation   ·   throughout   ·   question   ·   answering   ·   Complete   ·   controllable   ·   supervision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20" w:after="20" w:line="360" w:lineRule="auto"/>
        <w:ind w:left="200"/>
      </w:pPr>
      <w:r>
        <w:rPr>
          <w:sz w:val="19"/>
          <w:szCs w:val="19"/>
        </w:rPr>
        <w:t xml:space="preserve">Beverages earns a segment margin of $3,180,000, the figure, and the three together earn $5,020,000.</w:t>
      </w:r>
    </w:p>
    <w:p>
      <w:pPr>
        <w:spacing w:before="44" w:after="10"/>
      </w:pPr>
      <w:r>
        <w:rPr>
          <w:b/>
          <w:bCs/>
          <w:color w:val="353A7C"/>
          <w:sz w:val="18"/>
          <w:szCs w:val="18"/>
        </w:rPr>
        <w:t xml:space="preserve">Worked example: the Orontes segment report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Segment margin   ·   = Contribution margin   ·   = Controllable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Deducting any fixed cost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gives a figure that no longer measures what an extra unit adds.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cost-volume-profit   ·   division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traceable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separate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business   ·   responsible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5"/>
        <w:gridCol w:w="4108"/>
        <w:gridCol w:w="29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1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561"/>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300"/>
            <w:tcMar>
              <w:top w:type="dxa" w:w="50"/>
              <w:left w:type="dxa" w:w="110"/>
              <w:bottom w:type="dxa" w:w="50"/>
              <w:right w:type="dxa" w:w="110"/>
            </w:tcMar>
          </w:tcPr>
          <w:p>
            <w:pPr>
              <w:spacing w:before="28" w:after="28"/>
            </w:pPr>
            <w:r>
              <w:rPr>
                <w:sz w:val="15"/>
                <w:szCs w:val="15"/>
              </w:rPr>
              <w:t xml:space="preserve">Divisions</w:t>
            </w:r>
          </w:p>
        </w:tc>
        <w:tc>
          <w:tcPr>
            <w:tcW w:type="pct" w:w="2140"/>
            <w:tcMar>
              <w:top w:type="dxa" w:w="50"/>
              <w:left w:type="dxa" w:w="110"/>
              <w:bottom w:type="dxa" w:w="50"/>
              <w:right w:type="dxa" w:w="110"/>
            </w:tcMar>
          </w:tcPr>
          <w:p>
            <w:pPr>
              <w:spacing w:before="28" w:after="28"/>
            </w:pPr>
            <w:r>
              <w:rPr>
                <w:sz w:val="15"/>
                <w:szCs w:val="15"/>
              </w:rPr>
              <w:t xml:space="preserve">Beverages, Oils, Tahini &amp; Spreads</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140"/>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00"/>
            <w:tcMar>
              <w:top w:type="dxa" w:w="50"/>
              <w:left w:type="dxa" w:w="110"/>
              <w:bottom w:type="dxa" w:w="50"/>
              <w:right w:type="dxa" w:w="110"/>
            </w:tcMar>
          </w:tcPr>
          <w:p>
            <w:pPr>
              <w:spacing w:before="28" w:after="28"/>
            </w:pPr>
            <w:r>
              <w:rPr>
                <w:sz w:val="15"/>
                <w:szCs w:val="15"/>
              </w:rPr>
              <w:t xml:space="preserve">Geographical areas</w:t>
            </w:r>
          </w:p>
        </w:tc>
        <w:tc>
          <w:tcPr>
            <w:tcW w:type="pct" w:w="21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61"/>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140"/>
            <w:shd w:fill="FBFAF6" w:val="clear"/>
            <w:tcMar>
              <w:top w:type="dxa" w:w="50"/>
              <w:left w:type="dxa" w:w="110"/>
              <w:bottom w:type="dxa" w:w="50"/>
              <w:right w:type="dxa" w:w="110"/>
            </w:tcMar>
          </w:tcPr>
          <w:p>
            <w:pPr>
              <w:spacing w:before="28" w:after="28"/>
            </w:pPr>
            <w:r>
              <w:rPr>
                <w:sz w:val="15"/>
                <w:szCs w:val="15"/>
              </w:rPr>
              <w:t xml:space="preserve">Supermarkets, hotels, Barada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00"/>
            <w:tcMar>
              <w:top w:type="dxa" w:w="50"/>
              <w:left w:type="dxa" w:w="110"/>
              <w:bottom w:type="dxa" w:w="50"/>
              <w:right w:type="dxa" w:w="110"/>
            </w:tcMar>
          </w:tcPr>
          <w:p>
            <w:pPr>
              <w:spacing w:before="28" w:after="28"/>
            </w:pPr>
            <w:r>
              <w:rPr>
                <w:sz w:val="15"/>
                <w:szCs w:val="15"/>
              </w:rPr>
              <w:t xml:space="preserve">Reportable segments under ASC 280</w:t>
            </w:r>
          </w:p>
        </w:tc>
        <w:tc>
          <w:tcPr>
            <w:tcW w:type="pct" w:w="214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as reported to the chief operating decision maker</w:t>
            </w:r>
          </w:p>
        </w:tc>
        <w:tc>
          <w:tcPr>
            <w:tcW w:type="pct" w:w="1561"/>
            <w:tcMar>
              <w:top w:type="dxa" w:w="50"/>
              <w:left w:type="dxa" w:w="110"/>
              <w:bottom w:type="dxa" w:w="50"/>
              <w:right w:type="dxa" w:w="110"/>
            </w:tcMar>
          </w:tcPr>
          <w:p>
            <w:pPr>
              <w:spacing w:before="28" w:after="28"/>
            </w:pPr>
            <w:r>
              <w:rPr>
                <w:sz w:val="15"/>
                <w:szCs w:val="15"/>
              </w:rPr>
              <w:t xml:space="preserve">External reporting follows internal reporting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Each has a manager responsible for results   ·   Book 2, Chapter 13 measured customer profitability   ·   cost center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overlap: the Gulf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segment that cuts across all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follows the same logic. </w:t>
      </w:r>
      <w:r>
        <w:rPr>
          <w:sz w:val="19"/>
          <w:szCs w:val="19"/>
        </w:rPr>
        <w:t xml:space="preserve">Under U.S. GAAP a company reports the segments its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decision maker uses, so the internal report and the published one usually share a structure.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reporting   ·   matters   ·   accountable   ·   operating   ·   External   ·   geographical</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Each has a manager responsible for results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Book 2, Chapter 13 measured customer 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serves more than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cannot be traced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charged a share. </w:t>
      </w:r>
      <w:r>
        <w:rPr>
          <w:sz w:val="19"/>
          <w:szCs w:val="19"/>
        </w:rPr>
        <w:t xml:space="preserve">Stand-alone cost allocation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what each would have paid alone. </w:t>
      </w:r>
      <w:r>
        <w:rPr>
          <w:sz w:val="19"/>
          <w:szCs w:val="19"/>
        </w:rPr>
        <w:t xml:space="preserve">Incremental cost allocation charges a primary user its stand-alone cost and the other user only the extra cost it adds.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   shares   ·   division   ·   decision   ·   zero-based   ·   segment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Alone, the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decision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Each method gives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answer from the same facts, and none of them is wrong.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shares the saving between the users, while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method gives all of it to the second user. </w:t>
      </w:r>
      <w:r>
        <w:rPr>
          <w:sz w:val="19"/>
          <w:szCs w:val="19"/>
        </w:rPr>
        <w:t xml:space="preserve">The choice of primary user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therefore   ·   stand-alone   ·   incremental   ·   charged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incremental cost allocation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different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incremental cost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stand-alone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 Stand-alone cost allocation shares the cost in proportion to what each would have paid alone. Incremental cost allocation charges a primary user its stand-alone cost and the other user only the extra cost it adds.</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judges each manager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remember   ·   memorandum   ·   percentage   ·   argues   ·   controllable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classify as variable,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carefully   ·   Spreads   ·   calculate</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investment center   ·   segment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profit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segment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dd4f9ca5520ea92759b79b76b2fbeb4923a2650.png" Type="http://schemas.openxmlformats.org/officeDocument/2006/relationships/image"/><Relationship Id="rId102" Target="media/952947bcaac50834c8660f956569f8c5875261da.png" Type="http://schemas.openxmlformats.org/officeDocument/2006/relationships/image"/><Relationship Id="rId103" Target="media/7cd724361cb739050e7c984448a4875a31821697.png" Type="http://schemas.openxmlformats.org/officeDocument/2006/relationships/image"/><Relationship Id="rId104" Target="media/d537b4ad74fb113fc5627ec238ee6fefe2c5bba0.png" Type="http://schemas.openxmlformats.org/officeDocument/2006/relationships/image"/><Relationship Id="rId105" Target="media/4172baa7c235409e13410cb61c21ebb73acb5f69.png" Type="http://schemas.openxmlformats.org/officeDocument/2006/relationships/image"/><Relationship Id="rId106" Target="media/bc99099eb53f1ca18864b64be7a42447daf40062.png" Type="http://schemas.openxmlformats.org/officeDocument/2006/relationships/image"/><Relationship Id="rId107" Target="media/8f899d74fdf676286ed6c436aa64da18bd7ee149.png" Type="http://schemas.openxmlformats.org/officeDocument/2006/relationships/image"/><Relationship Id="rId108" Target="media/3e7866b67cd5a2c78d07e49db7569b57e76a3086.png" Type="http://schemas.openxmlformats.org/officeDocument/2006/relationships/image"/><Relationship Id="rId109" Target="media/e0469c1ab58390871924d3dc41e6d1489c86b0b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15</dc:title>
  <dc:subject>Summary handouts</dc:subject>
  <cp:category>Student Book</cp:category>
</cp:coreProperties>
</file>