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17.1  Measures, goals and feedback</w:t>
            </w:r>
          </w:p>
          <w:p>
            <w:pPr>
              <w:spacing w:before="0" w:after="46"/>
            </w:pPr>
            <w:r>
              <w:rPr>
                <w:color w:val="E8EAF6"/>
                <w:sz w:val="16"/>
                <w:szCs w:val="16"/>
              </w:rPr>
              <w:t xml:space="preserve">Chapter 17 · section 17.1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Residual income   ·   Measures, goals and feedback   ·   required rate of return   ·   What goes into the figures</w:t>
            </w:r>
          </w:p>
        </w:tc>
      </w:tr>
    </w:tbl>
    <w:p/>
    <w:p>
      <w:pPr>
        <w:spacing w:before="44" w:after="14"/>
      </w:pPr>
      <w:r>
        <w:rPr>
          <w:b/>
          <w:bCs/>
          <w:color w:val="353A7C"/>
          <w:sz w:val="18"/>
          <w:szCs w:val="18"/>
        </w:rPr>
        <w:t xml:space="preserve">Summary 1</w:t>
      </w:r>
      <w:r>
        <w:rPr>
          <w:color w:val="6B7280"/>
          <w:sz w:val="16"/>
          <w:szCs w:val="16"/>
        </w:rPr>
        <w:t xml:space="preserve">      gaps 4–8</w:t>
      </w:r>
    </w:p>
    <w:p>
      <w:pPr>
        <w:spacing w:before="20" w:after="20" w:line="360" w:lineRule="auto"/>
        <w:ind w:left="200"/>
      </w:pP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measure changes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so it must point at what the strategy asks for.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told to grow in the Gulf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only on cost will not grow in the Gulf.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must also arrive in time to act on. </w:t>
      </w:r>
      <w:r>
        <w:rPr>
          <w:sz w:val="19"/>
          <w:szCs w:val="19"/>
        </w:rPr>
        <w:t xml:space="preserve">A variance report that reaches the plant six weeks after the month it describes cannot change the decision that caused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behavior   ·   performance   ·   variance   ·   Feedback   ·   division   ·   judged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31"/>
        <w:gridCol w:w="254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a good performance measure needs</w:t>
            </w:r>
          </w:p>
        </w:tc>
      </w:tr>
      <w:tr>
        <w:tc>
          <w:tcPr>
            <w:tcW w:type="pct" w:w="1474"/>
            <w:shd w:fill="353A7C" w:val="clear"/>
            <w:tcMar>
              <w:top w:type="dxa" w:w="50"/>
              <w:left w:type="dxa" w:w="110"/>
              <w:bottom w:type="dxa" w:w="50"/>
              <w:right w:type="dxa" w:w="110"/>
            </w:tcMar>
          </w:tcPr>
          <w:p>
            <w:pPr>
              <w:spacing w:before="30" w:after="30"/>
            </w:pPr>
            <w:r>
              <w:rPr>
                <w:b/>
                <w:bCs/>
                <w:color w:val="FFFFFF"/>
                <w:sz w:val="15"/>
                <w:szCs w:val="15"/>
              </w:rPr>
              <w:t xml:space="preserve">What a good measure needs (C.3.a)</w:t>
            </w:r>
          </w:p>
        </w:tc>
        <w:tc>
          <w:tcPr>
            <w:tcW w:type="pct" w:w="1326"/>
            <w:shd w:fill="353A7C" w:val="clear"/>
            <w:tcMar>
              <w:top w:type="dxa" w:w="50"/>
              <w:left w:type="dxa" w:w="110"/>
              <w:bottom w:type="dxa" w:w="50"/>
              <w:right w:type="dxa" w:w="110"/>
            </w:tcMar>
          </w:tcPr>
          <w:p>
            <w:pPr>
              <w:spacing w:before="30" w:after="30"/>
            </w:pPr>
            <w:r>
              <w:rPr>
                <w:b/>
                <w:bCs/>
                <w:color w:val="FFFFFF"/>
                <w:sz w:val="15"/>
                <w:szCs w:val="15"/>
              </w:rPr>
              <w:t xml:space="preserve">Why</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474"/>
            <w:tcMar>
              <w:top w:type="dxa" w:w="50"/>
              <w:left w:type="dxa" w:w="110"/>
              <w:bottom w:type="dxa" w:w="50"/>
              <w:right w:type="dxa" w:w="110"/>
            </w:tcMar>
          </w:tcPr>
          <w:p>
            <w:pPr>
              <w:spacing w:before="28" w:after="28"/>
            </w:pPr>
            <w:r>
              <w:rPr>
                <w:sz w:val="15"/>
                <w:szCs w:val="15"/>
              </w:rPr>
              <w:t xml:space="preserve">Related to strategy</w:t>
            </w:r>
          </w:p>
        </w:tc>
        <w:tc>
          <w:tcPr>
            <w:tcW w:type="pct" w:w="1326"/>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tcMar>
              <w:top w:type="dxa" w:w="50"/>
              <w:left w:type="dxa" w:w="110"/>
              <w:bottom w:type="dxa" w:w="50"/>
              <w:right w:type="dxa" w:w="110"/>
            </w:tcMar>
          </w:tcPr>
          <w:p>
            <w:pPr>
              <w:spacing w:before="28" w:after="28"/>
            </w:pPr>
            <w:r>
              <w:rPr>
                <w:sz w:val="15"/>
                <w:szCs w:val="15"/>
              </w:rPr>
              <w:t xml:space="preserve">Chapter 1 set a return objective; ROI measures it</w:t>
            </w:r>
          </w:p>
        </w:tc>
      </w:tr>
      <w:tr>
        <w:tc>
          <w:tcPr>
            <w:tcW w:type="pct" w:w="1474"/>
            <w:shd w:fill="FBFAF6" w:val="clear"/>
            <w:tcMar>
              <w:top w:type="dxa" w:w="50"/>
              <w:left w:type="dxa" w:w="110"/>
              <w:bottom w:type="dxa" w:w="50"/>
              <w:right w:type="dxa" w:w="110"/>
            </w:tcMar>
          </w:tcPr>
          <w:p>
            <w:pPr>
              <w:spacing w:before="28" w:after="28"/>
            </w:pPr>
            <w:r>
              <w:rPr>
                <w:sz w:val="15"/>
                <w:szCs w:val="15"/>
              </w:rPr>
              <w:t xml:space="preserve">Timely feedback</w:t>
            </w:r>
          </w:p>
        </w:tc>
        <w:tc>
          <w:tcPr>
            <w:tcW w:type="pct" w:w="1326"/>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200"/>
            <w:shd w:fill="FBFAF6" w:val="clear"/>
            <w:tcMar>
              <w:top w:type="dxa" w:w="50"/>
              <w:left w:type="dxa" w:w="110"/>
              <w:bottom w:type="dxa" w:w="50"/>
              <w:right w:type="dxa" w:w="110"/>
            </w:tcMar>
          </w:tcPr>
          <w:p>
            <w:pPr>
              <w:spacing w:before="28" w:after="28"/>
            </w:pPr>
            <w:r>
              <w:rPr>
                <w:sz w:val="15"/>
                <w:szCs w:val="15"/>
              </w:rPr>
              <w:t xml:space="preserve">Monthly variance reports (Chapter 11), quarterly ROI</w:t>
            </w:r>
          </w:p>
        </w:tc>
      </w:tr>
      <w:tr>
        <w:tc>
          <w:tcPr>
            <w:tcW w:type="pct" w:w="1474"/>
            <w:tcMar>
              <w:top w:type="dxa" w:w="50"/>
              <w:left w:type="dxa" w:w="110"/>
              <w:bottom w:type="dxa" w:w="50"/>
              <w:right w:type="dxa" w:w="110"/>
            </w:tcMar>
          </w:tcPr>
          <w:p>
            <w:pPr>
              <w:spacing w:before="28" w:after="28"/>
            </w:pPr>
            <w:r>
              <w:rPr>
                <w:sz w:val="15"/>
                <w:szCs w:val="15"/>
              </w:rPr>
              <w:t xml:space="preserve">Within the manager's control</w:t>
            </w:r>
          </w:p>
        </w:tc>
        <w:tc>
          <w:tcPr>
            <w:tcW w:type="pct" w:w="1326"/>
            <w:tcMar>
              <w:top w:type="dxa" w:w="50"/>
              <w:left w:type="dxa" w:w="110"/>
              <w:bottom w:type="dxa" w:w="50"/>
              <w:right w:type="dxa" w:w="110"/>
            </w:tcMar>
          </w:tcPr>
          <w:p>
            <w:pPr>
              <w:spacing w:before="28" w:after="28"/>
            </w:pPr>
            <w:r>
              <w:rPr>
                <w:sz w:val="15"/>
                <w:szCs w:val="15"/>
              </w:rPr>
              <w:t xml:space="preserve">Judge on what the manager decides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474"/>
            <w:shd w:fill="FBFAF6" w:val="clear"/>
            <w:tcMar>
              <w:top w:type="dxa" w:w="50"/>
              <w:left w:type="dxa" w:w="110"/>
              <w:bottom w:type="dxa" w:w="50"/>
              <w:right w:type="dxa" w:w="110"/>
            </w:tcMar>
          </w:tcPr>
          <w:p>
            <w:pPr>
              <w:spacing w:before="28" w:after="28"/>
            </w:pPr>
            <w:r>
              <w:rPr>
                <w:sz w:val="15"/>
                <w:szCs w:val="15"/>
              </w:rPr>
              <w:t xml:space="preserve">Few and clear</w:t>
            </w:r>
          </w:p>
        </w:tc>
        <w:tc>
          <w:tcPr>
            <w:tcW w:type="pct" w:w="1326"/>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Chapter 18 builds a balanced set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result that arrives too late cannot change a decision   ·   The measure should reward what the plan asks for   ·   Too many measures divide attention   ·   Controllable margin (Chapter 15), not allocated costs   ·   return on sales (operating margin)</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17.1  Measures, goals and feedback</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Measures, goals and feedback</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judged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Residual income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Feedback</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What goes into the figures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The measure should reward what the plan asks for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 result that arrives too late cannot change a 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behavior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Controllable margin (Chapter 15), not allocated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Too many measures divide attention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performance measure changes behavior, so it must point at what the strategy asks for. A division told to grow in the Gulf and judged only on cost will not grow in the Gulf. Feedback must also arrive in time to act on. A variance report that reaches the plant six weeks after the month it describes cannot change the decision that caused it.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17.2  Return on investment</w:t>
            </w:r>
          </w:p>
          <w:p>
            <w:pPr>
              <w:spacing w:before="0" w:after="46"/>
            </w:pPr>
            <w:r>
              <w:rPr>
                <w:color w:val="E8EAF6"/>
                <w:sz w:val="16"/>
                <w:szCs w:val="16"/>
              </w:rPr>
              <w:t xml:space="preserve">Chapter 17 · section 17.2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Return on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(ROI) is operating income divided by the operating assets used to earn it. </w:t>
      </w:r>
      <w:r>
        <w:rPr>
          <w:sz w:val="19"/>
          <w:szCs w:val="19"/>
        </w:rPr>
        <w:t xml:space="preserve">For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$3,180,000 ÷ $12,000,000 = 26.5%. </w:t>
      </w:r>
      <w:r>
        <w:rPr>
          <w:sz w:val="19"/>
          <w:szCs w:val="19"/>
        </w:rPr>
        <w:t xml:space="preserve">ROI splits into two parts that managers can act on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warehouse   ·   separately   ·   Beverages   ·   investment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three divisions</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Oils earns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margin than Tahini &amp;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but turns its assets over twice as fast, so its ROI is higher.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Spreads   ·   thinner   ·   manager</w:t>
            </w:r>
          </w:p>
        </w:tc>
      </w:tr>
    </w:tbl>
    <w:p/>
    <w:p>
      <w:pPr>
        <w:spacing w:before="44" w:after="10"/>
      </w:pPr>
      <w:r>
        <w:rPr>
          <w:b/>
          <w:bCs/>
          <w:color w:val="353A7C"/>
          <w:sz w:val="18"/>
          <w:szCs w:val="18"/>
        </w:rPr>
        <w:t xml:space="preserve">Worked example: ROI for the three divisions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residual income (RI)   ·   Tahini &amp; Spreads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Tahini &amp; Spreads ROI</w:t>
            </w:r>
          </w:p>
        </w:tc>
      </w:tr>
    </w:tbl>
    <w:p/>
    <w:p>
      <w:pPr>
        <w:spacing w:before="44" w:after="14"/>
      </w:pPr>
      <w:r>
        <w:rPr>
          <w:b/>
          <w:bCs/>
          <w:color w:val="353A7C"/>
          <w:sz w:val="18"/>
          <w:szCs w:val="18"/>
        </w:rPr>
        <w:t xml:space="preserve">Summary 3</w:t>
      </w:r>
      <w:r>
        <w:rPr>
          <w:color w:val="6B7280"/>
          <w:sz w:val="16"/>
          <w:szCs w:val="16"/>
        </w:rPr>
        <w:t xml:space="preserve">      gaps 7–10</w:t>
      </w:r>
    </w:p>
    <w:p>
      <w:pPr>
        <w:spacing w:before="20" w:after="20" w:line="360" w:lineRule="auto"/>
        <w:ind w:left="200"/>
      </w:pPr>
      <w:r>
        <w:rPr>
          <w:sz w:val="19"/>
          <w:szCs w:val="19"/>
        </w:rPr>
        <w:t xml:space="preserve">Complete the blank cell.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ROI means asking which part moved.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can raise ROI by earning more on each sale or by using fewer assets, and the second route is open to abuse: selling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raises ROI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earning a cent more.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selling   ·   manager   ·   Reading   ·   without   ·   warehouse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required rate of return   ·   return on investment (ROI)   ·   asset turnover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93"/>
        <w:gridCol w:w="470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4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5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48"/>
            <w:tcMar>
              <w:top w:type="dxa" w:w="50"/>
              <w:left w:type="dxa" w:w="110"/>
              <w:bottom w:type="dxa" w:w="50"/>
              <w:right w:type="dxa" w:w="110"/>
            </w:tcMar>
          </w:tcPr>
          <w:p>
            <w:pPr>
              <w:spacing w:before="26" w:after="26"/>
            </w:pPr>
            <w:r>
              <w:rPr>
                <w:color w:val="232733"/>
                <w:sz w:val="16"/>
                <w:szCs w:val="16"/>
              </w:rPr>
              <w:t xml:space="preserve">return on investment (ROI)</w:t>
            </w:r>
          </w:p>
        </w:tc>
        <w:tc>
          <w:tcPr>
            <w:tcW w:type="pct" w:w="2452"/>
            <w:tcMar>
              <w:top w:type="dxa" w:w="50"/>
              <w:left w:type="dxa" w:w="110"/>
              <w:bottom w:type="dxa" w:w="50"/>
              <w:right w:type="dxa" w:w="110"/>
            </w:tcMar>
          </w:tcPr>
          <w:p>
            <w:pPr>
              <w:spacing w:before="26" w:after="26"/>
            </w:pPr>
            <w:r>
              <w:rPr>
                <w:color w:val="232733"/>
                <w:sz w:val="16"/>
                <w:szCs w:val="16"/>
              </w:rPr>
              <w:t xml:space="preserve">العائد على الاستثمار</w:t>
            </w:r>
          </w:p>
        </w:tc>
      </w:tr>
      <w:tr>
        <w:tc>
          <w:tcPr>
            <w:tcW w:type="pct" w:w="2548"/>
            <w:shd w:fill="FBFAF6" w:val="clear"/>
            <w:tcMar>
              <w:top w:type="dxa" w:w="50"/>
              <w:left w:type="dxa" w:w="110"/>
              <w:bottom w:type="dxa" w:w="50"/>
              <w:right w:type="dxa" w:w="110"/>
            </w:tcMar>
          </w:tcPr>
          <w:p>
            <w:pPr>
              <w:spacing w:before="26" w:after="26"/>
            </w:pPr>
            <w:r>
              <w:rPr>
                <w:color w:val="232733"/>
                <w:sz w:val="16"/>
                <w:szCs w:val="16"/>
              </w:rPr>
              <w:t xml:space="preserve">return on sales (operating margin)</w:t>
            </w:r>
          </w:p>
        </w:tc>
        <w:tc>
          <w:tcPr>
            <w:tcW w:type="pct" w:w="2452"/>
            <w:shd w:fill="FBFAF6" w:val="clear"/>
            <w:tcMar>
              <w:top w:type="dxa" w:w="50"/>
              <w:left w:type="dxa" w:w="110"/>
              <w:bottom w:type="dxa" w:w="50"/>
              <w:right w:type="dxa" w:w="110"/>
            </w:tcMar>
          </w:tcPr>
          <w:p>
            <w:pPr>
              <w:spacing w:before="26" w:after="26"/>
            </w:pPr>
            <w:r>
              <w:rPr>
                <w:color w:val="232733"/>
                <w:sz w:val="16"/>
                <w:szCs w:val="16"/>
              </w:rPr>
              <w:t xml:space="preserve">العائد على المبيعات (هامش التشغيل)</w:t>
            </w:r>
          </w:p>
        </w:tc>
      </w:tr>
      <w:tr>
        <w:tc>
          <w:tcPr>
            <w:tcW w:type="pct" w:w="2548"/>
            <w:tcMar>
              <w:top w:type="dxa" w:w="50"/>
              <w:left w:type="dxa" w:w="110"/>
              <w:bottom w:type="dxa" w:w="50"/>
              <w:right w:type="dxa" w:w="110"/>
            </w:tcMar>
          </w:tcPr>
          <w:p>
            <w:pPr>
              <w:spacing w:before="26" w:after="26"/>
            </w:pPr>
            <w:r>
              <w:rPr>
                <w:color w:val="232733"/>
                <w:sz w:val="16"/>
                <w:szCs w:val="16"/>
              </w:rPr>
              <w:t xml:space="preserve">asset turnover</w:t>
            </w:r>
          </w:p>
        </w:tc>
        <w:tc>
          <w:tcPr>
            <w:tcW w:type="pct" w:w="2452"/>
            <w:tcMar>
              <w:top w:type="dxa" w:w="50"/>
              <w:left w:type="dxa" w:w="110"/>
              <w:bottom w:type="dxa" w:w="50"/>
              <w:right w:type="dxa" w:w="110"/>
            </w:tcMar>
          </w:tcPr>
          <w:p>
            <w:pPr>
              <w:spacing w:before="26" w:after="26"/>
            </w:pPr>
            <w:r>
              <w:rPr>
                <w:color w:val="232733"/>
                <w:sz w:val="16"/>
                <w:szCs w:val="16"/>
              </w:rPr>
              <w:t xml:space="preserve">معدل دوران الأصول</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17.2  Return on investment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Reading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separately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thinner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without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Spreads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return on investment (ROI)</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Tahini &amp; Spreads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asset turnover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Return on investment (ROI) is operating income divided by the operating assets used to earn it. For Beverages: $3,180,000 ÷ $12,000,000 = 26.5%. ROI splits into two parts that managers can act on separately.</w:t>
      </w:r>
    </w:p>
    <w:p>
      <w:pPr>
        <w:spacing w:before="20" w:after="20"/>
        <w:ind w:left="240" w:hanging="240"/>
      </w:pPr>
      <w:r>
        <w:rPr>
          <w:b/>
          <w:bCs/>
          <w:color w:val="353A7C"/>
          <w:sz w:val="15"/>
          <w:szCs w:val="15"/>
        </w:rPr>
        <w:t xml:space="preserve">Summary 2   </w:t>
      </w:r>
      <w:r>
        <w:rPr>
          <w:color w:val="6B7280"/>
          <w:sz w:val="15"/>
          <w:szCs w:val="15"/>
        </w:rPr>
        <w:t xml:space="preserve">Oils earns a thinner margin than Tahini &amp; Spreads but turns its assets over twice as fast, so its ROI is higher.</w:t>
      </w:r>
    </w:p>
    <w:p>
      <w:pPr>
        <w:spacing w:before="20" w:after="20"/>
        <w:ind w:left="240" w:hanging="240"/>
      </w:pPr>
      <w:r>
        <w:rPr>
          <w:b/>
          <w:bCs/>
          <w:color w:val="353A7C"/>
          <w:sz w:val="15"/>
          <w:szCs w:val="15"/>
        </w:rPr>
        <w:t xml:space="preserve">Summary 3   </w:t>
      </w:r>
      <w:r>
        <w:rPr>
          <w:color w:val="6B7280"/>
          <w:sz w:val="15"/>
          <w:szCs w:val="15"/>
        </w:rPr>
        <w:t xml:space="preserve">Complete the blank cell. Reading ROI means asking which part moved. A manager can raise ROI by earning more on each sale or by using fewer assets, and the second route is open to abuse: selling a warehouse raises ROI without earning a cent more.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17.3  Residual income</w:t>
            </w:r>
          </w:p>
          <w:p>
            <w:pPr>
              <w:spacing w:before="0" w:after="46"/>
            </w:pPr>
            <w:r>
              <w:rPr>
                <w:color w:val="E8EAF6"/>
                <w:sz w:val="16"/>
                <w:szCs w:val="16"/>
              </w:rPr>
              <w:t xml:space="preserve">Chapter 17 · section 17.3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Residual income (RI)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income less a capital charge: the required rate of return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by the investment base.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required   ·   multiplied   ·   operating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residual income for the three divisions</w:t>
            </w:r>
          </w:p>
        </w:tc>
      </w:tr>
    </w:tbl>
    <w:p/>
    <w:p>
      <w:pPr>
        <w:spacing w:before="20" w:after="20" w:line="360" w:lineRule="auto"/>
        <w:ind w:left="200"/>
      </w:pPr>
      <w:r>
        <w:rPr>
          <w:sz w:val="19"/>
          <w:szCs w:val="19"/>
        </w:rPr>
        <w:t xml:space="preserve">Beverages: $3,180,000 − 12% × $12,000,000 = $1,740,000.</w:t>
      </w:r>
    </w:p>
    <w:p>
      <w:pPr>
        <w:spacing w:before="44" w:after="10"/>
      </w:pPr>
      <w:r>
        <w:rPr>
          <w:b/>
          <w:bCs/>
          <w:color w:val="353A7C"/>
          <w:sz w:val="18"/>
          <w:szCs w:val="18"/>
        </w:rPr>
        <w:t xml:space="preserve">Worked example: residual income for the three divisions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Oils   ·   suboptimization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Tahini &amp; Spreads residual income</w:t>
            </w:r>
          </w:p>
        </w:tc>
      </w:tr>
    </w:tbl>
    <w:p/>
    <w:p>
      <w:pPr>
        <w:spacing w:before="44" w:after="14"/>
      </w:pPr>
      <w:r>
        <w:rPr>
          <w:b/>
          <w:bCs/>
          <w:color w:val="353A7C"/>
          <w:sz w:val="18"/>
          <w:szCs w:val="18"/>
        </w:rPr>
        <w:t xml:space="preserve">Summary 2</w:t>
      </w:r>
      <w:r>
        <w:rPr>
          <w:color w:val="6B7280"/>
          <w:sz w:val="16"/>
          <w:szCs w:val="16"/>
        </w:rPr>
        <w:t xml:space="preserve">      gaps 4–7</w:t>
      </w:r>
    </w:p>
    <w:p>
      <w:pPr>
        <w:spacing w:before="20" w:after="20" w:line="360" w:lineRule="auto"/>
        <w:ind w:left="200"/>
      </w:pPr>
      <w:r>
        <w:rPr>
          <w:sz w:val="19"/>
          <w:szCs w:val="19"/>
        </w:rPr>
        <w:t xml:space="preserve">Complete the blank cell.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income is an amount, not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so a large division will usually show more of it than a small one. </w:t>
      </w:r>
      <w:r>
        <w:rPr>
          <w:sz w:val="19"/>
          <w:szCs w:val="19"/>
        </w:rPr>
        <w:t xml:space="preserve">Beverages earns $1,740,000 against $120,000 for Tahini &amp; Spreads, but that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says more about size than about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multiplied   ·   Residual   ·   performance   ·   percentage   ·   comparison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 charge   ·   required rate of return   ·   residual income (RI)</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residual income (RI)</w:t>
            </w:r>
          </w:p>
        </w:tc>
        <w:tc>
          <w:tcPr>
            <w:tcW w:type="pct" w:w="2400"/>
            <w:tcMar>
              <w:top w:type="dxa" w:w="50"/>
              <w:left w:type="dxa" w:w="110"/>
              <w:bottom w:type="dxa" w:w="50"/>
              <w:right w:type="dxa" w:w="110"/>
            </w:tcMar>
          </w:tcPr>
          <w:p>
            <w:pPr>
              <w:spacing w:before="26" w:after="26"/>
            </w:pPr>
            <w:r>
              <w:rPr>
                <w:color w:val="232733"/>
                <w:sz w:val="16"/>
                <w:szCs w:val="16"/>
              </w:rPr>
              <w:t xml:space="preserve">الدخل المتبقي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required rate of return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معدل العائد المطلوب</w:t>
            </w:r>
          </w:p>
        </w:tc>
      </w:tr>
      <w:tr>
        <w:tc>
          <w:tcPr>
            <w:tcW w:type="pct" w:w="2600"/>
            <w:tcMar>
              <w:top w:type="dxa" w:w="50"/>
              <w:left w:type="dxa" w:w="110"/>
              <w:bottom w:type="dxa" w:w="50"/>
              <w:right w:type="dxa" w:w="110"/>
            </w:tcMar>
          </w:tcPr>
          <w:p>
            <w:pPr>
              <w:spacing w:before="26" w:after="26"/>
            </w:pPr>
            <w:r>
              <w:rPr>
                <w:color w:val="232733"/>
                <w:sz w:val="16"/>
                <w:szCs w:val="16"/>
              </w:rPr>
              <w:t xml:space="preserve">capital charge</w:t>
            </w:r>
          </w:p>
        </w:tc>
        <w:tc>
          <w:tcPr>
            <w:tcW w:type="pct" w:w="2400"/>
            <w:tcMar>
              <w:top w:type="dxa" w:w="50"/>
              <w:left w:type="dxa" w:w="110"/>
              <w:bottom w:type="dxa" w:w="50"/>
              <w:right w:type="dxa" w:w="110"/>
            </w:tcMar>
          </w:tcPr>
          <w:p>
            <w:pPr>
              <w:spacing w:before="26" w:after="26"/>
            </w:pPr>
            <w:r>
              <w:rPr>
                <w:color w:val="232733"/>
                <w:sz w:val="16"/>
                <w:szCs w:val="16"/>
              </w:rPr>
              <w:t xml:space="preserve">عبء رأس المال</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17.3  Residual income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comparison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multiplied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Oils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required rate of return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Residual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capital charge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percentage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Residual income (RI) is operating income less a capital charge: the required rate of return multiplied by the investment base.</w:t>
      </w:r>
    </w:p>
    <w:p>
      <w:pPr>
        <w:spacing w:before="20" w:after="20"/>
        <w:ind w:left="240" w:hanging="240"/>
      </w:pPr>
      <w:r>
        <w:rPr>
          <w:b/>
          <w:bCs/>
          <w:color w:val="353A7C"/>
          <w:sz w:val="15"/>
          <w:szCs w:val="15"/>
        </w:rPr>
        <w:t xml:space="preserve">Summary 2   </w:t>
      </w:r>
      <w:r>
        <w:rPr>
          <w:color w:val="6B7280"/>
          <w:sz w:val="15"/>
          <w:szCs w:val="15"/>
        </w:rPr>
        <w:t xml:space="preserve">Complete the blank cell. Residual income is an amount, not a percentage, so a large division will usually show more of it than a small one. Beverages earns $1,740,000 against $120,000 for Tahini &amp; Spreads, but that comparison says more about size than about performance.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17.4  Choosing between them</w:t>
            </w:r>
          </w:p>
          <w:p>
            <w:pPr>
              <w:spacing w:before="0" w:after="46"/>
            </w:pPr>
            <w:r>
              <w:rPr>
                <w:color w:val="E8EAF6"/>
                <w:sz w:val="16"/>
                <w:szCs w:val="16"/>
              </w:rPr>
              <w:t xml:space="preserve">Chapter 17 · section 17.4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two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can disagree, and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the reason both exist.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offered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project: $2,500,000 of assets earning $450,000 a year, a return of 18.0%. </w:t>
      </w:r>
      <w:r>
        <w:rPr>
          <w:sz w:val="19"/>
          <w:szCs w:val="19"/>
        </w:rPr>
        <w:t xml:space="preserve">The project earns well above the 12% the company requires, but below the 26.5% the division already earns, so accepting it pulls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ROI down to 25.0%.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disagreement   ·   measures   ·   filling-line   ·   Beverages   ·   against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project under both measures</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Under ROI the manager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project the company wants; under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income the manager accepts it, because $450,000 exceeds the $300,000 capital charge by $150,000.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suboptimization   ·   rejects   ·   residual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092"/>
        <w:gridCol w:w="2255"/>
        <w:gridCol w:w="1979"/>
        <w:gridCol w:w="227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Worked example: the filling line under ROI and residual income</w:t>
            </w:r>
          </w:p>
        </w:tc>
      </w:tr>
      <w:tr>
        <w:tc>
          <w:tcPr>
            <w:tcW w:type="pct" w:w="1610"/>
            <w:shd w:fill="353A7C" w:val="clear"/>
            <w:tcMar>
              <w:top w:type="dxa" w:w="50"/>
              <w:left w:type="dxa" w:w="110"/>
              <w:bottom w:type="dxa" w:w="50"/>
              <w:right w:type="dxa" w:w="110"/>
            </w:tcMar>
          </w:tcPr>
          <w:p>
            <w:pPr>
              <w:spacing w:before="30" w:after="30"/>
            </w:pPr>
            <w:r>
              <w:rPr>
                <w:b/>
                <w:bCs/>
                <w:color w:val="FFFFFF"/>
                <w:sz w:val="15"/>
                <w:szCs w:val="15"/>
              </w:rPr>
              <w:t xml:space="preserve">Beverages and the filling line</w:t>
            </w:r>
          </w:p>
        </w:tc>
        <w:tc>
          <w:tcPr>
            <w:tcW w:type="pct" w:w="1175"/>
            <w:shd w:fill="353A7C" w:val="clear"/>
            <w:tcMar>
              <w:top w:type="dxa" w:w="50"/>
              <w:left w:type="dxa" w:w="110"/>
              <w:bottom w:type="dxa" w:w="50"/>
              <w:right w:type="dxa" w:w="110"/>
            </w:tcMar>
          </w:tcPr>
          <w:p>
            <w:pPr>
              <w:spacing w:before="30" w:after="30"/>
            </w:pPr>
            <w:r>
              <w:rPr>
                <w:b/>
                <w:bCs/>
                <w:color w:val="FFFFFF"/>
                <w:sz w:val="15"/>
                <w:szCs w:val="15"/>
              </w:rPr>
              <w:t xml:space="preserve">Division now</w:t>
            </w:r>
          </w:p>
        </w:tc>
        <w:tc>
          <w:tcPr>
            <w:tcW w:type="pct" w:w="1031"/>
            <w:shd w:fill="353A7C" w:val="clear"/>
            <w:tcMar>
              <w:top w:type="dxa" w:w="50"/>
              <w:left w:type="dxa" w:w="110"/>
              <w:bottom w:type="dxa" w:w="50"/>
              <w:right w:type="dxa" w:w="110"/>
            </w:tcMar>
          </w:tcPr>
          <w:p>
            <w:pPr>
              <w:spacing w:before="30" w:after="30"/>
            </w:pPr>
            <w:r>
              <w:rPr>
                <w:b/>
                <w:bCs/>
                <w:color w:val="FFFFFF"/>
                <w:sz w:val="15"/>
                <w:szCs w:val="15"/>
              </w:rPr>
              <w:t xml:space="preserve">The project</w:t>
            </w:r>
          </w:p>
        </w:tc>
        <w:tc>
          <w:tcPr>
            <w:tcW w:type="pct" w:w="1184"/>
            <w:shd w:fill="353A7C" w:val="clear"/>
            <w:tcMar>
              <w:top w:type="dxa" w:w="50"/>
              <w:left w:type="dxa" w:w="110"/>
              <w:bottom w:type="dxa" w:w="50"/>
              <w:right w:type="dxa" w:w="110"/>
            </w:tcMar>
          </w:tcPr>
          <w:p>
            <w:pPr>
              <w:spacing w:before="30" w:after="30"/>
            </w:pPr>
            <w:r>
              <w:rPr>
                <w:b/>
                <w:bCs/>
                <w:color w:val="FFFFFF"/>
                <w:sz w:val="15"/>
                <w:szCs w:val="15"/>
              </w:rPr>
              <w:t xml:space="preserve">Division after</w:t>
            </w:r>
          </w:p>
        </w:tc>
      </w:tr>
      <w:tr>
        <w:tc>
          <w:tcPr>
            <w:tcW w:type="pct" w:w="1610"/>
            <w:tcMar>
              <w:top w:type="dxa" w:w="50"/>
              <w:left w:type="dxa" w:w="110"/>
              <w:bottom w:type="dxa" w:w="50"/>
              <w:right w:type="dxa" w:w="110"/>
            </w:tcMar>
          </w:tcPr>
          <w:p>
            <w:pPr>
              <w:spacing w:before="28" w:after="28"/>
            </w:pPr>
            <w:r>
              <w:rPr>
                <w:sz w:val="15"/>
                <w:szCs w:val="15"/>
              </w:rPr>
              <w:t xml:space="preserve">Operating income</w:t>
            </w:r>
          </w:p>
        </w:tc>
        <w:tc>
          <w:tcPr>
            <w:tcW w:type="pct" w:w="1175"/>
            <w:tcMar>
              <w:top w:type="dxa" w:w="50"/>
              <w:left w:type="dxa" w:w="110"/>
              <w:bottom w:type="dxa" w:w="50"/>
              <w:right w:type="dxa" w:w="110"/>
            </w:tcMar>
          </w:tcPr>
          <w:p>
            <w:pPr>
              <w:spacing w:before="28" w:after="28"/>
            </w:pPr>
            <w:r>
              <w:rPr>
                <w:sz w:val="15"/>
                <w:szCs w:val="15"/>
              </w:rPr>
              <w:t xml:space="preserve">3,180,000</w:t>
            </w:r>
          </w:p>
        </w:tc>
        <w:tc>
          <w:tcPr>
            <w:tcW w:type="pct" w:w="1031"/>
            <w:tcMar>
              <w:top w:type="dxa" w:w="50"/>
              <w:left w:type="dxa" w:w="110"/>
              <w:bottom w:type="dxa" w:w="50"/>
              <w:right w:type="dxa" w:w="110"/>
            </w:tcMar>
          </w:tcPr>
          <w:p>
            <w:pPr>
              <w:spacing w:before="28" w:after="28"/>
            </w:pPr>
            <w:r>
              <w:rPr>
                <w:sz w:val="15"/>
                <w:szCs w:val="15"/>
              </w:rPr>
              <w:t xml:space="preserve">450,000</w:t>
            </w:r>
          </w:p>
        </w:tc>
        <w:tc>
          <w:tcPr>
            <w:tcW w:type="pct" w:w="1184"/>
            <w:tcMar>
              <w:top w:type="dxa" w:w="50"/>
              <w:left w:type="dxa" w:w="110"/>
              <w:bottom w:type="dxa" w:w="50"/>
              <w:right w:type="dxa" w:w="110"/>
            </w:tcMar>
          </w:tcPr>
          <w:p>
            <w:pPr>
              <w:spacing w:before="28" w:after="28"/>
            </w:pPr>
            <w:r>
              <w:rPr>
                <w:sz w:val="15"/>
                <w:szCs w:val="15"/>
              </w:rPr>
              <w:t xml:space="preserve">3,630,000</w:t>
            </w:r>
          </w:p>
        </w:tc>
      </w:tr>
      <w:tr>
        <w:tc>
          <w:tcPr>
            <w:tcW w:type="pct" w:w="161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175"/>
            <w:shd w:fill="FBFAF6" w:val="clear"/>
            <w:tcMar>
              <w:top w:type="dxa" w:w="50"/>
              <w:left w:type="dxa" w:w="110"/>
              <w:bottom w:type="dxa" w:w="50"/>
              <w:right w:type="dxa" w:w="110"/>
            </w:tcMar>
          </w:tcPr>
          <w:p>
            <w:pPr>
              <w:spacing w:before="28" w:after="28"/>
            </w:pPr>
            <w:r>
              <w:rPr>
                <w:sz w:val="15"/>
                <w:szCs w:val="15"/>
              </w:rPr>
              <w:t xml:space="preserve">12,000,000</w:t>
            </w:r>
          </w:p>
        </w:tc>
        <w:tc>
          <w:tcPr>
            <w:tcW w:type="pct" w:w="1031"/>
            <w:shd w:fill="FBFAF6" w:val="clear"/>
            <w:tcMar>
              <w:top w:type="dxa" w:w="50"/>
              <w:left w:type="dxa" w:w="110"/>
              <w:bottom w:type="dxa" w:w="50"/>
              <w:right w:type="dxa" w:w="110"/>
            </w:tcMar>
          </w:tcPr>
          <w:p>
            <w:pPr>
              <w:spacing w:before="28" w:after="28"/>
            </w:pPr>
            <w:r>
              <w:rPr>
                <w:sz w:val="15"/>
                <w:szCs w:val="15"/>
              </w:rPr>
              <w:t xml:space="preserve">2,500,000</w:t>
            </w:r>
          </w:p>
        </w:tc>
        <w:tc>
          <w:tcPr>
            <w:tcW w:type="pct" w:w="1184"/>
            <w:shd w:fill="FBFAF6" w:val="clear"/>
            <w:tcMar>
              <w:top w:type="dxa" w:w="50"/>
              <w:left w:type="dxa" w:w="110"/>
              <w:bottom w:type="dxa" w:w="50"/>
              <w:right w:type="dxa" w:w="110"/>
            </w:tcMar>
          </w:tcPr>
          <w:p>
            <w:pPr>
              <w:spacing w:before="28" w:after="28"/>
            </w:pPr>
            <w:r>
              <w:rPr>
                <w:sz w:val="15"/>
                <w:szCs w:val="15"/>
              </w:rPr>
              <w:t xml:space="preserve">14,500,000</w:t>
            </w:r>
          </w:p>
        </w:tc>
      </w:tr>
      <w:tr>
        <w:tc>
          <w:tcPr>
            <w:tcW w:type="pct" w:w="1610"/>
            <w:tcMar>
              <w:top w:type="dxa" w:w="50"/>
              <w:left w:type="dxa" w:w="110"/>
              <w:bottom w:type="dxa" w:w="50"/>
              <w:right w:type="dxa" w:w="110"/>
            </w:tcMar>
          </w:tcPr>
          <w:p>
            <w:pPr>
              <w:spacing w:before="28" w:after="28"/>
            </w:pPr>
            <w:r>
              <w:rPr>
                <w:sz w:val="15"/>
                <w:szCs w:val="15"/>
              </w:rPr>
              <w:t xml:space="preserve">ROI</w:t>
            </w:r>
          </w:p>
        </w:tc>
        <w:tc>
          <w:tcPr>
            <w:tcW w:type="pct" w:w="1175"/>
            <w:tcMar>
              <w:top w:type="dxa" w:w="50"/>
              <w:left w:type="dxa" w:w="110"/>
              <w:bottom w:type="dxa" w:w="50"/>
              <w:right w:type="dxa" w:w="110"/>
            </w:tcMar>
          </w:tcPr>
          <w:p>
            <w:pPr>
              <w:spacing w:before="28" w:after="28"/>
            </w:pPr>
            <w:r>
              <w:rPr>
                <w:sz w:val="15"/>
                <w:szCs w:val="15"/>
              </w:rPr>
              <w:t xml:space="preserve">26.5%</w:t>
            </w:r>
          </w:p>
        </w:tc>
        <w:tc>
          <w:tcPr>
            <w:tcW w:type="pct" w:w="1031"/>
            <w:tcMar>
              <w:top w:type="dxa" w:w="50"/>
              <w:left w:type="dxa" w:w="110"/>
              <w:bottom w:type="dxa" w:w="50"/>
              <w:right w:type="dxa" w:w="110"/>
            </w:tcMar>
          </w:tcPr>
          <w:p>
            <w:pPr>
              <w:spacing w:before="28" w:after="28"/>
            </w:pPr>
            <w:r>
              <w:rPr>
                <w:sz w:val="15"/>
                <w:szCs w:val="15"/>
              </w:rPr>
              <w:t xml:space="preserve">18.0%</w:t>
            </w:r>
          </w:p>
        </w:tc>
        <w:tc>
          <w:tcPr>
            <w:tcW w:type="pct" w:w="1184"/>
            <w:tcMar>
              <w:top w:type="dxa" w:w="50"/>
              <w:left w:type="dxa" w:w="110"/>
              <w:bottom w:type="dxa" w:w="50"/>
              <w:right w:type="dxa" w:w="110"/>
            </w:tcMar>
          </w:tcPr>
          <w:p>
            <w:pPr>
              <w:spacing w:before="28" w:after="28"/>
            </w:pPr>
            <w:r>
              <w:rPr>
                <w:sz w:val="15"/>
                <w:szCs w:val="15"/>
              </w:rPr>
              <w:t xml:space="preserve">25.0%</w:t>
            </w:r>
          </w:p>
        </w:tc>
      </w:tr>
      <w:tr>
        <w:tc>
          <w:tcPr>
            <w:tcW w:type="pct" w:w="161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175"/>
            <w:shd w:fill="FBFAF6" w:val="clear"/>
            <w:tcMar>
              <w:top w:type="dxa" w:w="50"/>
              <w:left w:type="dxa" w:w="110"/>
              <w:bottom w:type="dxa" w:w="50"/>
              <w:right w:type="dxa" w:w="110"/>
            </w:tcMar>
          </w:tcPr>
          <w:p>
            <w:pPr>
              <w:spacing w:before="28" w:after="28"/>
            </w:pPr>
            <w:r>
              <w:rPr>
                <w:sz w:val="15"/>
                <w:szCs w:val="15"/>
              </w:rPr>
              <w:t xml:space="preserve">1,440,000</w:t>
            </w:r>
          </w:p>
        </w:tc>
        <w:tc>
          <w:tcPr>
            <w:tcW w:type="pct" w:w="1031"/>
            <w:shd w:fill="FBFAF6" w:val="clear"/>
            <w:tcMar>
              <w:top w:type="dxa" w:w="50"/>
              <w:left w:type="dxa" w:w="110"/>
              <w:bottom w:type="dxa" w:w="50"/>
              <w:right w:type="dxa" w:w="110"/>
            </w:tcMar>
          </w:tcPr>
          <w:p>
            <w:pPr>
              <w:spacing w:before="28" w:after="28"/>
            </w:pPr>
            <w:r>
              <w:rPr>
                <w:sz w:val="15"/>
                <w:szCs w:val="15"/>
              </w:rPr>
              <w:t xml:space="preserve">300,000</w:t>
            </w:r>
          </w:p>
        </w:tc>
        <w:tc>
          <w:tcPr>
            <w:tcW w:type="pct" w:w="1184"/>
            <w:shd w:fill="FBFAF6" w:val="clear"/>
            <w:tcMar>
              <w:top w:type="dxa" w:w="50"/>
              <w:left w:type="dxa" w:w="110"/>
              <w:bottom w:type="dxa" w:w="50"/>
              <w:right w:type="dxa" w:w="110"/>
            </w:tcMar>
          </w:tcPr>
          <w:p>
            <w:pPr>
              <w:spacing w:before="28" w:after="28"/>
            </w:pPr>
            <w:r>
              <w:rPr>
                <w:sz w:val="15"/>
                <w:szCs w:val="15"/>
              </w:rPr>
              <w:t xml:space="preserve">1,740,000</w:t>
            </w:r>
          </w:p>
        </w:tc>
      </w:tr>
      <w:tr>
        <w:tc>
          <w:tcPr>
            <w:tcW w:type="pct" w:w="1610"/>
            <w:tcMar>
              <w:top w:type="dxa" w:w="50"/>
              <w:left w:type="dxa" w:w="110"/>
              <w:bottom w:type="dxa" w:w="50"/>
              <w:right w:type="dxa" w:w="110"/>
            </w:tcMar>
          </w:tcPr>
          <w:p>
            <w:pPr>
              <w:spacing w:before="28" w:after="28"/>
            </w:pPr>
            <w:r>
              <w:rPr>
                <w:sz w:val="15"/>
                <w:szCs w:val="15"/>
              </w:rPr>
              <w:t xml:space="preserve">Residual income</w:t>
            </w:r>
          </w:p>
        </w:tc>
        <w:tc>
          <w:tcPr>
            <w:tcW w:type="pct" w:w="1175"/>
            <w:tcMar>
              <w:top w:type="dxa" w:w="50"/>
              <w:left w:type="dxa" w:w="110"/>
              <w:bottom w:type="dxa" w:w="50"/>
              <w:right w:type="dxa" w:w="110"/>
            </w:tcMar>
          </w:tcPr>
          <w:p>
            <w:pPr>
              <w:spacing w:before="28" w:after="28"/>
            </w:pPr>
            <w:r>
              <w:rPr>
                <w:sz w:val="15"/>
                <w:szCs w:val="15"/>
              </w:rPr>
              <w:t xml:space="preserve">1,740,000</w:t>
            </w:r>
          </w:p>
        </w:tc>
        <w:tc>
          <w:tcPr>
            <w:tcW w:type="pct" w:w="1031"/>
            <w:tcMar>
              <w:top w:type="dxa" w:w="50"/>
              <w:left w:type="dxa" w:w="110"/>
              <w:bottom w:type="dxa" w:w="50"/>
              <w:right w:type="dxa" w:w="110"/>
            </w:tcMar>
          </w:tcPr>
          <w:p>
            <w:pPr>
              <w:spacing w:before="28" w:after="28"/>
            </w:pPr>
            <w:r>
              <w:rPr>
                <w:sz w:val="15"/>
                <w:szCs w:val="15"/>
              </w:rPr>
              <w:t xml:space="preserve">150,000</w:t>
            </w:r>
          </w:p>
        </w:tc>
        <w:tc>
          <w:tcPr>
            <w:tcW w:type="pct" w:w="1184"/>
            <w:tcMar>
              <w:top w:type="dxa" w:w="50"/>
              <w:left w:type="dxa" w:w="110"/>
              <w:bottom w:type="dxa" w:w="50"/>
              <w:right w:type="dxa" w:w="110"/>
            </w:tcMar>
          </w:tcPr>
          <w:p>
            <w:pPr>
              <w:spacing w:before="28" w:after="28"/>
            </w:pPr>
            <w:r>
              <w:rPr>
                <w:sz w:val="15"/>
                <w:szCs w:val="15"/>
              </w:rPr>
              <w:t xml:space="preserve">1,890,000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assets   ·   Residual income   ·   Capital charge at 12%</w:t>
            </w:r>
          </w:p>
        </w:tc>
      </w:tr>
    </w:tbl>
    <w:p/>
    <w:p>
      <w:pPr>
        <w:spacing w:before="20" w:after="20" w:line="360" w:lineRule="auto"/>
        <w:ind w:left="200"/>
      </w:pPr>
      <w:r>
        <w:rPr>
          <w:sz w:val="19"/>
          <w:szCs w:val="19"/>
        </w:rPr>
        <w:t xml:space="preserve">This is suboptimization: a decision that improves one measure while harming the company.</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ROI and residual income</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Measure (C.3.i)</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Benefits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758"/>
            <w:tcMar>
              <w:top w:type="dxa" w:w="50"/>
              <w:left w:type="dxa" w:w="110"/>
              <w:bottom w:type="dxa" w:w="50"/>
              <w:right w:type="dxa" w:w="110"/>
            </w:tcMar>
          </w:tcPr>
          <w:p>
            <w:pPr>
              <w:spacing w:before="28" w:after="28"/>
            </w:pPr>
            <w:r>
              <w:rPr>
                <w:sz w:val="15"/>
                <w:szCs w:val="15"/>
              </w:rPr>
              <w:t xml:space="preserve">ROI</w:t>
            </w:r>
          </w:p>
        </w:tc>
        <w:tc>
          <w:tcPr>
            <w:tcW w:type="pct" w:w="2042"/>
            <w:tcMar>
              <w:top w:type="dxa" w:w="50"/>
              <w:left w:type="dxa" w:w="110"/>
              <w:bottom w:type="dxa" w:w="50"/>
              <w:right w:type="dxa" w:w="110"/>
            </w:tcMar>
          </w:tcPr>
          <w:p>
            <w:pPr>
              <w:spacing w:before="28" w:after="28"/>
            </w:pPr>
            <w:r>
              <w:rPr>
                <w:sz w:val="15"/>
                <w:szCs w:val="15"/>
              </w:rPr>
              <w:t xml:space="preserve">A </w:t>
            </w:r>
            <w:r>
              <w:rPr>
                <w:b/>
                <w:bCs/>
                <w:color w:val="8186EF"/>
                <w:sz w:val="14"/>
                <w:szCs w:val="14"/>
              </w:rPr>
              <w:t xml:space="preserve"> (10) </w:t>
            </w:r>
            <w:r>
              <w:rPr>
                <w:u w:val="single"/>
                <w:sz w:val="15"/>
                <w:szCs w:val="15"/>
              </w:rPr>
              <w:t xml:space="preserve">              </w:t>
            </w:r>
            <w:r>
              <w:rPr>
                <w:sz w:val="15"/>
                <w:szCs w:val="15"/>
              </w:rPr>
              <w:t xml:space="preserve"> </w:t>
            </w:r>
            <w:r>
              <w:rPr>
                <w:sz w:val="15"/>
                <w:szCs w:val="15"/>
              </w:rPr>
              <w:t xml:space="preserve">, so divisions of different size can be compared</w:t>
            </w:r>
          </w:p>
        </w:tc>
        <w:tc>
          <w:tcPr>
            <w:tcW w:type="pct" w:w="2200"/>
            <w:tcMar>
              <w:top w:type="dxa" w:w="50"/>
              <w:left w:type="dxa" w:w="110"/>
              <w:bottom w:type="dxa" w:w="50"/>
              <w:right w:type="dxa" w:w="110"/>
            </w:tcMar>
          </w:tcPr>
          <w:p>
            <w:pPr>
              <w:spacing w:before="28" w:after="28"/>
            </w:pPr>
            <w:r>
              <w:rPr>
                <w:sz w:val="15"/>
                <w:szCs w:val="15"/>
              </w:rPr>
              <w:t xml:space="preserve">Can lead a manager to reject a project that earns more than the required return</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Residual income</w:t>
            </w:r>
          </w:p>
        </w:tc>
        <w:tc>
          <w:tcPr>
            <w:tcW w:type="pct" w:w="2042"/>
            <w:shd w:fill="FBFAF6" w:val="clear"/>
            <w:tcMar>
              <w:top w:type="dxa" w:w="50"/>
              <w:left w:type="dxa" w:w="110"/>
              <w:bottom w:type="dxa" w:w="50"/>
              <w:right w:type="dxa" w:w="110"/>
            </w:tcMar>
          </w:tcPr>
          <w:p>
            <w:pPr>
              <w:spacing w:before="28" w:after="28"/>
            </w:pPr>
            <w:r>
              <w:rPr>
                <w:sz w:val="15"/>
                <w:szCs w:val="15"/>
              </w:rPr>
              <w:t xml:space="preserve">Accepts every project above the required return, so no suboptimization</w:t>
            </w:r>
          </w:p>
        </w:tc>
        <w:tc>
          <w:tcPr>
            <w:tcW w:type="pct" w:w="2200"/>
            <w:shd w:fill="FBFAF6" w:val="clear"/>
            <w:tcMar>
              <w:top w:type="dxa" w:w="50"/>
              <w:left w:type="dxa" w:w="110"/>
              <w:bottom w:type="dxa" w:w="50"/>
              <w:right w:type="dxa" w:w="110"/>
            </w:tcMar>
          </w:tcPr>
          <w:p>
            <w:pPr>
              <w:spacing w:before="28" w:after="28"/>
            </w:pPr>
            <w:r>
              <w:rPr>
                <w:sz w:val="15"/>
                <w:szCs w:val="15"/>
              </w:rPr>
              <w:t xml:space="preserve">An amount, so a large </w:t>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will always show more than a small one</w:t>
            </w:r>
          </w:p>
        </w:tc>
      </w:tr>
      <w:tr>
        <w:tc>
          <w:tcPr>
            <w:tcW w:type="pct" w:w="758"/>
            <w:tcMar>
              <w:top w:type="dxa" w:w="50"/>
              <w:left w:type="dxa" w:w="110"/>
              <w:bottom w:type="dxa" w:w="50"/>
              <w:right w:type="dxa" w:w="110"/>
            </w:tcMar>
          </w:tcPr>
          <w:p>
            <w:pPr>
              <w:spacing w:before="28" w:after="28"/>
            </w:pPr>
            <w:r>
              <w:rPr>
                <w:sz w:val="15"/>
                <w:szCs w:val="15"/>
              </w:rPr>
              <w:t xml:space="preserve">Both</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tcMar>
              <w:top w:type="dxa" w:w="50"/>
              <w:left w:type="dxa" w:w="110"/>
              <w:bottom w:type="dxa" w:w="50"/>
              <w:right w:type="dxa" w:w="110"/>
            </w:tcMar>
          </w:tcPr>
          <w:p>
            <w:pPr>
              <w:spacing w:before="28" w:after="28"/>
            </w:pPr>
            <w:r>
              <w:rPr>
                <w:sz w:val="15"/>
                <w:szCs w:val="15"/>
              </w:rPr>
              <w:t xml:space="preserve">Both can be improved by cutting assets rather than by earning more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residual income (RI)   ·   Need an agreed investment base and income measure   ·   percentage   ·   division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Compare the project with the required return</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13–14</w:t>
      </w:r>
    </w:p>
    <w:p>
      <w:pPr>
        <w:spacing w:before="20" w:after="20" w:line="360" w:lineRule="auto"/>
        <w:ind w:left="200"/>
      </w:pPr>
      <w:r>
        <w:rPr>
          <w:sz w:val="19"/>
          <w:szCs w:val="19"/>
        </w:rPr>
        <w:t xml:space="preserve">A project should be judged against the required rate of return, not against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current ROI. </w:t>
      </w:r>
      <w:r>
        <w:rPr>
          <w:sz w:val="19"/>
          <w:szCs w:val="19"/>
        </w:rPr>
        <w:t xml:space="preserve">Any project above the required return raises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income and makes the company better off.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residual   ·   project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 charge   ·   suboptimization   ·   قاعدة الاستثمار</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suboptimization</w:t>
            </w:r>
          </w:p>
        </w:tc>
        <w:tc>
          <w:tcPr>
            <w:tcW w:type="pct" w:w="2600"/>
            <w:tcMar>
              <w:top w:type="dxa" w:w="50"/>
              <w:left w:type="dxa" w:w="110"/>
              <w:bottom w:type="dxa" w:w="50"/>
              <w:right w:type="dxa" w:w="110"/>
            </w:tcMar>
          </w:tcPr>
          <w:p>
            <w:pPr>
              <w:spacing w:before="26" w:after="26"/>
            </w:pPr>
            <w:r>
              <w:rPr>
                <w:color w:val="232733"/>
                <w:sz w:val="16"/>
                <w:szCs w:val="16"/>
              </w:rPr>
              <w:t xml:space="preserve">التحسين الجزئي على حساب الكل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investment base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قاعدة الاستثمار</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17.4  Choosing between them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Capital charge at 12%</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disagreement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percentage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filling-line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Need an agreed investment base and income measure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division's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rejects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residual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residual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suboptimization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Operating assets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capital charge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two measures can disagree, and the disagreement is the reason both exist. Beverages is offered the filling-line project: $2,500,000 of assets earning $450,000 a year, a return of 18.0%. The project earns well above the 12% the company requires, but below the 26.5% the division already earns, so accepting it pulls the division's ROI down to 25.0%.</w:t>
      </w:r>
    </w:p>
    <w:p>
      <w:pPr>
        <w:spacing w:before="20" w:after="20"/>
        <w:ind w:left="240" w:hanging="240"/>
      </w:pPr>
      <w:r>
        <w:rPr>
          <w:b/>
          <w:bCs/>
          <w:color w:val="353A7C"/>
          <w:sz w:val="15"/>
          <w:szCs w:val="15"/>
        </w:rPr>
        <w:t xml:space="preserve">Summary 2   </w:t>
      </w:r>
      <w:r>
        <w:rPr>
          <w:color w:val="6B7280"/>
          <w:sz w:val="15"/>
          <w:szCs w:val="15"/>
        </w:rPr>
        <w:t xml:space="preserve">Under ROI the manager rejects a project the company wants; under residual income the manager accepts it, because $450,000 exceeds the $300,000 capital charge by $150,000.</w:t>
      </w:r>
    </w:p>
    <w:p>
      <w:pPr>
        <w:spacing w:before="20" w:after="20"/>
        <w:ind w:left="240" w:hanging="240"/>
      </w:pPr>
      <w:r>
        <w:rPr>
          <w:b/>
          <w:bCs/>
          <w:color w:val="353A7C"/>
          <w:sz w:val="15"/>
          <w:szCs w:val="15"/>
        </w:rPr>
        <w:t xml:space="preserve">Summary 3   </w:t>
      </w:r>
      <w:r>
        <w:rPr>
          <w:color w:val="6B7280"/>
          <w:sz w:val="15"/>
          <w:szCs w:val="15"/>
        </w:rPr>
        <w:t xml:space="preserve">A project should be judged against the required rate of return, not against the division's current ROI. Any project above the required return raises residual income and makes the company better off.</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17.5  What goes into the figures</w:t>
            </w:r>
          </w:p>
          <w:p>
            <w:pPr>
              <w:spacing w:before="0" w:after="46"/>
            </w:pPr>
            <w:r>
              <w:rPr>
                <w:color w:val="E8EAF6"/>
                <w:sz w:val="16"/>
                <w:szCs w:val="16"/>
              </w:rPr>
              <w:t xml:space="preserve">Chapter 17 · section 17.5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Both measures depend on two numbers that accounting policy can move.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07"/>
        <w:gridCol w:w="4224"/>
        <w:gridCol w:w="316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Income policies that reduce comparability</w:t>
            </w:r>
          </w:p>
        </w:tc>
      </w:tr>
      <w:tr>
        <w:tc>
          <w:tcPr>
            <w:tcW w:type="pct" w:w="1150"/>
            <w:shd w:fill="353A7C" w:val="clear"/>
            <w:tcMar>
              <w:top w:type="dxa" w:w="50"/>
              <w:left w:type="dxa" w:w="110"/>
              <w:bottom w:type="dxa" w:w="50"/>
              <w:right w:type="dxa" w:w="110"/>
            </w:tcMar>
          </w:tcPr>
          <w:p>
            <w:pPr>
              <w:spacing w:before="30" w:after="30"/>
            </w:pPr>
            <w:r>
              <w:rPr>
                <w:b/>
                <w:bCs/>
                <w:color w:val="FFFFFF"/>
                <w:sz w:val="15"/>
                <w:szCs w:val="15"/>
              </w:rPr>
              <w:t xml:space="preserve">Policy (C.3.j)</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Effect on measured income</w:t>
            </w:r>
          </w:p>
        </w:tc>
        <w:tc>
          <w:tcPr>
            <w:tcW w:type="pct" w:w="1650"/>
            <w:shd w:fill="353A7C" w:val="clear"/>
            <w:tcMar>
              <w:top w:type="dxa" w:w="50"/>
              <w:left w:type="dxa" w:w="110"/>
              <w:bottom w:type="dxa" w:w="50"/>
              <w:right w:type="dxa" w:w="110"/>
            </w:tcMar>
          </w:tcPr>
          <w:p>
            <w:pPr>
              <w:spacing w:before="30" w:after="30"/>
            </w:pPr>
            <w:r>
              <w:rPr>
                <w:b/>
                <w:bCs/>
                <w:color w:val="FFFFFF"/>
                <w:sz w:val="15"/>
                <w:szCs w:val="15"/>
              </w:rPr>
              <w:t xml:space="preserve">What to do</w:t>
            </w:r>
          </w:p>
        </w:tc>
      </w:tr>
      <w:tr>
        <w:tc>
          <w:tcPr>
            <w:tcW w:type="pct" w:w="1150"/>
            <w:tcMar>
              <w:top w:type="dxa" w:w="50"/>
              <w:left w:type="dxa" w:w="110"/>
              <w:bottom w:type="dxa" w:w="50"/>
              <w:right w:type="dxa" w:w="110"/>
            </w:tcMar>
          </w:tcPr>
          <w:p>
            <w:pPr>
              <w:spacing w:before="28" w:after="28"/>
            </w:pPr>
            <w:r>
              <w:rPr>
                <w:sz w:val="15"/>
                <w:szCs w:val="15"/>
              </w:rPr>
              <w:t xml:space="preserve">Revenue recognition</w:t>
            </w:r>
          </w:p>
        </w:tc>
        <w:tc>
          <w:tcPr>
            <w:tcW w:type="pct" w:w="2200"/>
            <w:tcMar>
              <w:top w:type="dxa" w:w="50"/>
              <w:left w:type="dxa" w:w="110"/>
              <w:bottom w:type="dxa" w:w="50"/>
              <w:right w:type="dxa" w:w="110"/>
            </w:tcMar>
          </w:tcPr>
          <w:p>
            <w:pPr>
              <w:spacing w:before="28" w:after="28"/>
            </w:pPr>
            <w:r>
              <w:rPr>
                <w:sz w:val="15"/>
                <w:szCs w:val="15"/>
              </w:rPr>
              <w:t xml:space="preserve">A division </w:t>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revenue earlier reports more income now</w:t>
            </w:r>
          </w:p>
        </w:tc>
        <w:tc>
          <w:tcPr>
            <w:tcW w:type="pct" w:w="1650"/>
            <w:tcMar>
              <w:top w:type="dxa" w:w="50"/>
              <w:left w:type="dxa" w:w="110"/>
              <w:bottom w:type="dxa" w:w="50"/>
              <w:right w:type="dxa" w:w="110"/>
            </w:tcMar>
          </w:tcPr>
          <w:p>
            <w:pPr>
              <w:spacing w:before="28" w:after="28"/>
            </w:pPr>
            <w:r>
              <w:rPr>
                <w:sz w:val="15"/>
                <w:szCs w:val="15"/>
              </w:rPr>
              <w:t xml:space="preserve">Compare only divisions using the same policy</w:t>
            </w:r>
          </w:p>
        </w:tc>
      </w:tr>
      <w:tr>
        <w:tc>
          <w:tcPr>
            <w:tcW w:type="pct" w:w="1150"/>
            <w:shd w:fill="FBFAF6" w:val="clear"/>
            <w:tcMar>
              <w:top w:type="dxa" w:w="50"/>
              <w:left w:type="dxa" w:w="110"/>
              <w:bottom w:type="dxa" w:w="50"/>
              <w:right w:type="dxa" w:w="110"/>
            </w:tcMar>
          </w:tcPr>
          <w:p>
            <w:pPr>
              <w:spacing w:before="28" w:after="28"/>
            </w:pPr>
            <w:r>
              <w:rPr>
                <w:sz w:val="15"/>
                <w:szCs w:val="15"/>
              </w:rPr>
              <w:t xml:space="preserve">Development spending</w:t>
            </w:r>
          </w:p>
        </w:tc>
        <w:tc>
          <w:tcPr>
            <w:tcW w:type="pct" w:w="2200"/>
            <w:shd w:fill="FBFAF6" w:val="clear"/>
            <w:tcMar>
              <w:top w:type="dxa" w:w="50"/>
              <w:left w:type="dxa" w:w="110"/>
              <w:bottom w:type="dxa" w:w="50"/>
              <w:right w:type="dxa" w:w="110"/>
            </w:tcMar>
          </w:tcPr>
          <w:p>
            <w:pPr>
              <w:spacing w:before="28" w:after="28"/>
            </w:pPr>
            <w:r>
              <w:rPr>
                <w:sz w:val="15"/>
                <w:szCs w:val="15"/>
              </w:rPr>
              <w:t xml:space="preserve">One division capitalises it, another expenses it</w:t>
            </w:r>
          </w:p>
        </w:tc>
        <w:tc>
          <w:tcPr>
            <w:tcW w:type="pct" w:w="1650"/>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150"/>
            <w:tcMar>
              <w:top w:type="dxa" w:w="50"/>
              <w:left w:type="dxa" w:w="110"/>
              <w:bottom w:type="dxa" w:w="50"/>
              <w:right w:type="dxa" w:w="110"/>
            </w:tcMar>
          </w:tcPr>
          <w:p>
            <w:pPr>
              <w:spacing w:before="28" w:after="28"/>
            </w:pPr>
            <w:r>
              <w:rPr>
                <w:sz w:val="15"/>
                <w:szCs w:val="15"/>
              </w:rPr>
              <w:t xml:space="preserve">Depreciation method</w:t>
            </w:r>
          </w:p>
        </w:tc>
        <w:tc>
          <w:tcPr>
            <w:tcW w:type="pct" w:w="2200"/>
            <w:tcMar>
              <w:top w:type="dxa" w:w="50"/>
              <w:left w:type="dxa" w:w="110"/>
              <w:bottom w:type="dxa" w:w="50"/>
              <w:right w:type="dxa" w:w="110"/>
            </w:tcMar>
          </w:tcPr>
          <w:p>
            <w:pPr>
              <w:spacing w:before="28" w:after="28"/>
            </w:pPr>
            <w:r>
              <w:rPr>
                <w:sz w:val="15"/>
                <w:szCs w:val="15"/>
              </w:rPr>
              <w:t xml:space="preserve">Straight line against an accelerated method changes income and assets</w:t>
            </w:r>
          </w:p>
        </w:tc>
        <w:tc>
          <w:tcPr>
            <w:tcW w:type="pct" w:w="165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150"/>
            <w:shd w:fill="FBFAF6" w:val="clear"/>
            <w:tcMar>
              <w:top w:type="dxa" w:w="50"/>
              <w:left w:type="dxa" w:w="110"/>
              <w:bottom w:type="dxa" w:w="50"/>
              <w:right w:type="dxa" w:w="110"/>
            </w:tcMar>
          </w:tcPr>
          <w:p>
            <w:pPr>
              <w:spacing w:before="28" w:after="28"/>
            </w:pPr>
            <w:r>
              <w:rPr>
                <w:sz w:val="15"/>
                <w:szCs w:val="15"/>
              </w:rPr>
              <w:t xml:space="preserve">Allocated common costs</w:t>
            </w:r>
          </w:p>
        </w:tc>
        <w:tc>
          <w:tcPr>
            <w:tcW w:type="pct" w:w="2200"/>
            <w:shd w:fill="FBFAF6" w:val="clear"/>
            <w:tcMar>
              <w:top w:type="dxa" w:w="50"/>
              <w:left w:type="dxa" w:w="110"/>
              <w:bottom w:type="dxa" w:w="50"/>
              <w:right w:type="dxa" w:w="110"/>
            </w:tcMar>
          </w:tcPr>
          <w:p>
            <w:pPr>
              <w:spacing w:before="28" w:after="28"/>
            </w:pPr>
            <w:r>
              <w:rPr>
                <w:sz w:val="15"/>
                <w:szCs w:val="15"/>
              </w:rPr>
              <w:t xml:space="preserve">The allocation changes reported income but not performance</w:t>
            </w:r>
          </w:p>
        </w:tc>
        <w:tc>
          <w:tcPr>
            <w:tcW w:type="pct" w:w="1650"/>
            <w:shd w:fill="FFFFFF" w:val="clear"/>
            <w:tcMar>
              <w:top w:type="dxa" w:w="50"/>
              <w:left w:type="dxa" w:w="110"/>
              <w:bottom w:type="dxa" w:w="50"/>
              <w:right w:type="dxa" w:w="110"/>
            </w:tcMar>
          </w:tcPr>
          <w:p>
            <w:pPr>
              <w:spacing w:before="46" w:after="46"/>
            </w:pPr>
            <w:r>
              <w:rPr>
                <w:b/>
                <w:bCs/>
                <w:color w:val="8186EF"/>
                <w:sz w:val="14"/>
                <w:szCs w:val="14"/>
              </w:rPr>
              <w:t xml:space="preserve">(4)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 one group policy for internal reporting   ·   recognising   ·   Adjust before comparing, or agree one policy   ·   accelerated   ·   Measure on the segment margin (Chapter 15)</w:t>
            </w:r>
          </w:p>
        </w:tc>
      </w:tr>
    </w:tbl>
    <w:p/>
    <w:p>
      <w:pPr>
        <w:spacing w:before="44" w:after="14"/>
      </w:pPr>
      <w:r>
        <w:rPr>
          <w:b/>
          <w:bCs/>
          <w:color w:val="353A7C"/>
          <w:sz w:val="18"/>
          <w:szCs w:val="18"/>
        </w:rPr>
        <w:t xml:space="preserve">Summary 1</w:t>
      </w:r>
      <w:r>
        <w:rPr>
          <w:color w:val="6B7280"/>
          <w:sz w:val="16"/>
          <w:szCs w:val="16"/>
        </w:rPr>
        <w:t xml:space="preserve">      gaps 5–10</w:t>
      </w:r>
    </w:p>
    <w:p>
      <w:pPr>
        <w:spacing w:before="20" w:after="20" w:line="360" w:lineRule="auto"/>
        <w:ind w:left="200"/>
      </w:pPr>
      <w:r>
        <w:rPr>
          <w:sz w:val="19"/>
          <w:szCs w:val="19"/>
        </w:rPr>
        <w:t xml:space="preserve">A division that recognises revenue earlier, or expenses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that another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will report different income for identical work.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then measures the policy, not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group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fixes one set of policies for internal reporting, even where local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differ. </w:t>
      </w:r>
      <w:r>
        <w:rPr>
          <w:sz w:val="19"/>
          <w:szCs w:val="19"/>
        </w:rPr>
        <w:t xml:space="preserve">Levant reports under IFRS in Jordan, but its figures are restated to group policy before any division is compared. </w:t>
      </w:r>
      <w:r>
        <w:rPr>
          <w:sz w:val="19"/>
          <w:szCs w:val="19"/>
        </w:rPr>
        <w:t xml:space="preserve">The investment base is just as open to question.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therefore   ·   expenses   ·   statements   ·   capitalises   ·   performance   ·   Comparison   ·   development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41"/>
        <w:gridCol w:w="3768"/>
        <w:gridCol w:w="399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Policies that change the investment base</w:t>
            </w:r>
          </w:p>
        </w:tc>
      </w:tr>
      <w:tr>
        <w:tc>
          <w:tcPr>
            <w:tcW w:type="pct" w:w="959"/>
            <w:shd w:fill="353A7C" w:val="clear"/>
            <w:tcMar>
              <w:top w:type="dxa" w:w="50"/>
              <w:left w:type="dxa" w:w="110"/>
              <w:bottom w:type="dxa" w:w="50"/>
              <w:right w:type="dxa" w:w="110"/>
            </w:tcMar>
          </w:tcPr>
          <w:p>
            <w:pPr>
              <w:spacing w:before="30" w:after="30"/>
            </w:pPr>
            <w:r>
              <w:rPr>
                <w:b/>
                <w:bCs/>
                <w:color w:val="FFFFFF"/>
                <w:sz w:val="15"/>
                <w:szCs w:val="15"/>
              </w:rPr>
              <w:t xml:space="preserve">Policy (C.3.k)</w:t>
            </w:r>
          </w:p>
        </w:tc>
        <w:tc>
          <w:tcPr>
            <w:tcW w:type="pct" w:w="1962"/>
            <w:shd w:fill="353A7C" w:val="clear"/>
            <w:tcMar>
              <w:top w:type="dxa" w:w="50"/>
              <w:left w:type="dxa" w:w="110"/>
              <w:bottom w:type="dxa" w:w="50"/>
              <w:right w:type="dxa" w:w="110"/>
            </w:tcMar>
          </w:tcPr>
          <w:p>
            <w:pPr>
              <w:spacing w:before="30" w:after="30"/>
            </w:pPr>
            <w:r>
              <w:rPr>
                <w:b/>
                <w:bCs/>
                <w:color w:val="FFFFFF"/>
                <w:sz w:val="15"/>
                <w:szCs w:val="15"/>
              </w:rPr>
              <w:t xml:space="preserve">Effect on the investment base</w:t>
            </w:r>
          </w:p>
        </w:tc>
        <w:tc>
          <w:tcPr>
            <w:tcW w:type="pct" w:w="2079"/>
            <w:shd w:fill="353A7C" w:val="clear"/>
            <w:tcMar>
              <w:top w:type="dxa" w:w="50"/>
              <w:left w:type="dxa" w:w="110"/>
              <w:bottom w:type="dxa" w:w="50"/>
              <w:right w:type="dxa" w:w="110"/>
            </w:tcMar>
          </w:tcPr>
          <w:p>
            <w:pPr>
              <w:spacing w:before="30" w:after="30"/>
            </w:pPr>
            <w:r>
              <w:rPr>
                <w:b/>
                <w:bCs/>
                <w:color w:val="FFFFFF"/>
                <w:sz w:val="15"/>
                <w:szCs w:val="15"/>
              </w:rPr>
              <w:t xml:space="preserve">What to do</w:t>
            </w:r>
          </w:p>
        </w:tc>
      </w:tr>
      <w:tr>
        <w:tc>
          <w:tcPr>
            <w:tcW w:type="pct" w:w="959"/>
            <w:tcMar>
              <w:top w:type="dxa" w:w="50"/>
              <w:left w:type="dxa" w:w="110"/>
              <w:bottom w:type="dxa" w:w="50"/>
              <w:right w:type="dxa" w:w="110"/>
            </w:tcMar>
          </w:tcPr>
          <w:p>
            <w:pPr>
              <w:spacing w:before="28" w:after="28"/>
            </w:pPr>
            <w:r>
              <w:rPr>
                <w:sz w:val="15"/>
                <w:szCs w:val="15"/>
              </w:rPr>
              <w:t xml:space="preserve">Inventory method</w:t>
            </w:r>
          </w:p>
        </w:tc>
        <w:tc>
          <w:tcPr>
            <w:tcW w:type="pct" w:w="1962"/>
            <w:tcMar>
              <w:top w:type="dxa" w:w="50"/>
              <w:left w:type="dxa" w:w="110"/>
              <w:bottom w:type="dxa" w:w="50"/>
              <w:right w:type="dxa" w:w="110"/>
            </w:tcMar>
          </w:tcPr>
          <w:p>
            <w:pPr>
              <w:spacing w:before="28" w:after="28"/>
            </w:pPr>
            <w:r>
              <w:rPr>
                <w:sz w:val="15"/>
                <w:szCs w:val="15"/>
              </w:rPr>
              <w:t xml:space="preserve">FIFO and weighted average give different inventory and cost of sales</w:t>
            </w:r>
          </w:p>
        </w:tc>
        <w:tc>
          <w:tcPr>
            <w:tcW w:type="pct" w:w="2079"/>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959"/>
            <w:shd w:fill="FBFAF6" w:val="clear"/>
            <w:tcMar>
              <w:top w:type="dxa" w:w="50"/>
              <w:left w:type="dxa" w:w="110"/>
              <w:bottom w:type="dxa" w:w="50"/>
              <w:right w:type="dxa" w:w="110"/>
            </w:tcMar>
          </w:tcPr>
          <w:p>
            <w:pPr>
              <w:spacing w:before="28" w:after="28"/>
            </w:pPr>
            <w:r>
              <w:rPr>
                <w:sz w:val="15"/>
                <w:szCs w:val="15"/>
              </w:rPr>
              <w:t xml:space="preserve">Joint asset sharing</w:t>
            </w:r>
          </w:p>
        </w:tc>
        <w:tc>
          <w:tcPr>
            <w:tcW w:type="pct" w:w="1962"/>
            <w:shd w:fill="FBFAF6" w:val="clear"/>
            <w:tcMar>
              <w:top w:type="dxa" w:w="50"/>
              <w:left w:type="dxa" w:w="110"/>
              <w:bottom w:type="dxa" w:w="50"/>
              <w:right w:type="dxa" w:w="110"/>
            </w:tcMar>
          </w:tcPr>
          <w:p>
            <w:pPr>
              <w:spacing w:before="28" w:after="28"/>
            </w:pPr>
            <w:r>
              <w:rPr>
                <w:sz w:val="15"/>
                <w:szCs w:val="15"/>
              </w:rPr>
              <w:t xml:space="preserve">The shared cold store of Chapter 15 serves two divisions</w:t>
            </w:r>
          </w:p>
        </w:tc>
        <w:tc>
          <w:tcPr>
            <w:tcW w:type="pct" w:w="2079"/>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the asset on the same basis as its cost, or exclude it from both</w:t>
            </w:r>
          </w:p>
        </w:tc>
      </w:tr>
      <w:tr>
        <w:tc>
          <w:tcPr>
            <w:tcW w:type="pct" w:w="959"/>
            <w:tcMar>
              <w:top w:type="dxa" w:w="50"/>
              <w:left w:type="dxa" w:w="110"/>
              <w:bottom w:type="dxa" w:w="50"/>
              <w:right w:type="dxa" w:w="110"/>
            </w:tcMar>
          </w:tcPr>
          <w:p>
            <w:pPr>
              <w:spacing w:before="28" w:after="28"/>
            </w:pPr>
            <w:r>
              <w:rPr>
                <w:sz w:val="15"/>
                <w:szCs w:val="15"/>
              </w:rPr>
              <w:t xml:space="preserve">Gross or net book value</w:t>
            </w:r>
          </w:p>
        </w:tc>
        <w:tc>
          <w:tcPr>
            <w:tcW w:type="pct" w:w="1962"/>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079"/>
            <w:tcMar>
              <w:top w:type="dxa" w:w="50"/>
              <w:left w:type="dxa" w:w="110"/>
              <w:bottom w:type="dxa" w:w="50"/>
              <w:right w:type="dxa" w:w="110"/>
            </w:tcMar>
          </w:tcPr>
          <w:p>
            <w:pPr>
              <w:spacing w:before="28" w:after="28"/>
            </w:pPr>
            <w:r>
              <w:rPr>
                <w:sz w:val="15"/>
                <w:szCs w:val="15"/>
              </w:rPr>
              <w:t xml:space="preserve">Net book value flatters divisions with old assets</w:t>
            </w:r>
          </w:p>
        </w:tc>
      </w:tr>
      <w:tr>
        <w:tc>
          <w:tcPr>
            <w:tcW w:type="pct" w:w="959"/>
            <w:shd w:fill="FBFAF6" w:val="clear"/>
            <w:tcMar>
              <w:top w:type="dxa" w:w="50"/>
              <w:left w:type="dxa" w:w="110"/>
              <w:bottom w:type="dxa" w:w="50"/>
              <w:right w:type="dxa" w:w="110"/>
            </w:tcMar>
          </w:tcPr>
          <w:p>
            <w:pPr>
              <w:spacing w:before="28" w:after="28"/>
            </w:pPr>
            <w:r>
              <w:rPr>
                <w:sz w:val="15"/>
                <w:szCs w:val="15"/>
              </w:rPr>
              <w:t xml:space="preserve">Leased assets</w:t>
            </w:r>
          </w:p>
        </w:tc>
        <w:tc>
          <w:tcPr>
            <w:tcW w:type="pct" w:w="1962"/>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079"/>
            <w:shd w:fill="FBFAF6" w:val="clear"/>
            <w:tcMar>
              <w:top w:type="dxa" w:w="50"/>
              <w:left w:type="dxa" w:w="110"/>
              <w:bottom w:type="dxa" w:w="50"/>
              <w:right w:type="dxa" w:w="110"/>
            </w:tcMar>
          </w:tcPr>
          <w:p>
            <w:pPr>
              <w:spacing w:before="28" w:after="28"/>
            </w:pPr>
            <w:r>
              <w:rPr>
                <w:sz w:val="15"/>
                <w:szCs w:val="15"/>
              </w:rPr>
              <w:t xml:space="preserve">Follow one rule across all divisions</w:t>
            </w:r>
          </w:p>
        </w:tc>
      </w:tr>
      <w:tr>
        <w:tc>
          <w:tcPr>
            <w:tcW w:type="pct" w:w="959"/>
            <w:tcMar>
              <w:top w:type="dxa" w:w="50"/>
              <w:left w:type="dxa" w:w="110"/>
              <w:bottom w:type="dxa" w:w="50"/>
              <w:right w:type="dxa" w:w="110"/>
            </w:tcMar>
          </w:tcPr>
          <w:p>
            <w:pPr>
              <w:spacing w:before="28" w:after="28"/>
            </w:pPr>
            <w:r>
              <w:rPr>
                <w:sz w:val="15"/>
                <w:szCs w:val="15"/>
              </w:rPr>
              <w:t xml:space="preserve">Idle or non-operating assets</w:t>
            </w:r>
          </w:p>
        </w:tc>
        <w:tc>
          <w:tcPr>
            <w:tcW w:type="pct" w:w="1962"/>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079"/>
            <w:tcMar>
              <w:top w:type="dxa" w:w="50"/>
              <w:left w:type="dxa" w:w="110"/>
              <w:bottom w:type="dxa" w:w="50"/>
              <w:right w:type="dxa" w:w="110"/>
            </w:tcMar>
          </w:tcPr>
          <w:p>
            <w:pPr>
              <w:spacing w:before="28" w:after="28"/>
            </w:pPr>
            <w:r>
              <w:rPr>
                <w:sz w:val="15"/>
                <w:szCs w:val="15"/>
              </w:rPr>
              <w:t xml:space="preserve">Exclude it from the investment base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leased plant may or may not appear in the base   ·   Land held for sale is not used to earn operating income   ·   FIFO and weighted average give different inventory and cost of sales   ·   Beverages: 26.5% on net book value, 15.9% on gross   ·   Allocate   ·   Agree one method for internal measurement</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16–22</w:t>
      </w:r>
    </w:p>
    <w:p>
      <w:pPr>
        <w:spacing w:before="20" w:after="20" w:line="360" w:lineRule="auto"/>
        <w:ind w:left="200"/>
      </w:pPr>
      <w:r>
        <w:rPr>
          <w:sz w:val="19"/>
          <w:szCs w:val="19"/>
        </w:rPr>
        <w:t xml:space="preserve">The last one matters most.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shows 26.5% on net book value but only 15.9% on the gross cost of $20,000,000, because its plant is partly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A division with old assets looks better than one that has just invested, which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exactly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company wants. </w:t>
      </w:r>
      <w:r>
        <w:rPr>
          <w:sz w:val="19"/>
          <w:szCs w:val="19"/>
        </w:rPr>
        <w:t xml:space="preserve">Each of these choices can be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and none of them is about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r>
        <w:rPr>
          <w:sz w:val="19"/>
          <w:szCs w:val="19"/>
        </w:rPr>
        <w:t xml:space="preserve">What matters is that every division uses the same one, and that the basis is stated with the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discourages   ·   inventory   ·   investment   ·   depreciated   ·   figures   ·   defended   ·   Beverages   ·   performance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Ask what the base contains</w:t>
            </w:r>
          </w:p>
        </w:tc>
      </w:tr>
    </w:tbl>
    <w:p/>
    <w:p>
      <w:pPr>
        <w:spacing w:before="44" w:after="14"/>
      </w:pPr>
      <w:r>
        <w:rPr>
          <w:b/>
          <w:bCs/>
          <w:color w:val="353A7C"/>
          <w:sz w:val="18"/>
          <w:szCs w:val="18"/>
        </w:rPr>
        <w:t xml:space="preserve">Summary 3</w:t>
      </w:r>
      <w:r>
        <w:rPr>
          <w:color w:val="6B7280"/>
          <w:sz w:val="16"/>
          <w:szCs w:val="16"/>
        </w:rPr>
        <w:t xml:space="preserve">      gaps 23–25</w:t>
      </w:r>
    </w:p>
    <w:p>
      <w:pPr>
        <w:spacing w:before="20" w:after="20" w:line="360" w:lineRule="auto"/>
        <w:ind w:left="200"/>
      </w:pPr>
      <w:r>
        <w:rPr>
          <w:sz w:val="19"/>
          <w:szCs w:val="19"/>
        </w:rPr>
        <w:t xml:space="preserve">Before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two divisions, ask whether both use the same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method, the same treatment of shared assets, and the same basis for property. </w:t>
      </w:r>
      <w:r>
        <w:rPr>
          <w:sz w:val="19"/>
          <w:szCs w:val="19"/>
        </w:rPr>
        <w:t xml:space="preserve">A difference in any of them makes the comparison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   inventory   ·   comparing   ·   meaningless</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17.5  What goes into the figures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recognising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 leased plant may or may not appear in the base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Adjust before comparing, or agree one policy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Land held for sale is not used to earn operating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Use one group policy for internal reporting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Measure on the segment margin (Chapter 15)</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depreciated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development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discourages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capitalises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Comparison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defended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therefore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figures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comparing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Agree one method for internal measurement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Allocate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meaningless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Beverages: 26.5% on net book value, 15.9% on gross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division that recognises revenue earlier, or expenses development that another capitalises, will report different income for identical work. Comparison then measures the policy, not the performance. The group therefore fixes one set of policies for internal reporting, even where local statements differ. Levant reports under IFRS in Jordan, but its figures are restated to group policy before any division is compared. The investment base is just as open to question.</w:t>
      </w:r>
    </w:p>
    <w:p>
      <w:pPr>
        <w:spacing w:before="20" w:after="20"/>
        <w:ind w:left="240" w:hanging="240"/>
      </w:pPr>
      <w:r>
        <w:rPr>
          <w:b/>
          <w:bCs/>
          <w:color w:val="353A7C"/>
          <w:sz w:val="15"/>
          <w:szCs w:val="15"/>
        </w:rPr>
        <w:t xml:space="preserve">Summary 2   </w:t>
      </w:r>
      <w:r>
        <w:rPr>
          <w:color w:val="6B7280"/>
          <w:sz w:val="15"/>
          <w:szCs w:val="15"/>
        </w:rPr>
        <w:t xml:space="preserve">The last one matters most. Beverages shows 26.5% on net book value but only 15.9% on the gross cost of $20,000,000, because its plant is partly depreciated. A division with old assets looks better than one that has just invested, which discourages exactly the investment the company wants. Each of these choices can be defended, and none of them is about performance. What matters is that every division uses the same one, and that the basis is stated with the figures.</w:t>
      </w:r>
    </w:p>
    <w:p>
      <w:pPr>
        <w:spacing w:before="20" w:after="20"/>
        <w:ind w:left="240" w:hanging="240"/>
      </w:pPr>
      <w:r>
        <w:rPr>
          <w:b/>
          <w:bCs/>
          <w:color w:val="353A7C"/>
          <w:sz w:val="15"/>
          <w:szCs w:val="15"/>
        </w:rPr>
        <w:t xml:space="preserve">Summary 3   </w:t>
      </w:r>
      <w:r>
        <w:rPr>
          <w:color w:val="6B7280"/>
          <w:sz w:val="15"/>
          <w:szCs w:val="15"/>
        </w:rPr>
        <w:t xml:space="preserve">Before comparing two divisions, ask whether both use the same inventory method, the same treatment of shared assets, and the same basis for property. A difference in any of them makes the comparison meaningless.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17.6  Extended Example 17A: the filling line and the two measures</w:t>
            </w:r>
          </w:p>
          <w:p>
            <w:pPr>
              <w:spacing w:before="0" w:after="46"/>
            </w:pPr>
            <w:r>
              <w:rPr>
                <w:color w:val="E8EAF6"/>
                <w:sz w:val="16"/>
                <w:szCs w:val="16"/>
              </w:rPr>
              <w:t xml:space="preserve">Chapter 17 · section 17.6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This example takes the project decision to the board.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94"/>
        <w:gridCol w:w="1091"/>
        <w:gridCol w:w="1091"/>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what each measure tells the manager</w:t>
            </w:r>
          </w:p>
        </w:tc>
      </w:tr>
      <w:tr>
        <w:tc>
          <w:tcPr>
            <w:tcW w:type="pct" w:w="1664"/>
            <w:shd w:fill="353A7C" w:val="clear"/>
            <w:tcMar>
              <w:top w:type="dxa" w:w="50"/>
              <w:left w:type="dxa" w:w="110"/>
              <w:bottom w:type="dxa" w:w="50"/>
              <w:right w:type="dxa" w:w="110"/>
            </w:tcMar>
          </w:tcPr>
          <w:p>
            <w:pPr>
              <w:spacing w:before="30" w:after="30"/>
            </w:pPr>
            <w:r>
              <w:rPr>
                <w:b/>
                <w:bCs/>
                <w:color w:val="FFFFFF"/>
                <w:sz w:val="15"/>
                <w:szCs w:val="15"/>
              </w:rPr>
              <w:t xml:space="preserve">Measure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Before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After</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the manager does</w:t>
            </w:r>
          </w:p>
        </w:tc>
      </w:tr>
      <w:tr>
        <w:tc>
          <w:tcPr>
            <w:tcW w:type="pct" w:w="1664"/>
            <w:tcMar>
              <w:top w:type="dxa" w:w="50"/>
              <w:left w:type="dxa" w:w="110"/>
              <w:bottom w:type="dxa" w:w="50"/>
              <w:right w:type="dxa" w:w="110"/>
            </w:tcMar>
          </w:tcPr>
          <w:p>
            <w:pPr>
              <w:spacing w:before="28" w:after="28"/>
            </w:pPr>
            <w:r>
              <w:rPr>
                <w:sz w:val="15"/>
                <w:szCs w:val="15"/>
              </w:rPr>
              <w:t xml:space="preserve">ROI</w:t>
            </w:r>
          </w:p>
        </w:tc>
        <w:tc>
          <w:tcPr>
            <w:tcW w:type="pct" w:w="568"/>
            <w:tcMar>
              <w:top w:type="dxa" w:w="50"/>
              <w:left w:type="dxa" w:w="110"/>
              <w:bottom w:type="dxa" w:w="50"/>
              <w:right w:type="dxa" w:w="110"/>
            </w:tcMar>
          </w:tcPr>
          <w:p>
            <w:pPr>
              <w:spacing w:before="28" w:after="28"/>
            </w:pPr>
            <w:r>
              <w:rPr>
                <w:sz w:val="15"/>
                <w:szCs w:val="15"/>
              </w:rPr>
              <w:t xml:space="preserve">26.5%</w:t>
            </w:r>
          </w:p>
        </w:tc>
        <w:tc>
          <w:tcPr>
            <w:tcW w:type="pct" w:w="568"/>
            <w:tcMar>
              <w:top w:type="dxa" w:w="50"/>
              <w:left w:type="dxa" w:w="110"/>
              <w:bottom w:type="dxa" w:w="50"/>
              <w:right w:type="dxa" w:w="110"/>
            </w:tcMar>
          </w:tcPr>
          <w:p>
            <w:pPr>
              <w:spacing w:before="28" w:after="28"/>
            </w:pPr>
            <w:r>
              <w:rPr>
                <w:sz w:val="15"/>
                <w:szCs w:val="15"/>
              </w:rPr>
              <w:t xml:space="preserve">25.0%</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the manager rejects the project</w:t>
            </w:r>
          </w:p>
        </w:tc>
      </w:tr>
      <w:tr>
        <w:tc>
          <w:tcPr>
            <w:tcW w:type="pct" w:w="1664"/>
            <w:shd w:fill="FBFAF6" w:val="clear"/>
            <w:tcMar>
              <w:top w:type="dxa" w:w="50"/>
              <w:left w:type="dxa" w:w="110"/>
              <w:bottom w:type="dxa" w:w="50"/>
              <w:right w:type="dxa" w:w="110"/>
            </w:tcMar>
          </w:tcPr>
          <w:p>
            <w:pPr>
              <w:spacing w:before="28" w:after="28"/>
            </w:pPr>
            <w:r>
              <w:rPr>
                <w:sz w:val="15"/>
                <w:szCs w:val="15"/>
              </w:rPr>
              <w:t xml:space="preserve">Residual income</w:t>
            </w:r>
          </w:p>
        </w:tc>
        <w:tc>
          <w:tcPr>
            <w:tcW w:type="pct" w:w="568"/>
            <w:shd w:fill="FBFAF6" w:val="clear"/>
            <w:tcMar>
              <w:top w:type="dxa" w:w="50"/>
              <w:left w:type="dxa" w:w="110"/>
              <w:bottom w:type="dxa" w:w="50"/>
              <w:right w:type="dxa" w:w="110"/>
            </w:tcMar>
          </w:tcPr>
          <w:p>
            <w:pPr>
              <w:spacing w:before="28" w:after="28"/>
            </w:pPr>
            <w:r>
              <w:rPr>
                <w:sz w:val="15"/>
                <w:szCs w:val="15"/>
              </w:rPr>
              <w:t xml:space="preserve">1,740,000</w:t>
            </w:r>
          </w:p>
        </w:tc>
        <w:tc>
          <w:tcPr>
            <w:tcW w:type="pct" w:w="568"/>
            <w:shd w:fill="FBFAF6" w:val="clear"/>
            <w:tcMar>
              <w:top w:type="dxa" w:w="50"/>
              <w:left w:type="dxa" w:w="110"/>
              <w:bottom w:type="dxa" w:w="50"/>
              <w:right w:type="dxa" w:w="110"/>
            </w:tcMar>
          </w:tcPr>
          <w:p>
            <w:pPr>
              <w:spacing w:before="28" w:after="28"/>
            </w:pPr>
            <w:r>
              <w:rPr>
                <w:sz w:val="15"/>
                <w:szCs w:val="15"/>
              </w:rPr>
              <w:t xml:space="preserve">1,890,000</w:t>
            </w:r>
          </w:p>
        </w:tc>
        <w:tc>
          <w:tcPr>
            <w:tcW w:type="pct" w:w="2200"/>
            <w:shd w:fill="FBFAF6" w:val="clear"/>
            <w:tcMar>
              <w:top w:type="dxa" w:w="50"/>
              <w:left w:type="dxa" w:w="110"/>
              <w:bottom w:type="dxa" w:w="50"/>
              <w:right w:type="dxa" w:w="110"/>
            </w:tcMar>
          </w:tcPr>
          <w:p>
            <w:pPr>
              <w:spacing w:before="28" w:after="28"/>
            </w:pPr>
            <w:r>
              <w:rPr>
                <w:sz w:val="15"/>
                <w:szCs w:val="15"/>
              </w:rPr>
              <w:t xml:space="preserve">Rises by 150,000: the manager accepts the project</w:t>
            </w:r>
          </w:p>
        </w:tc>
      </w:tr>
      <w:tr>
        <w:tc>
          <w:tcPr>
            <w:tcW w:type="pct" w:w="1664"/>
            <w:tcMar>
              <w:top w:type="dxa" w:w="50"/>
              <w:left w:type="dxa" w:w="110"/>
              <w:bottom w:type="dxa" w:w="50"/>
              <w:right w:type="dxa" w:w="110"/>
            </w:tcMar>
          </w:tcPr>
          <w:p>
            <w:pPr>
              <w:spacing w:before="28" w:after="28"/>
            </w:pPr>
            <w:r>
              <w:rPr>
                <w:sz w:val="15"/>
                <w:szCs w:val="15"/>
              </w:rPr>
              <w:t xml:space="preserve">The company's view</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568"/>
            <w:tcMar>
              <w:top w:type="dxa" w:w="50"/>
              <w:left w:type="dxa" w:w="110"/>
              <w:bottom w:type="dxa" w:w="50"/>
              <w:right w:type="dxa" w:w="110"/>
            </w:tcMar>
          </w:tcPr>
          <w:p>
            <w:pPr>
              <w:spacing w:before="28" w:after="28"/>
            </w:pPr>
            <w:r>
              <w:rPr>
                <w:sz w:val="15"/>
                <w:szCs w:val="15"/>
              </w:rPr>
              <w:t xml:space="preserve">18.0%</w:t>
            </w:r>
          </w:p>
        </w:tc>
        <w:tc>
          <w:tcPr>
            <w:tcW w:type="pct" w:w="2200"/>
            <w:tcMar>
              <w:top w:type="dxa" w:w="50"/>
              <w:left w:type="dxa" w:w="110"/>
              <w:bottom w:type="dxa" w:w="50"/>
              <w:right w:type="dxa" w:w="110"/>
            </w:tcMar>
          </w:tcPr>
          <w:p>
            <w:pPr>
              <w:spacing w:before="28" w:after="28"/>
            </w:pPr>
            <w:r>
              <w:rPr>
                <w:sz w:val="15"/>
                <w:szCs w:val="15"/>
              </w:rPr>
              <w:t xml:space="preserve">The project earns more than the required return: it should go ahead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Falls by 1.5 points   ·   required return 12%   ·   Tahini &amp; Spreads ROI</w:t>
            </w:r>
          </w:p>
        </w:tc>
      </w:tr>
    </w:tbl>
    <w:p/>
    <w:p>
      <w:pPr>
        <w:spacing w:before="44" w:after="14"/>
      </w:pPr>
      <w:r>
        <w:rPr>
          <w:b/>
          <w:bCs/>
          <w:color w:val="353A7C"/>
          <w:sz w:val="18"/>
          <w:szCs w:val="18"/>
        </w:rPr>
        <w:t xml:space="preserve">Summary 1</w:t>
      </w:r>
      <w:r>
        <w:rPr>
          <w:color w:val="6B7280"/>
          <w:sz w:val="16"/>
          <w:szCs w:val="16"/>
        </w:rPr>
        <w:t xml:space="preserve">      gaps 3–6</w:t>
      </w:r>
    </w:p>
    <w:p>
      <w:pPr>
        <w:spacing w:before="20" w:after="20" w:line="360" w:lineRule="auto"/>
        <w:ind w:left="200"/>
      </w:pPr>
      <w:r>
        <w:rPr>
          <w:sz w:val="19"/>
          <w:szCs w:val="19"/>
        </w:rPr>
        <w:t xml:space="preserve">ROI falls by 1.5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which the manager will resist; residual income rises by $150,000, which is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gain. </w:t>
      </w:r>
      <w:r>
        <w:rPr>
          <w:sz w:val="19"/>
          <w:szCs w:val="19"/>
        </w:rPr>
        <w:t xml:space="preserve">The board approved the line, and changed how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manager is judged: residual income for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decisions, ROI for comparing divisions. </w:t>
      </w:r>
      <w:r>
        <w:rPr>
          <w:sz w:val="19"/>
          <w:szCs w:val="19"/>
        </w:rPr>
        <w:t xml:space="preserve">Both are reported each quarter.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reported   ·   investment   ·   company's   ·   points   ·   Beverages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Beverages ROI 17.7% × 1.50 = 26.5%;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margin comes. </w:t>
      </w:r>
      <w:r>
        <w:rPr>
          <w:sz w:val="19"/>
          <w:szCs w:val="19"/>
        </w:rPr>
        <w:t xml:space="preserve">Project: $450,000 − $300,000 = $150,000 added to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residual   ·   suboptimization   ·   segment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9–11</w:t>
      </w:r>
    </w:p>
    <w:p>
      <w:pPr>
        <w:spacing w:before="20" w:after="20" w:line="360" w:lineRule="auto"/>
        <w:ind w:left="200"/>
      </w:pPr>
      <w:r>
        <w:rPr>
          <w:sz w:val="19"/>
          <w:szCs w:val="19"/>
        </w:rPr>
        <w:t xml:space="preserve">Expect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income, an investment base and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return, then a project with its own income and investment.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ROI and residual income before and after, and say which measure leads to the decision the company wants.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required   ·   Calculate   ·   operating   ·   segment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a proposed investment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Division operating income for the year</w:t>
            </w:r>
          </w:p>
        </w:tc>
        <w:tc>
          <w:tcPr>
            <w:tcW w:type="pct" w:w="2400"/>
            <w:tcMar>
              <w:top w:type="dxa" w:w="50"/>
              <w:left w:type="dxa" w:w="110"/>
              <w:bottom w:type="dxa" w:w="50"/>
              <w:right w:type="dxa" w:w="110"/>
            </w:tcMar>
          </w:tcPr>
          <w:p>
            <w:pPr>
              <w:spacing w:before="28" w:after="28"/>
            </w:pPr>
            <w:r>
              <w:rPr>
                <w:sz w:val="15"/>
                <w:szCs w:val="15"/>
              </w:rPr>
              <w:t xml:space="preserve">840,000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shd w:fill="FBFAF6" w:val="clear"/>
            <w:tcMar>
              <w:top w:type="dxa" w:w="50"/>
              <w:left w:type="dxa" w:w="110"/>
              <w:bottom w:type="dxa" w:w="50"/>
              <w:right w:type="dxa" w:w="110"/>
            </w:tcMar>
          </w:tcPr>
          <w:p>
            <w:pPr>
              <w:spacing w:before="28" w:after="28"/>
            </w:pPr>
            <w:r>
              <w:rPr>
                <w:sz w:val="15"/>
                <w:szCs w:val="15"/>
              </w:rPr>
              <w:t xml:space="preserve">6,000,000</w:t>
            </w:r>
          </w:p>
        </w:tc>
      </w:tr>
      <w:tr>
        <w:tc>
          <w:tcPr>
            <w:tcW w:type="pct" w:w="2600"/>
            <w:tcMar>
              <w:top w:type="dxa" w:w="50"/>
              <w:left w:type="dxa" w:w="110"/>
              <w:bottom w:type="dxa" w:w="50"/>
              <w:right w:type="dxa" w:w="110"/>
            </w:tcMar>
          </w:tcPr>
          <w:p>
            <w:pPr>
              <w:spacing w:before="28" w:after="28"/>
            </w:pPr>
            <w:r>
              <w:rPr>
                <w:sz w:val="15"/>
                <w:szCs w:val="15"/>
              </w:rPr>
              <w:t xml:space="preserve">Required rate of return</w:t>
            </w:r>
          </w:p>
        </w:tc>
        <w:tc>
          <w:tcPr>
            <w:tcW w:type="pct" w:w="2400"/>
            <w:tcMar>
              <w:top w:type="dxa" w:w="50"/>
              <w:left w:type="dxa" w:w="110"/>
              <w:bottom w:type="dxa" w:w="50"/>
              <w:right w:type="dxa" w:w="110"/>
            </w:tcMar>
          </w:tcPr>
          <w:p>
            <w:pPr>
              <w:spacing w:before="28" w:after="28"/>
            </w:pPr>
            <w:r>
              <w:rPr>
                <w:sz w:val="15"/>
                <w:szCs w:val="15"/>
              </w:rPr>
              <w:t xml:space="preserve">12%</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tcMar>
              <w:top w:type="dxa" w:w="50"/>
              <w:left w:type="dxa" w:w="110"/>
              <w:bottom w:type="dxa" w:w="50"/>
              <w:right w:type="dxa" w:w="110"/>
            </w:tcMar>
          </w:tcPr>
          <w:p>
            <w:pPr>
              <w:spacing w:before="28" w:after="28"/>
            </w:pPr>
            <w:r>
              <w:rPr>
                <w:sz w:val="15"/>
                <w:szCs w:val="15"/>
              </w:rPr>
              <w:t xml:space="preserve">130,000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Extra operating income it would earn each year   ·   Division operating assets   ·   $840,000 ÷ $6,000,000 = 14.0%   ·   Investment in the new line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Tahini &amp; Spreads ROI</w:t>
            </w:r>
          </w:p>
        </w:tc>
        <w:tc>
          <w:tcPr>
            <w:tcW w:type="pct" w:w="2400"/>
            <w:tcMar>
              <w:top w:type="dxa" w:w="50"/>
              <w:left w:type="dxa" w:w="110"/>
              <w:bottom w:type="dxa" w:w="50"/>
              <w:right w:type="dxa" w:w="110"/>
            </w:tcMar>
          </w:tcPr>
          <w:p>
            <w:pPr>
              <w:spacing w:before="28" w:after="28"/>
            </w:pPr>
            <w:r>
              <w:rPr>
                <w:sz w:val="15"/>
                <w:szCs w:val="15"/>
              </w:rPr>
              <w:t xml:space="preserve">$840,000 ÷ $6,000,000 = 14.0%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Tahini &amp; Spreads residual income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project raises the division's residual income   ·   $840,000 − 12% × $6,000,000 = $120,000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Statement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The project returns more than the required rate of return</w:t>
            </w:r>
          </w:p>
        </w:tc>
        <w:tc>
          <w:tcPr>
            <w:tcW w:type="pct" w:w="2400"/>
            <w:tcMar>
              <w:top w:type="dxa" w:w="50"/>
              <w:left w:type="dxa" w:w="110"/>
              <w:bottom w:type="dxa" w:w="50"/>
              <w:right w:type="dxa" w:w="110"/>
            </w:tcMar>
          </w:tcPr>
          <w:p>
            <w:pPr>
              <w:spacing w:before="28" w:after="28"/>
            </w:pPr>
            <w:r>
              <w:rPr>
                <w:sz w:val="15"/>
                <w:szCs w:val="15"/>
              </w:rPr>
              <w:t xml:space="preserve">Supports accepting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project would lower the division's return on investment</w:t>
            </w:r>
          </w:p>
        </w:tc>
        <w:tc>
          <w:tcPr>
            <w:tcW w:type="pct" w:w="2400"/>
            <w:shd w:fill="FBFAF6" w:val="clear"/>
            <w:tcMar>
              <w:top w:type="dxa" w:w="50"/>
              <w:left w:type="dxa" w:w="110"/>
              <w:bottom w:type="dxa" w:w="50"/>
              <w:right w:type="dxa" w:w="110"/>
            </w:tcMar>
          </w:tcPr>
          <w:p>
            <w:pPr>
              <w:spacing w:before="28" w:after="28"/>
            </w:pPr>
            <w:r>
              <w:rPr>
                <w:sz w:val="15"/>
                <w:szCs w:val="15"/>
              </w:rPr>
              <w:t xml:space="preserve">Supports rejecting</w:t>
            </w:r>
          </w:p>
        </w:tc>
      </w:tr>
      <w:tr>
        <w:tc>
          <w:tcPr>
            <w:tcW w:type="pct" w:w="2600"/>
            <w:tcMar>
              <w:top w:type="dxa" w:w="50"/>
              <w:left w:type="dxa" w:w="110"/>
              <w:bottom w:type="dxa" w:w="50"/>
              <w:right w:type="dxa" w:w="110"/>
            </w:tcMar>
          </w:tcPr>
          <w:p>
            <w:pPr>
              <w:spacing w:before="28" w:after="28"/>
            </w:pPr>
            <w:r>
              <w:rPr>
                <w:sz w:val="15"/>
                <w:szCs w:val="15"/>
              </w:rPr>
              <w:t xml:space="preserve">The project raises the division's residual income</w:t>
            </w:r>
          </w:p>
        </w:tc>
        <w:tc>
          <w:tcPr>
            <w:tcW w:type="pct" w:w="2400"/>
            <w:tcMar>
              <w:top w:type="dxa" w:w="50"/>
              <w:left w:type="dxa" w:w="110"/>
              <w:bottom w:type="dxa" w:w="50"/>
              <w:right w:type="dxa" w:w="110"/>
            </w:tcMar>
          </w:tcPr>
          <w:p>
            <w:pPr>
              <w:spacing w:before="28" w:after="28"/>
            </w:pPr>
            <w:r>
              <w:rPr>
                <w:sz w:val="15"/>
                <w:szCs w:val="15"/>
              </w:rPr>
              <w:t xml:space="preserve">Supports accepting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company earns more than its cost of capital on the new assets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600"/>
            <w:tcMar>
              <w:top w:type="dxa" w:w="50"/>
              <w:left w:type="dxa" w:w="110"/>
              <w:bottom w:type="dxa" w:w="50"/>
              <w:right w:type="dxa" w:w="110"/>
            </w:tcMar>
          </w:tcPr>
          <w:p>
            <w:pPr>
              <w:spacing w:before="28" w:after="28"/>
            </w:pPr>
            <w:r>
              <w:rPr>
                <w:sz w:val="15"/>
                <w:szCs w:val="15"/>
              </w:rPr>
              <w:t xml:space="preserve">The manager's bonus is based on return on investment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Supports accepting   ·   Residual income   ·   Supports rejecting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suboptimization   ·   investment base   ·   residual income (RI)</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61"/>
        <w:gridCol w:w="483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9"/>
            <w:tcMar>
              <w:top w:type="dxa" w:w="50"/>
              <w:left w:type="dxa" w:w="110"/>
              <w:bottom w:type="dxa" w:w="50"/>
              <w:right w:type="dxa" w:w="110"/>
            </w:tcMar>
          </w:tcPr>
          <w:p>
            <w:pPr>
              <w:spacing w:before="26" w:after="26"/>
            </w:pPr>
            <w:r>
              <w:rPr>
                <w:color w:val="232733"/>
                <w:sz w:val="16"/>
                <w:szCs w:val="16"/>
              </w:rPr>
              <w:t xml:space="preserve">return on investment (ROI)</w:t>
            </w:r>
          </w:p>
        </w:tc>
        <w:tc>
          <w:tcPr>
            <w:tcW w:type="pct" w:w="2521"/>
            <w:tcMar>
              <w:top w:type="dxa" w:w="50"/>
              <w:left w:type="dxa" w:w="110"/>
              <w:bottom w:type="dxa" w:w="50"/>
              <w:right w:type="dxa" w:w="110"/>
            </w:tcMar>
          </w:tcPr>
          <w:p>
            <w:pPr>
              <w:spacing w:before="26" w:after="26"/>
            </w:pPr>
            <w:r>
              <w:rPr>
                <w:color w:val="232733"/>
                <w:sz w:val="16"/>
                <w:szCs w:val="16"/>
              </w:rPr>
              <w:t xml:space="preserve">العائد على الاستثمار</w:t>
            </w:r>
          </w:p>
        </w:tc>
      </w:tr>
      <w:tr>
        <w:tc>
          <w:tcPr>
            <w:tcW w:type="pct" w:w="2479"/>
            <w:shd w:fill="FBFAF6" w:val="clear"/>
            <w:tcMar>
              <w:top w:type="dxa" w:w="50"/>
              <w:left w:type="dxa" w:w="110"/>
              <w:bottom w:type="dxa" w:w="50"/>
              <w:right w:type="dxa" w:w="110"/>
            </w:tcMar>
          </w:tcPr>
          <w:p>
            <w:pPr>
              <w:spacing w:before="26" w:after="26"/>
            </w:pPr>
            <w:r>
              <w:rPr>
                <w:color w:val="232733"/>
                <w:sz w:val="16"/>
                <w:szCs w:val="16"/>
              </w:rPr>
              <w:t xml:space="preserve">residual income (RI)</w:t>
            </w:r>
          </w:p>
        </w:tc>
        <w:tc>
          <w:tcPr>
            <w:tcW w:type="pct" w:w="2521"/>
            <w:shd w:fill="FBFAF6" w:val="clear"/>
            <w:tcMar>
              <w:top w:type="dxa" w:w="50"/>
              <w:left w:type="dxa" w:w="110"/>
              <w:bottom w:type="dxa" w:w="50"/>
              <w:right w:type="dxa" w:w="110"/>
            </w:tcMar>
          </w:tcPr>
          <w:p>
            <w:pPr>
              <w:spacing w:before="26" w:after="26"/>
            </w:pPr>
            <w:r>
              <w:rPr>
                <w:color w:val="232733"/>
                <w:sz w:val="16"/>
                <w:szCs w:val="16"/>
              </w:rPr>
              <w:t xml:space="preserve">الدخل المتبقي</w:t>
            </w:r>
          </w:p>
        </w:tc>
      </w:tr>
      <w:tr>
        <w:tc>
          <w:tcPr>
            <w:tcW w:type="pct" w:w="2479"/>
            <w:tcMar>
              <w:top w:type="dxa" w:w="50"/>
              <w:left w:type="dxa" w:w="110"/>
              <w:bottom w:type="dxa" w:w="50"/>
              <w:right w:type="dxa" w:w="110"/>
            </w:tcMar>
          </w:tcPr>
          <w:p>
            <w:pPr>
              <w:spacing w:before="26" w:after="26"/>
            </w:pPr>
            <w:r>
              <w:rPr>
                <w:color w:val="232733"/>
                <w:sz w:val="16"/>
                <w:szCs w:val="16"/>
              </w:rPr>
              <w:t xml:space="preserve">suboptimization</w:t>
            </w:r>
          </w:p>
        </w:tc>
        <w:tc>
          <w:tcPr>
            <w:tcW w:type="pct" w:w="2521"/>
            <w:tcMar>
              <w:top w:type="dxa" w:w="50"/>
              <w:left w:type="dxa" w:w="110"/>
              <w:bottom w:type="dxa" w:w="50"/>
              <w:right w:type="dxa" w:w="110"/>
            </w:tcMar>
          </w:tcPr>
          <w:p>
            <w:pPr>
              <w:spacing w:before="26" w:after="26"/>
            </w:pPr>
            <w:r>
              <w:rPr>
                <w:color w:val="232733"/>
                <w:sz w:val="16"/>
                <w:szCs w:val="16"/>
              </w:rPr>
              <w:t xml:space="preserve">التحسين الجزئي على حساب الكل</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17.6  Extended Example 17A: the filling line and the two measures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Falls by 1.5 points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Calculate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required return 12%</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Division operating 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points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Investment in the new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Extra operating income it would earn each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$840,000 − 12% × $6,000,000 = $120,000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Supports accepting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segment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Supports rejecting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residual</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residual income (RI)</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suboptimization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required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ROI falls by 1.5 points, which the manager will resist; residual income rises by $150,000, which is the company's gain. The board approved the line, and changed how the Beverages manager is judged: residual income for investment decisions, ROI for comparing divisions. Both are reported each quarter.</w:t>
      </w:r>
    </w:p>
    <w:p>
      <w:pPr>
        <w:spacing w:before="20" w:after="20"/>
        <w:ind w:left="240" w:hanging="240"/>
      </w:pPr>
      <w:r>
        <w:rPr>
          <w:b/>
          <w:bCs/>
          <w:color w:val="353A7C"/>
          <w:sz w:val="15"/>
          <w:szCs w:val="15"/>
        </w:rPr>
        <w:t xml:space="preserve">Summary 2   </w:t>
      </w:r>
      <w:r>
        <w:rPr>
          <w:color w:val="6B7280"/>
          <w:sz w:val="15"/>
          <w:szCs w:val="15"/>
        </w:rPr>
        <w:t xml:space="preserve">Beverages ROI 17.7% × 1.50 = 26.5%; the segment margin comes. Project: $450,000 − $300,000 = $150,000 added to residual income.</w:t>
      </w:r>
    </w:p>
    <w:p>
      <w:pPr>
        <w:spacing w:before="20" w:after="20"/>
        <w:ind w:left="240" w:hanging="240"/>
      </w:pPr>
      <w:r>
        <w:rPr>
          <w:b/>
          <w:bCs/>
          <w:color w:val="353A7C"/>
          <w:sz w:val="15"/>
          <w:szCs w:val="15"/>
        </w:rPr>
        <w:t xml:space="preserve">Summary 3   </w:t>
      </w:r>
      <w:r>
        <w:rPr>
          <w:color w:val="6B7280"/>
          <w:sz w:val="15"/>
          <w:szCs w:val="15"/>
        </w:rPr>
        <w:t xml:space="preserve">Expect operating income, an investment base and a required return, then a project with its own income and investment. Calculate ROI and residual income before and after, and say which measure leads to the decision the company wants.</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17.1 · Measures, goals and feedback</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17.2 · Return on investment</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17.3 · Residual income</w:t>
          </w:r>
        </w:p>
      </w:tc>
      <w:tc>
        <w:tcPr>
          <w:tcW w:type="pct" w:w="1400"/>
          <w:tcMar>
            <w:top w:type="dxa" w:w="-30"/>
            <w:left w:type="dxa" w:w="30"/>
            <w:bottom w:type="dxa" w:w="-30"/>
            <w:right w:type="dxa" w:w="30"/>
          </w:tcMar>
        </w:tcPr>
        <w:p>
          <w:pPr>
            <w:jc w:val="right"/>
          </w:pPr>
          <w:r>
            <w:rPr>
              <w:color w:val="6B7280"/>
              <w:sz w:val="16"/>
              <w:szCs w:val="16"/>
            </w:rPr>
            <w:t xml:space="preserve">Handout 17.3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17.4 · Choosing between them</w:t>
          </w:r>
        </w:p>
      </w:tc>
      <w:tc>
        <w:tcPr>
          <w:tcW w:type="pct" w:w="1400"/>
          <w:tcMar>
            <w:top w:type="dxa" w:w="-30"/>
            <w:left w:type="dxa" w:w="30"/>
            <w:bottom w:type="dxa" w:w="-30"/>
            <w:right w:type="dxa" w:w="30"/>
          </w:tcMar>
        </w:tcPr>
        <w:p>
          <w:pPr>
            <w:jc w:val="right"/>
          </w:pPr>
          <w:r>
            <w:rPr>
              <w:color w:val="6B7280"/>
              <w:sz w:val="16"/>
              <w:szCs w:val="16"/>
            </w:rPr>
            <w:t xml:space="preserve">Handout 17.4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17.5 · What goes into the figures</w:t>
          </w:r>
        </w:p>
      </w:tc>
      <w:tc>
        <w:tcPr>
          <w:tcW w:type="pct" w:w="1400"/>
          <w:tcMar>
            <w:top w:type="dxa" w:w="-30"/>
            <w:left w:type="dxa" w:w="30"/>
            <w:bottom w:type="dxa" w:w="-30"/>
            <w:right w:type="dxa" w:w="30"/>
          </w:tcMar>
        </w:tcPr>
        <w:p>
          <w:pPr>
            <w:jc w:val="right"/>
          </w:pPr>
          <w:r>
            <w:rPr>
              <w:color w:val="6B7280"/>
              <w:sz w:val="16"/>
              <w:szCs w:val="16"/>
            </w:rPr>
            <w:t xml:space="preserve">Handout 17.5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17.6 · Extended Example 17A: the filling line and the two measures</w:t>
          </w:r>
        </w:p>
      </w:tc>
      <w:tc>
        <w:tcPr>
          <w:tcW w:type="pct" w:w="1400"/>
          <w:tcMar>
            <w:top w:type="dxa" w:w="-30"/>
            <w:left w:type="dxa" w:w="30"/>
            <w:bottom w:type="dxa" w:w="-30"/>
            <w:right w:type="dxa" w:w="30"/>
          </w:tcMar>
        </w:tcPr>
        <w:p>
          <w:pPr>
            <w:jc w:val="right"/>
          </w:pPr>
          <w:r>
            <w:rPr>
              <w:color w:val="6B7280"/>
              <w:sz w:val="16"/>
              <w:szCs w:val="16"/>
            </w:rPr>
            <w:t xml:space="preserve">Handout 17.6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fe7e8f8eb6f21d8c05cb6ae62f10f881515f38f9.png" Type="http://schemas.openxmlformats.org/officeDocument/2006/relationships/image"/><Relationship Id="rId102" Target="media/fac6d789a0c2d98575365af16a69690b37fbff26.png" Type="http://schemas.openxmlformats.org/officeDocument/2006/relationships/image"/><Relationship Id="rId103" Target="media/ce2f8d35b861e08b66d44c35f76ce8ed574d0592.png" Type="http://schemas.openxmlformats.org/officeDocument/2006/relationships/image"/><Relationship Id="rId104" Target="media/1c579ccc87ab76d56cd3583516eb6993757dc123.png" Type="http://schemas.openxmlformats.org/officeDocument/2006/relationships/image"/><Relationship Id="rId105" Target="media/6aa975cbb1bedf67fe0373375259b9c297e5c38a.png" Type="http://schemas.openxmlformats.org/officeDocument/2006/relationships/image"/><Relationship Id="rId106" Target="media/cbe0c0dbc8d5bfdf5c22e849a2b01c5b4a6ce371.png" Type="http://schemas.openxmlformats.org/officeDocument/2006/relationships/image"/><Relationship Id="rId107" Target="media/9feb8d3515729b6607c555839e1d2060d66a75f1.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17</dc:title>
  <dc:subject>Summary handouts</dc:subject>
  <cp:category>Student Book</cp:category>
</cp:coreProperties>
</file>