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The building blocks: elements and the accounti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sheet, the income statement, the statement of changes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framework names the 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usually cannot ask the company for special reports, so they depend on the published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general-purpose   ·   standard   ·   summarize   ·   purchases   ·   wrongly   ·   important   ·   reader   ·   equity   ·   balance   ·   conceptual   ·   thousands   ·   potential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79"/>
        <w:gridCol w:w="1822"/>
        <w:gridCol w:w="2837"/>
        <w:gridCol w:w="266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87"/>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478"/>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8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87"/>
            <w:tcMar>
              <w:top w:type="dxa" w:w="50"/>
              <w:left w:type="dxa" w:w="110"/>
              <w:bottom w:type="dxa" w:w="50"/>
              <w:right w:type="dxa" w:w="110"/>
            </w:tcMar>
          </w:tcPr>
          <w:p>
            <w:pPr>
              <w:spacing w:before="28" w:after="28"/>
            </w:pPr>
            <w:r>
              <w:rPr>
                <w:sz w:val="15"/>
                <w:szCs w:val="15"/>
              </w:rPr>
              <w:t xml:space="preserve">Investors (shareholders) — PRIMARY</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78"/>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8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949"/>
            <w:shd w:fill="FBFAF6" w:val="clear"/>
            <w:tcMar>
              <w:top w:type="dxa" w:w="50"/>
              <w:left w:type="dxa" w:w="110"/>
              <w:bottom w:type="dxa" w:w="50"/>
              <w:right w:type="dxa" w:w="110"/>
            </w:tcMar>
          </w:tcPr>
          <w:p>
            <w:pPr>
              <w:spacing w:before="28" w:after="28"/>
            </w:pPr>
            <w:r>
              <w:rPr>
                <w:sz w:val="15"/>
                <w:szCs w:val="15"/>
              </w:rPr>
              <w:t xml:space="preserve">Lend, renew or stop a loan</w:t>
            </w:r>
          </w:p>
        </w:tc>
        <w:tc>
          <w:tcPr>
            <w:tcW w:type="pct" w:w="1478"/>
            <w:shd w:fill="FBFAF6" w:val="clear"/>
            <w:tcMar>
              <w:top w:type="dxa" w:w="50"/>
              <w:left w:type="dxa" w:w="110"/>
              <w:bottom w:type="dxa" w:w="50"/>
              <w:right w:type="dxa" w:w="110"/>
            </w:tcMar>
          </w:tcPr>
          <w:p>
            <w:pPr>
              <w:spacing w:before="28" w:after="28"/>
            </w:pPr>
            <w:r>
              <w:rPr>
                <w:sz w:val="15"/>
                <w:szCs w:val="15"/>
              </w:rPr>
              <w:t xml:space="preserve">Can the company pay interest and repay the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on time?</w:t>
            </w:r>
          </w:p>
        </w:tc>
        <w:tc>
          <w:tcPr>
            <w:tcW w:type="pct" w:w="138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87"/>
            <w:tcMar>
              <w:top w:type="dxa" w:w="50"/>
              <w:left w:type="dxa" w:w="110"/>
              <w:bottom w:type="dxa" w:w="50"/>
              <w:right w:type="dxa" w:w="110"/>
            </w:tcMar>
          </w:tcPr>
          <w:p>
            <w:pPr>
              <w:spacing w:before="28" w:after="28"/>
            </w:pPr>
            <w:r>
              <w:rPr>
                <w:sz w:val="15"/>
                <w:szCs w:val="15"/>
              </w:rPr>
              <w:t xml:space="preserve">Other creditors (suppliers) — PRIMARY</w:t>
            </w:r>
          </w:p>
        </w:tc>
        <w:tc>
          <w:tcPr>
            <w:tcW w:type="pct" w:w="949"/>
            <w:tcMar>
              <w:top w:type="dxa" w:w="50"/>
              <w:left w:type="dxa" w:w="110"/>
              <w:bottom w:type="dxa" w:w="50"/>
              <w:right w:type="dxa" w:w="110"/>
            </w:tcMar>
          </w:tcPr>
          <w:p>
            <w:pPr>
              <w:spacing w:before="28" w:after="28"/>
            </w:pPr>
            <w:r>
              <w:rPr>
                <w:sz w:val="15"/>
                <w:szCs w:val="15"/>
              </w:rPr>
              <w:t xml:space="preserve">Sell on credit, set credit terms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949"/>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87"/>
            <w:tcMar>
              <w:top w:type="dxa" w:w="50"/>
              <w:left w:type="dxa" w:w="110"/>
              <w:bottom w:type="dxa" w:w="50"/>
              <w:right w:type="dxa" w:w="110"/>
            </w:tcMar>
          </w:tcPr>
          <w:p>
            <w:pPr>
              <w:spacing w:before="28" w:after="28"/>
            </w:pPr>
            <w:r>
              <w:rPr>
                <w:sz w:val="15"/>
                <w:szCs w:val="15"/>
              </w:rPr>
              <w:t xml:space="preserve">Customers</w:t>
            </w:r>
          </w:p>
        </w:tc>
        <w:tc>
          <w:tcPr>
            <w:tcW w:type="pct" w:w="949"/>
            <w:tcMar>
              <w:top w:type="dxa" w:w="50"/>
              <w:left w:type="dxa" w:w="110"/>
              <w:bottom w:type="dxa" w:w="50"/>
              <w:right w:type="dxa" w:w="110"/>
            </w:tcMar>
          </w:tcPr>
          <w:p>
            <w:pPr>
              <w:spacing w:before="28" w:after="28"/>
            </w:pPr>
            <w:r>
              <w:rPr>
                <w:sz w:val="15"/>
                <w:szCs w:val="15"/>
              </w:rPr>
              <w:t xml:space="preserve">Sign long-term contracts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78"/>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8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87"/>
            <w:tcMar>
              <w:top w:type="dxa" w:w="50"/>
              <w:left w:type="dxa" w:w="110"/>
              <w:bottom w:type="dxa" w:w="50"/>
              <w:right w:type="dxa" w:w="110"/>
            </w:tcMar>
          </w:tcPr>
          <w:p>
            <w:pPr>
              <w:spacing w:before="28" w:after="28"/>
            </w:pPr>
            <w:r>
              <w:rPr>
                <w:sz w:val="15"/>
                <w:szCs w:val="15"/>
              </w:rPr>
              <w:t xml:space="preserve">Managers (internal)</w:t>
            </w:r>
          </w:p>
        </w:tc>
        <w:tc>
          <w:tcPr>
            <w:tcW w:type="pct" w:w="949"/>
            <w:tcMar>
              <w:top w:type="dxa" w:w="50"/>
              <w:left w:type="dxa" w:w="110"/>
              <w:bottom w:type="dxa" w:w="50"/>
              <w:right w:type="dxa" w:w="110"/>
            </w:tcMar>
          </w:tcPr>
          <w:p>
            <w:pPr>
              <w:spacing w:before="28" w:after="28"/>
            </w:pPr>
            <w:r>
              <w:rPr>
                <w:sz w:val="15"/>
                <w:szCs w:val="15"/>
              </w:rPr>
              <w:t xml:space="preserve">Plan and control operations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8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principal   ·   Is the company stable and profitable?   ·   Buy, hold or sell shares   ·   Will the company pay its bills when due?   ·   Will the company continue to supply us?   ·   Not a primary user: can use internal reports   ·   equity</w:t>
            </w:r>
          </w:p>
        </w:tc>
      </w:tr>
    </w:tbl>
    <w:p/>
    <w:p>
      <w:pPr>
        <w:spacing w:before="44" w:after="14"/>
      </w:pPr>
      <w:r>
        <w:rPr>
          <w:b/>
          <w:bCs/>
          <w:color w:val="353A7C"/>
          <w:sz w:val="18"/>
          <w:szCs w:val="18"/>
        </w:rPr>
        <w:t xml:space="preserve">Summary 2</w:t>
      </w:r>
      <w:r>
        <w:rPr>
          <w:color w:val="6B7280"/>
          <w:sz w:val="16"/>
          <w:szCs w:val="16"/>
        </w:rPr>
        <w:t xml:space="preserve">      gaps 22–32</w:t>
      </w:r>
    </w:p>
    <w:p>
      <w:pPr>
        <w:spacing w:before="20" w:after="20" w:line="360" w:lineRule="auto"/>
        <w:ind w:left="200"/>
      </w:pPr>
      <w:r>
        <w:rPr>
          <w:sz w:val="19"/>
          <w:szCs w:val="19"/>
        </w:rPr>
        <w:t xml:space="preserve">Other groups also read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Managers read them too. </w:t>
      </w:r>
      <w:r>
        <w:rPr>
          <w:sz w:val="19"/>
          <w:szCs w:val="19"/>
        </w:rPr>
        <w:t xml:space="preserve">However, managers are not primary users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the period?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financial   ·   perform   ·   information   ·   management   ·   governments   ·   simple   ·   balance   ·   Reporting   ·   material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33–41</w:t>
      </w:r>
    </w:p>
    <w:p>
      <w:pPr>
        <w:spacing w:before="20" w:after="20" w:line="360" w:lineRule="auto"/>
        <w:ind w:left="200"/>
      </w:pPr>
      <w:r>
        <w:rPr>
          <w:sz w:val="19"/>
          <w:szCs w:val="19"/>
        </w:rPr>
        <w:t xml:space="preserve">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representation   ·   benefit   ·   conceptual   ·   confirmatory   ·   materiality   ·   complete   ·   fundamental   ·   constraint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42–44</w:t>
      </w:r>
    </w:p>
    <w:p>
      <w:pPr>
        <w:spacing w:before="20" w:after="20" w:line="360" w:lineRule="auto"/>
        <w:ind w:left="200"/>
      </w:pPr>
      <w:r>
        <w:rPr>
          <w:sz w:val="19"/>
          <w:szCs w:val="19"/>
        </w:rPr>
        <w:t xml:space="preserve">Primary users are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relevance   ·   general-purpose   ·   T-account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decide the amount of the item   ·   statements   ·   disclose   ·   record   ·   U.S. GAAP</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49–51</w:t>
      </w:r>
    </w:p>
    <w:p>
      <w:pPr>
        <w:spacing w:before="20" w:after="20" w:line="360" w:lineRule="auto"/>
        <w:ind w:left="200"/>
      </w:pPr>
      <w:r>
        <w:rPr>
          <w:sz w:val="19"/>
          <w:szCs w:val="19"/>
        </w:rPr>
        <w:t xml:space="preserve">Example: Orontes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w:t>
      </w:r>
      <w:r>
        <w:rPr>
          <w:b/>
          <w:bCs/>
          <w:color w:val="8186EF"/>
          <w:sz w:val="15"/>
          <w:szCs w:val="15"/>
        </w:rPr>
        <w:t xml:space="preserve"> (51) </w:t>
      </w:r>
      <w:r>
        <w:rPr>
          <w:u w:val="single"/>
          <w:sz w:val="19"/>
          <w:szCs w:val="19"/>
        </w:rPr>
        <w:t xml:space="preserve">           </w:t>
      </w:r>
      <w:r>
        <w:rPr>
          <w:sz w:val="19"/>
          <w:szCs w:val="19"/>
        </w:rPr>
        <w:t xml:space="preserve"> </w:t>
      </w:r>
      <w:r>
        <w:rPr>
          <w:sz w:val="19"/>
          <w:szCs w:val="19"/>
        </w:rPr>
        <w:t xml:space="preserve">,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relevance   ·   statement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decide the amount of the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faithful 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It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claim. </w:t>
      </w:r>
      <w:r>
        <w:rPr>
          <w:sz w:val="19"/>
          <w:szCs w:val="19"/>
        </w:rPr>
        <w:t xml:space="preserve">The other elements describe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expense   ·   accounts   ·   Equity   ·   revenue   ·   statements   ·   operations   ·   FASB   ·   liability   ·   owners   ·   changes</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change in equity from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other than owners. </w:t>
      </w:r>
      <w:r>
        <w:rPr>
          <w:sz w:val="19"/>
          <w:szCs w:val="19"/>
        </w:rPr>
        <w:t xml:space="preserve">The equation always holds, because creditors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or owners (equity) finance every asset. </w:t>
      </w:r>
      <w:r>
        <w:rPr>
          <w:sz w:val="19"/>
          <w:szCs w:val="19"/>
        </w:rPr>
        <w:t xml:space="preserve">Equity has two main parts.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Look at the lower part.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gains increase retained earnings.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losses decrease it. </w:t>
      </w:r>
      <w:r>
        <w:rPr>
          <w:sz w:val="19"/>
          <w:szCs w:val="19"/>
        </w:rPr>
        <w:t xml:space="preserve">Dividends also decrease it, but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appears in the income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Conceptual Framework (2018) defines an asset as a present economic resource controlled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buying   ·   Contributed   ·   dividend   ·   Comprehensive   ·   statement   ·   sources   ·   IFRS   ·   instead   ·   Expenses   ·   Revenues   ·   liabilities   ·   Distributions</w:t>
            </w:r>
          </w:p>
        </w:tc>
      </w:tr>
    </w:tbl>
    <w:p/>
    <w:p>
      <w:pPr>
        <w:spacing w:before="44" w:after="14"/>
      </w:pPr>
      <w:r>
        <w:rPr>
          <w:b/>
          <w:bCs/>
          <w:color w:val="353A7C"/>
          <w:sz w:val="18"/>
          <w:szCs w:val="18"/>
        </w:rPr>
        <w:t xml:space="preserve">Summary 3</w:t>
      </w:r>
      <w:r>
        <w:rPr>
          <w:color w:val="6B7280"/>
          <w:sz w:val="16"/>
          <w:szCs w:val="16"/>
        </w:rPr>
        <w:t xml:space="preserve">      gaps 25–29</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and gains, while U.S. GAAP keeps revenues and gains apart. </w:t>
      </w:r>
      <w:r>
        <w:rPr>
          <w:sz w:val="19"/>
          <w:szCs w:val="19"/>
        </w:rPr>
        <w:t xml:space="preserve">You may also know these IFRS names: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of financial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(balance sheet), share capital (common stock) and share premium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additional   ·   obligation   ·   different   ·   statement   ·   position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Words that look familiar</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30–32</w:t>
      </w:r>
    </w:p>
    <w:p>
      <w:pPr>
        <w:spacing w:before="20" w:after="20" w:line="360" w:lineRule="auto"/>
        <w:ind w:left="200"/>
      </w:pPr>
      <w:r>
        <w:rPr>
          <w:sz w:val="19"/>
          <w:szCs w:val="19"/>
        </w:rPr>
        <w:t xml:space="preserve">In a CMA question, inventory is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inventory. </w:t>
      </w:r>
      <w:r>
        <w:rPr>
          <w:sz w:val="19"/>
          <w:szCs w:val="19"/>
        </w:rPr>
        <w:t xml:space="preserve">Revenue is the gross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from sales. </w:t>
      </w:r>
      <w:r>
        <w:rPr>
          <w:sz w:val="19"/>
          <w:szCs w:val="19"/>
        </w:rPr>
        <w:t xml:space="preserve">Net income is what remains after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Do not use income when the question means revenue. </w:t>
      </w:r>
      <w:r>
        <w:rPr>
          <w:sz w:val="19"/>
          <w:szCs w:val="19"/>
        </w:rPr>
        <w:t xml:space="preserve">In English, charges usually means fees.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amount   ·   always   ·   Orontes   ·   expenses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34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34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asset   ·   net income   ·   equity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Revenues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position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additional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always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sources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Look at the lower part.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pacing w:before="20" w:after="20"/>
        <w:ind w:left="240" w:hanging="240"/>
      </w:pPr>
      <w:r>
        <w:rPr>
          <w:b/>
          <w:bCs/>
          <w:color w:val="353A7C"/>
          <w:sz w:val="15"/>
          <w:szCs w:val="15"/>
        </w:rPr>
        <w:t xml:space="preserve">Summary 4   </w:t>
      </w:r>
      <w:r>
        <w:rPr>
          <w:color w:val="6B7280"/>
          <w:sz w:val="15"/>
          <w:szCs w:val="15"/>
        </w:rPr>
        <w:t xml:space="preserve">In a CMA question, inventory is always inventory. Revenue is the gross amount from sales. Net income is what remains after expenses. Do not use income when the question means revenue. In English, charges usually means fees.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Debit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equation at the bottom is a useful memory aid. </w:t>
      </w:r>
      <w:r>
        <w:rPr>
          <w:sz w:val="19"/>
          <w:szCs w:val="19"/>
        </w:rPr>
        <w:t xml:space="preserve">Accounts on the left side of the equation (assets, expenses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increase with a debit. </w:t>
      </w:r>
      <w:r>
        <w:rPr>
          <w:sz w:val="19"/>
          <w:szCs w:val="19"/>
        </w:rPr>
        <w:t xml:space="preserve">Accounts on the right side (liabilities,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revenues) increase with a credit. </w:t>
      </w:r>
      <w:r>
        <w:rPr>
          <w:sz w:val="19"/>
          <w:szCs w:val="19"/>
        </w:rPr>
        <w:t xml:space="preserve">A contra account reduces a related account, so it has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reduces equipment. </w:t>
      </w:r>
      <w:r>
        <w:rPr>
          <w:sz w:val="19"/>
          <w:szCs w:val="19"/>
        </w:rPr>
        <w:t xml:space="preserve">It has a credit balance, but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expanded   ·   receivable   ·   Whether   ·   dividends   ·   equity   ·   depreciation   ·   opposite   ·   double-entry   ·   affects   ·   simply   ·   accounting   ·   balances   ·   belongs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 January 2025.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exchange   ·   pastries   ·   expense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44"/>
        <w:gridCol w:w="1344"/>
        <w:gridCol w:w="4224"/>
        <w:gridCol w:w="1344"/>
        <w:gridCol w:w="134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700"/>
            <w:tcMar>
              <w:top w:type="dxa" w:w="50"/>
              <w:left w:type="dxa" w:w="110"/>
              <w:bottom w:type="dxa" w:w="50"/>
              <w:right w:type="dxa" w:w="110"/>
            </w:tcMar>
          </w:tcPr>
          <w:p>
            <w:pPr>
              <w:spacing w:before="28" w:after="28"/>
            </w:pPr>
            <w:r>
              <w:rPr>
                <w:sz w:val="15"/>
                <w:szCs w:val="15"/>
              </w:rPr>
              <w:t xml:space="preserve">1</w:t>
            </w:r>
          </w:p>
        </w:tc>
        <w:tc>
          <w:tcPr>
            <w:tcW w:type="pct" w:w="700"/>
            <w:tcMar>
              <w:top w:type="dxa" w:w="50"/>
              <w:left w:type="dxa" w:w="110"/>
              <w:bottom w:type="dxa" w:w="50"/>
              <w:right w:type="dxa" w:w="110"/>
            </w:tcMar>
          </w:tcPr>
          <w:p>
            <w:pPr>
              <w:spacing w:before="28" w:after="28"/>
            </w:pPr>
            <w:r>
              <w:rPr>
                <w:sz w:val="15"/>
                <w:szCs w:val="15"/>
              </w:rPr>
              <w:t xml:space="preserve">Jan 2</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1,500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Additional paid-in capital</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1,400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2</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800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800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cash from Levant Commerce Bank on a 5-year note at 6% interest.</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3</w:t>
            </w:r>
          </w:p>
        </w:tc>
        <w:tc>
          <w:tcPr>
            <w:tcW w:type="pct" w:w="700"/>
            <w:shd w:fill="FBFAF6" w:val="clear"/>
            <w:tcMar>
              <w:top w:type="dxa" w:w="50"/>
              <w:left w:type="dxa" w:w="110"/>
              <w:bottom w:type="dxa" w:w="50"/>
              <w:right w:type="dxa" w:w="110"/>
            </w:tcMar>
          </w:tcPr>
          <w:p>
            <w:pPr>
              <w:spacing w:before="28" w:after="28"/>
            </w:pPr>
            <w:r>
              <w:rPr>
                <w:sz w:val="15"/>
                <w:szCs w:val="15"/>
              </w:rPr>
              <w:t xml:space="preserve">Jan 10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700"/>
            <w:shd w:fill="FBFAF6" w:val="clear"/>
            <w:tcMar>
              <w:top w:type="dxa" w:w="50"/>
              <w:left w:type="dxa" w:w="110"/>
              <w:bottom w:type="dxa" w:w="50"/>
              <w:right w:type="dxa" w:w="110"/>
            </w:tcMar>
          </w:tcPr>
          <w:p>
            <w:pPr>
              <w:spacing w:before="28" w:after="28"/>
            </w:pPr>
            <w:r>
              <w:rPr>
                <w:sz w:val="15"/>
                <w:szCs w:val="15"/>
              </w:rPr>
              <w:t xml:space="preserve">1,200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1,200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Bought a new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line for the Amman plant and paid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4</w:t>
            </w:r>
          </w:p>
        </w:tc>
        <w:tc>
          <w:tcPr>
            <w:tcW w:type="pct" w:w="700"/>
            <w:tcMar>
              <w:top w:type="dxa" w:w="50"/>
              <w:left w:type="dxa" w:w="110"/>
              <w:bottom w:type="dxa" w:w="50"/>
              <w:right w:type="dxa" w:w="110"/>
            </w:tcMar>
          </w:tcPr>
          <w:p>
            <w:pPr>
              <w:spacing w:before="28" w:after="28"/>
            </w:pPr>
            <w:r>
              <w:rPr>
                <w:sz w:val="15"/>
                <w:szCs w:val="15"/>
              </w:rPr>
              <w:t xml:space="preserve">Jan 18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700"/>
            <w:tcMar>
              <w:top w:type="dxa" w:w="50"/>
              <w:left w:type="dxa" w:w="110"/>
              <w:bottom w:type="dxa" w:w="50"/>
              <w:right w:type="dxa" w:w="110"/>
            </w:tcMar>
          </w:tcPr>
          <w:p>
            <w:pPr>
              <w:spacing w:before="28" w:after="28"/>
            </w:pPr>
            <w:r>
              <w:rPr>
                <w:sz w:val="15"/>
                <w:szCs w:val="15"/>
              </w:rPr>
              <w:t xml:space="preserve">300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700"/>
            <w:tcMar>
              <w:top w:type="dxa" w:w="50"/>
              <w:left w:type="dxa" w:w="110"/>
              <w:bottom w:type="dxa" w:w="50"/>
              <w:right w:type="dxa" w:w="110"/>
            </w:tcMar>
          </w:tcPr>
          <w:p>
            <w:pPr>
              <w:spacing w:before="28" w:after="28"/>
            </w:pPr>
            <w:r>
              <w:rPr>
                <w:sz w:val="15"/>
                <w:szCs w:val="15"/>
              </w:rPr>
              <w:t xml:space="preserve">180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5</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700"/>
            <w:shd w:fill="FBFAF6" w:val="clear"/>
            <w:tcMar>
              <w:top w:type="dxa" w:w="50"/>
              <w:left w:type="dxa" w:w="110"/>
              <w:bottom w:type="dxa" w:w="50"/>
              <w:right w:type="dxa" w:w="110"/>
            </w:tcMar>
          </w:tcPr>
          <w:p>
            <w:pPr>
              <w:spacing w:before="28" w:after="28"/>
            </w:pPr>
            <w:r>
              <w:rPr>
                <w:sz w:val="15"/>
                <w:szCs w:val="15"/>
              </w:rPr>
              <w:t xml:space="preserve">40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40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Paid January wages to plant workers in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6</w:t>
            </w:r>
          </w:p>
        </w:tc>
        <w:tc>
          <w:tcPr>
            <w:tcW w:type="pct" w:w="700"/>
            <w:tcMar>
              <w:top w:type="dxa" w:w="50"/>
              <w:left w:type="dxa" w:w="110"/>
              <w:bottom w:type="dxa" w:w="50"/>
              <w:right w:type="dxa" w:w="110"/>
            </w:tcMar>
          </w:tcPr>
          <w:p>
            <w:pPr>
              <w:spacing w:before="28" w:after="28"/>
            </w:pPr>
            <w:r>
              <w:rPr>
                <w:sz w:val="15"/>
                <w:szCs w:val="15"/>
              </w:rPr>
              <w:t xml:space="preserve">Jan 31</w:t>
            </w:r>
          </w:p>
        </w:tc>
        <w:tc>
          <w:tcPr>
            <w:tcW w:type="pct" w:w="2200"/>
            <w:tcMar>
              <w:top w:type="dxa" w:w="50"/>
              <w:left w:type="dxa" w:w="110"/>
              <w:bottom w:type="dxa" w:w="50"/>
              <w:right w:type="dxa" w:w="110"/>
            </w:tcMar>
          </w:tcPr>
          <w:p>
            <w:pPr>
              <w:spacing w:before="28" w:after="28"/>
            </w:pPr>
            <w:r>
              <w:rPr>
                <w:sz w:val="15"/>
                <w:szCs w:val="15"/>
              </w:rPr>
              <w:t xml:space="preserve">Retained earnings (dividends declared)</w:t>
            </w:r>
          </w:p>
        </w:tc>
        <w:tc>
          <w:tcPr>
            <w:tcW w:type="pct" w:w="700"/>
            <w:tcMar>
              <w:top w:type="dxa" w:w="50"/>
              <w:left w:type="dxa" w:w="110"/>
              <w:bottom w:type="dxa" w:w="50"/>
              <w:right w:type="dxa" w:w="110"/>
            </w:tcMar>
          </w:tcPr>
          <w:p>
            <w:pPr>
              <w:spacing w:before="28" w:after="28"/>
            </w:pPr>
            <w:r>
              <w:rPr>
                <w:sz w:val="15"/>
                <w:szCs w:val="15"/>
              </w:rPr>
              <w:t xml:space="preserve">50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Jan 5   ·   Jan 31   ·   bottling   ·   Wages expense   ·   Borrowed   ·   Equipment   ·   Sales revenue   ·   Accounts receivable   ·   Cash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27–35</w:t>
      </w:r>
    </w:p>
    <w:p>
      <w:pPr>
        <w:spacing w:before="20" w:after="20" w:line="360" w:lineRule="auto"/>
        <w:ind w:left="200"/>
      </w:pPr>
      <w:r>
        <w:rPr>
          <w:sz w:val="19"/>
          <w:szCs w:val="19"/>
        </w:rPr>
        <w:t xml:space="preserve">Check each entry: the debits equal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Read the grid row by row. </w:t>
      </w:r>
      <w:r>
        <w:rPr>
          <w:sz w:val="19"/>
          <w:szCs w:val="19"/>
        </w:rPr>
        <w:t xml:space="preserve">Three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and lenders is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   owners   ·   February   ·   delivers   ·   points   ·   liability   ·   equation   ·   credits   ·   advance   ·   financing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36–39</w:t>
      </w:r>
    </w:p>
    <w:p>
      <w:pPr>
        <w:spacing w:before="20" w:after="20" w:line="360" w:lineRule="auto"/>
        <w:ind w:left="200"/>
      </w:pPr>
      <w:r>
        <w:rPr>
          <w:sz w:val="19"/>
          <w:szCs w:val="19"/>
        </w:rPr>
        <w:t xml:space="preserve">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reduces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equation   ·   retained   ·   revenue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40–48</w:t>
      </w:r>
    </w:p>
    <w:p>
      <w:pPr>
        <w:spacing w:before="20" w:after="20" w:line="360" w:lineRule="auto"/>
        <w:ind w:left="200"/>
      </w:pPr>
      <w:r>
        <w:rPr>
          <w:sz w:val="19"/>
          <w:szCs w:val="19"/>
        </w:rPr>
        <w:t xml:space="preserve">Here are six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from February (USD 000). </w:t>
      </w:r>
      <w:r>
        <w:rPr>
          <w:sz w:val="19"/>
          <w:szCs w:val="19"/>
        </w:rPr>
        <w:t xml:space="preserve">Feb 3: Paid a supplier for olives bought on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in January. </w:t>
      </w:r>
      <w:r>
        <w:rPr>
          <w:sz w:val="19"/>
          <w:szCs w:val="19"/>
        </w:rPr>
        <w:t xml:space="preserve">Feb 8: Collected part of the January receivable from GreenBasket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Feb 10: Paid 12 months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rent in advance. </w:t>
      </w:r>
      <w:r>
        <w:rPr>
          <w:sz w:val="19"/>
          <w:szCs w:val="19"/>
        </w:rPr>
        <w:t xml:space="preserve">Feb 12: A Dubai hotel group paid cash in advance for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that Orontes will deliver in March. </w:t>
      </w:r>
      <w:r>
        <w:rPr>
          <w:sz w:val="19"/>
          <w:szCs w:val="19"/>
        </w:rPr>
        <w:t xml:space="preserve">Feb 15: Paid the </w:t>
      </w:r>
      <w:r>
        <w:rPr>
          <w:b/>
          <w:bCs/>
          <w:color w:val="8186EF"/>
          <w:sz w:val="15"/>
          <w:szCs w:val="15"/>
        </w:rPr>
        <w:t xml:space="preserve"> (45) </w:t>
      </w:r>
      <w:r>
        <w:rPr>
          <w:u w:val="single"/>
          <w:sz w:val="19"/>
          <w:szCs w:val="19"/>
        </w:rPr>
        <w:t xml:space="preserve">           </w:t>
      </w:r>
      <w:r>
        <w:rPr>
          <w:sz w:val="19"/>
          <w:szCs w:val="19"/>
        </w:rPr>
        <w:t xml:space="preserve"> </w:t>
      </w:r>
      <w:r>
        <w:rPr>
          <w:sz w:val="19"/>
          <w:szCs w:val="19"/>
        </w:rPr>
        <w:t xml:space="preserve"> declared on January 31. </w:t>
      </w:r>
      <w:r>
        <w:rPr>
          <w:sz w:val="19"/>
          <w:szCs w:val="19"/>
        </w:rPr>
        <w:t xml:space="preserve">Feb 28: </w:t>
      </w:r>
      <w:r>
        <w:rPr>
          <w:b/>
          <w:bCs/>
          <w:color w:val="8186EF"/>
          <w:sz w:val="15"/>
          <w:szCs w:val="15"/>
        </w:rPr>
        <w:t xml:space="preserve"> (46) </w:t>
      </w:r>
      <w:r>
        <w:rPr>
          <w:u w:val="single"/>
          <w:sz w:val="19"/>
          <w:szCs w:val="19"/>
        </w:rPr>
        <w:t xml:space="preserve">           </w:t>
      </w:r>
      <w:r>
        <w:rPr>
          <w:sz w:val="19"/>
          <w:szCs w:val="19"/>
        </w:rPr>
        <w:t xml:space="preserve"> </w:t>
      </w:r>
      <w:r>
        <w:rPr>
          <w:sz w:val="19"/>
          <w:szCs w:val="19"/>
        </w:rPr>
        <w:t xml:space="preserve"> one month of interest on the bank note. </w:t>
      </w:r>
      <w:r>
        <w:rPr>
          <w:sz w:val="19"/>
          <w:szCs w:val="19"/>
        </w:rPr>
        <w:t xml:space="preserve">Orontes has not paid it yet. </w:t>
      </w:r>
      <w:r>
        <w:rPr>
          <w:sz w:val="19"/>
          <w:szCs w:val="19"/>
        </w:rPr>
        <w:t xml:space="preserve">Rows 1 to 3 are done for you. </w:t>
      </w:r>
      <w:r>
        <w:rPr>
          <w:sz w:val="19"/>
          <w:szCs w:val="19"/>
        </w:rPr>
        <w:t xml:space="preserve"/>
      </w:r>
      <w:r>
        <w:rPr>
          <w:b/>
          <w:bCs/>
          <w:color w:val="8186EF"/>
          <w:sz w:val="15"/>
          <w:szCs w:val="15"/>
        </w:rPr>
        <w:t xml:space="preserve"> (47)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w:t>
      </w:r>
      <w:r>
        <w:rPr>
          <w:b/>
          <w:bCs/>
          <w:color w:val="8186EF"/>
          <w:sz w:val="15"/>
          <w:szCs w:val="15"/>
        </w:rPr>
        <w:t xml:space="preserve"> (48) </w:t>
      </w:r>
      <w:r>
        <w:rPr>
          <w:u w:val="single"/>
          <w:sz w:val="19"/>
          <w:szCs w:val="19"/>
        </w:rPr>
        <w:t xml:space="preserve">           </w:t>
      </w:r>
      <w:r>
        <w:rPr>
          <w:sz w:val="19"/>
          <w:szCs w:val="19"/>
        </w:rPr>
        <w:t xml:space="preserve"> </w:t>
      </w:r>
      <w:r>
        <w:rPr>
          <w:sz w:val="19"/>
          <w:szCs w:val="19"/>
        </w:rPr>
        <w:t xml:space="preserve">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Complete   ·   warehouse   ·   pastries   ·   equation   ·   credit   ·   journal   ·   transactions   ·   Supermarkets   ·   dividend   ·   Recorded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pageBreakBefore w:val="true"/>
        <w:spacing w:after="0"/>
      </w:pPr>
      <w:r>
        <w:rPr>
          <w:sz w:val="2"/>
        </w:rPr>
        <w:t xml:space="preserve"> </w:t>
      </w:r>
    </w:p>
    <w:p>
      <w:pPr>
        <w:spacing w:before="44" w:after="14"/>
      </w:pPr>
      <w:r>
        <w:rPr>
          <w:b/>
          <w:bCs/>
          <w:color w:val="353A7C"/>
          <w:sz w:val="18"/>
          <w:szCs w:val="18"/>
        </w:rPr>
        <w:t xml:space="preserve">Summary 6</w:t>
      </w:r>
      <w:r>
        <w:rPr>
          <w:color w:val="6B7280"/>
          <w:sz w:val="16"/>
          <w:szCs w:val="16"/>
        </w:rPr>
        <w:t xml:space="preserve">      gaps 49–54</w:t>
      </w:r>
    </w:p>
    <w:p>
      <w:pPr>
        <w:spacing w:before="20" w:after="20" w:line="360" w:lineRule="auto"/>
        <w:ind w:left="200"/>
      </w:pPr>
      <w:r>
        <w:rPr>
          <w:sz w:val="19"/>
          <w:szCs w:val="19"/>
        </w:rPr>
        <w:t xml:space="preserve">X is debited (or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is to increase... </w:t>
      </w:r>
      <w:r>
        <w:rPr>
          <w:sz w:val="19"/>
          <w:szCs w:val="19"/>
        </w:rPr>
        <w:t xml:space="preserve">In English, always say </w:t>
      </w:r>
      <w:r>
        <w:rPr>
          <w:b/>
          <w:bCs/>
          <w:color w:val="8186EF"/>
          <w:sz w:val="15"/>
          <w:szCs w:val="15"/>
        </w:rPr>
        <w:t xml:space="preserve"> (51) </w:t>
      </w:r>
      <w:r>
        <w:rPr>
          <w:u w:val="single"/>
          <w:sz w:val="19"/>
          <w:szCs w:val="19"/>
        </w:rPr>
        <w:t xml:space="preserve">              </w:t>
      </w:r>
      <w:r>
        <w:rPr>
          <w:sz w:val="19"/>
          <w:szCs w:val="19"/>
        </w:rPr>
        <w:t xml:space="preserve"> </w:t>
      </w:r>
      <w:r>
        <w:rPr>
          <w:sz w:val="19"/>
          <w:szCs w:val="19"/>
        </w:rPr>
        <w:t xml:space="preserve">. </w:t>
      </w:r>
      <w:r>
        <w:rPr>
          <w:sz w:val="19"/>
          <w:szCs w:val="19"/>
        </w:rPr>
        <w:t xml:space="preserve">An allowance (for example, the allowance for credit losses) reduces an </w:t>
      </w:r>
      <w:r>
        <w:rPr>
          <w:b/>
          <w:bCs/>
          <w:color w:val="8186EF"/>
          <w:sz w:val="15"/>
          <w:szCs w:val="15"/>
        </w:rPr>
        <w:t xml:space="preserve"> (52) </w:t>
      </w:r>
      <w:r>
        <w:rPr>
          <w:u w:val="single"/>
          <w:sz w:val="19"/>
          <w:szCs w:val="19"/>
        </w:rPr>
        <w:t xml:space="preserve">           </w:t>
      </w:r>
      <w:r>
        <w:rPr>
          <w:sz w:val="19"/>
          <w:szCs w:val="19"/>
        </w:rPr>
        <w:t xml:space="preserve"> </w:t>
      </w:r>
      <w:r>
        <w:rPr>
          <w:sz w:val="19"/>
          <w:szCs w:val="19"/>
        </w:rPr>
        <w:t xml:space="preserve">. </w:t>
      </w:r>
      <w:r>
        <w:rPr>
          <w:sz w:val="19"/>
          <w:szCs w:val="19"/>
        </w:rPr>
        <w:t xml:space="preserve">A provision is a </w:t>
      </w:r>
      <w:r>
        <w:rPr>
          <w:b/>
          <w:bCs/>
          <w:color w:val="8186EF"/>
          <w:sz w:val="15"/>
          <w:szCs w:val="15"/>
        </w:rPr>
        <w:t xml:space="preserve"> (53) </w:t>
      </w:r>
      <w:r>
        <w:rPr>
          <w:u w:val="single"/>
          <w:sz w:val="19"/>
          <w:szCs w:val="19"/>
        </w:rPr>
        <w:t xml:space="preserve">           </w:t>
      </w:r>
      <w:r>
        <w:rPr>
          <w:sz w:val="19"/>
          <w:szCs w:val="19"/>
        </w:rPr>
        <w:t xml:space="preserve"> </w:t>
      </w:r>
      <w:r>
        <w:rPr>
          <w:sz w:val="19"/>
          <w:szCs w:val="19"/>
        </w:rPr>
        <w:t xml:space="preserve">. </w:t>
      </w:r>
      <w:r>
        <w:rPr>
          <w:sz w:val="19"/>
          <w:szCs w:val="19"/>
        </w:rPr>
        <w:t xml:space="preserve">Never say </w:t>
      </w:r>
      <w:r>
        <w:rPr>
          <w:b/>
          <w:bCs/>
          <w:color w:val="8186EF"/>
          <w:sz w:val="15"/>
          <w:szCs w:val="15"/>
        </w:rPr>
        <w:t xml:space="preserve"> (54) </w:t>
      </w:r>
      <w:r>
        <w:rPr>
          <w:u w:val="single"/>
          <w:sz w:val="19"/>
          <w:szCs w:val="19"/>
        </w:rPr>
        <w:t xml:space="preserve">           </w:t>
      </w:r>
      <w:r>
        <w:rPr>
          <w:sz w:val="19"/>
          <w:szCs w:val="19"/>
        </w:rPr>
        <w:t xml:space="preserve"> </w:t>
      </w:r>
      <w:r>
        <w:rPr>
          <w:sz w:val="19"/>
          <w:szCs w:val="19"/>
        </w:rPr>
        <w:t xml:space="preserve"> for bad debts in a U.S. GAAP answer. </w:t>
      </w:r>
      <w:r>
        <w:rPr>
          <w:sz w:val="19"/>
          <w:szCs w:val="19"/>
        </w:rPr>
        <w:t xml:space="preserve">That is the bank's view. </w:t>
      </w:r>
      <w:r>
        <w:rPr>
          <w:sz w:val="19"/>
          <w:szCs w:val="19"/>
        </w:rPr>
        <w:t xml:space="preserve">Do not use banking habits to guess the accounting side.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   belongs   ·   reserve   ·   credited   ·   liability   ·   depreciation   ·   asset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 value   ·   normal balance   ·   double-entry system   ·   debit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expanded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Supermarkets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pastries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Jan 5</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Borrowed</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journal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Jan 31</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Wages expense</w:t>
            </w:r>
          </w:p>
        </w:tc>
        <w:tc>
          <w:tcPr>
            <w:tcW w:type="pct" w:w="2500"/>
            <w:tcMar>
              <w:top w:type="dxa" w:w="20"/>
              <w:left w:type="dxa" w:w="80"/>
              <w:bottom w:type="dxa" w:w="20"/>
              <w:right w:type="dxa" w:w="80"/>
            </w:tcMar>
          </w:tcPr>
          <w:p>
            <w:pPr>
              <w:spacing w:before="12" w:after="12"/>
            </w:pPr>
            <w:r>
              <w:rPr>
                <w:b/>
                <w:bCs/>
                <w:color w:val="8186EF"/>
                <w:sz w:val="16"/>
                <w:szCs w:val="16"/>
              </w:rPr>
              <w:t xml:space="preserve">54  </w:t>
            </w:r>
            <w:r>
              <w:rPr>
                <w:sz w:val="16"/>
                <w:szCs w:val="16"/>
              </w:rPr>
              <w:t xml:space="preserve">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55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56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points</w:t>
            </w:r>
          </w:p>
        </w:tc>
        <w:tc>
          <w:tcPr>
            <w:tcW w:type="pct" w:w="2500"/>
            <w:tcMar>
              <w:top w:type="dxa" w:w="20"/>
              <w:left w:type="dxa" w:w="80"/>
              <w:bottom w:type="dxa" w:w="20"/>
              <w:right w:type="dxa" w:w="80"/>
            </w:tcMar>
          </w:tcPr>
          <w:p>
            <w:pPr>
              <w:spacing w:before="12" w:after="12"/>
            </w:pPr>
            <w:r>
              <w:rPr>
                <w:b/>
                <w:bCs/>
                <w:color w:val="8186EF"/>
                <w:sz w:val="16"/>
                <w:szCs w:val="16"/>
              </w:rPr>
              <w:t xml:space="preserve">57  </w:t>
            </w:r>
            <w:r>
              <w:rPr>
                <w:sz w:val="16"/>
                <w:szCs w:val="16"/>
              </w:rPr>
              <w:t xml:space="preserve">normal 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owners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The expanded equation at the bottom is a useful memory aid.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Feb 3: Paid a supplier for olives bought on credit in January. Feb 8: Collected part of the January receivable from GreenBasket Supermarkets. Feb 10: Paid 12 months of warehouse rent in advance. Feb 12: A Dubai hotel group paid cash in advance for pastries that Orontes will deliver in March. Feb 15: Paid the dividend declared on January 31. Feb 28: Recorded one month of interest on the bank note. Orontes has not paid it yet. Rows 1 to 3 are done for you.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 In English, always say depreciation. An allowance (for example, the allowance for credit losses) reduces an asset. A provision is a liability. Never say reserve for bad debts in a U.S. GAAP answer. That is the bank's view. Do not use banking habits to guess the accounting side.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should a company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records expenses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20, 2025, Orontes ships olive oil to GreenBasket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sends an invoice for 90. </w:t>
      </w:r>
      <w:r>
        <w:rPr>
          <w:sz w:val="19"/>
          <w:szCs w:val="19"/>
        </w:rPr>
        <w:t xml:space="preserve">The goods cost Orontes 54. </w:t>
      </w:r>
      <w:r>
        <w:rPr>
          <w:sz w:val="19"/>
          <w:szCs w:val="19"/>
        </w:rPr>
        <w:t xml:space="preserve">GreenBasket pays on January 15, 2026. </w:t>
      </w:r>
      <w:r>
        <w:rPr>
          <w:sz w:val="19"/>
          <w:szCs w:val="19"/>
        </w:rPr>
        <w:t xml:space="preserve">Under the accrual basis, Orontes records the revenue and the cost of goods sold in fiscal 2025, the year it delivered the goods. </w:t>
      </w:r>
      <w:r>
        <w:rPr>
          <w:sz w:val="19"/>
          <w:szCs w:val="19"/>
        </w:rPr>
        <w:t xml:space="preserve">The gross profit of 36 belongs to 2025.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incurs   ·   delivers   ·   simple   ·   services   ·   acceptable   ·   December   ·   decide   ·   belongs   ·   revenues   ·   received   ·   statements   ·   Supermarkets   ·   timing</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cash receipt only changes one asset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into another asset (cash). </w:t>
      </w:r>
      <w:r>
        <w:rPr>
          <w:sz w:val="19"/>
          <w:szCs w:val="19"/>
        </w:rPr>
        <w:t xml:space="preserve">Under the cash basis, the revenue would fall in 2026, which is the wrong period. </w:t>
      </w:r>
      <w:r>
        <w:rPr>
          <w:sz w:val="19"/>
          <w:szCs w:val="19"/>
        </w:rPr>
        <w:t xml:space="preserve">The matching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advertising   ·   bottling   ·   transactions   ·   classic   ·   T-account   ·   principle   ·   receivable   ·   Depreciation   ·   incurred   ·   Systematic   ·   directly   ·   January   ·   adjustment</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for credit losses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Two of these names are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advertising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30–31</w:t>
      </w:r>
    </w:p>
    <w:p>
      <w:pPr>
        <w:spacing w:before="20" w:after="20" w:line="360" w:lineRule="auto"/>
        <w:ind w:left="200"/>
      </w:pPr>
      <w:r>
        <w:rPr>
          <w:sz w:val="19"/>
          <w:szCs w:val="19"/>
        </w:rPr>
        <w:t xml:space="preserve">Cash received in advance is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expense   ·   liability</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prepaid expense   ·   contract liability (unearned revenue)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Systematic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contract liability (unearned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classic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On December 20, 2025, Orontes ships olive oil to GreenBasket Supermarkets and sends an invoice for 90. The goods cost Orontes 54. GreenBasket pays on January 15, 2026. Under the accrual basis, Orontes records the revenue and the cost of goods sold in fiscal 2025, the year it delivered the goods. The gross profit of 36 belongs to 2025.</w:t>
      </w:r>
    </w:p>
    <w:p>
      <w:pPr>
        <w:spacing w:before="20" w:after="20"/>
        <w:ind w:left="240" w:hanging="240"/>
      </w:pPr>
      <w:r>
        <w:rPr>
          <w:b/>
          <w:bCs/>
          <w:color w:val="353A7C"/>
          <w:sz w:val="15"/>
          <w:szCs w:val="15"/>
        </w:rPr>
        <w:t xml:space="preserve">Summary 2   </w:t>
      </w:r>
      <w:r>
        <w:rPr>
          <w:color w:val="6B7280"/>
          <w:sz w:val="15"/>
          <w:szCs w:val="15"/>
        </w:rPr>
        <w:t xml:space="preserve">In January, the cash receipt only changes one asset (the receivable) into another asset (cash). Under the cash basis, the revenue would fall in 2026, which is the wrong period. 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 the United States, the accounting rules are called 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accepted accounting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generally   ·   recognizes   ·   changes   ·   oversees   ·   nongovernmental   ·   report   ·   principles   ·   Securities   ·   writes   ·   organization   ·   authoritative   ·   revenue   ·   organized</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The PCAOB 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United States, many countries use IFRS (International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Reporting Standards).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conceptual framework: the basic ideas behind the standards, such as the users, the elements and the qualities of useful information.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Emirates   ·   auditing   ·   Financial   ·   Outside   ·   learned   ·   Middle   ·   However   ·   Foundation   ·   differences   ·   Contrast   ·   concepts   ·   IASB</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primary users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30–31</w:t>
      </w:r>
    </w:p>
    <w:p>
      <w:pPr>
        <w:spacing w:before="20" w:after="20" w:line="360" w:lineRule="auto"/>
        <w:ind w:left="200"/>
      </w:pPr>
      <w:r>
        <w:rPr>
          <w:sz w:val="19"/>
          <w:szCs w:val="19"/>
        </w:rPr>
        <w:t xml:space="preserve">FASB: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generally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Middle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Emirates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SEC</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double-entry system</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outflow of 40,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outflow of 1,200 and a financing inflow of 2,300.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net income and the change in cash are very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balance and checks that total debits equal total credits.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transactions   ·   accrual   ·   account   ·   statements   ·   Notice   ·   dividend   ·   investing   ·   explains   ·   describes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92"/>
        <w:gridCol w:w="26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9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2"/>
            <w:tcMar>
              <w:top w:type="dxa" w:w="50"/>
              <w:left w:type="dxa" w:w="110"/>
              <w:bottom w:type="dxa" w:w="50"/>
              <w:right w:type="dxa" w:w="110"/>
            </w:tcMar>
          </w:tcPr>
          <w:p>
            <w:pPr>
              <w:spacing w:before="28" w:after="28"/>
            </w:pPr>
            <w:r>
              <w:rPr>
                <w:sz w:val="15"/>
                <w:szCs w:val="15"/>
              </w:rPr>
              <w:t xml:space="preserve">1,050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402"/>
            <w:shd w:fill="FBFAF6" w:val="clear"/>
            <w:tcMar>
              <w:top w:type="dxa" w:w="50"/>
              <w:left w:type="dxa" w:w="110"/>
              <w:bottom w:type="dxa" w:w="50"/>
              <w:right w:type="dxa" w:w="110"/>
            </w:tcMar>
          </w:tcPr>
          <w:p>
            <w:pPr>
              <w:spacing w:before="28" w:after="28"/>
            </w:pPr>
            <w:r>
              <w:rPr>
                <w:sz w:val="15"/>
                <w:szCs w:val="15"/>
              </w:rPr>
              <w:t xml:space="preserve">300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2"/>
            <w:shd w:fill="FBFAF6" w:val="clear"/>
            <w:tcMar>
              <w:top w:type="dxa" w:w="50"/>
              <w:left w:type="dxa" w:w="110"/>
              <w:bottom w:type="dxa" w:w="50"/>
              <w:right w:type="dxa" w:w="110"/>
            </w:tcMar>
          </w:tcPr>
          <w:p>
            <w:pPr>
              <w:spacing w:before="28" w:after="28"/>
            </w:pPr>
            <w:r>
              <w:rPr>
                <w:sz w:val="15"/>
                <w:szCs w:val="15"/>
              </w:rPr>
              <w:t xml:space="preserve">420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2"/>
            <w:tcMar>
              <w:top w:type="dxa" w:w="50"/>
              <w:left w:type="dxa" w:w="110"/>
              <w:bottom w:type="dxa" w:w="50"/>
              <w:right w:type="dxa" w:w="110"/>
            </w:tcMar>
          </w:tcPr>
          <w:p>
            <w:pPr>
              <w:spacing w:before="28" w:after="28"/>
            </w:pPr>
            <w:r>
              <w:rPr>
                <w:sz w:val="15"/>
                <w:szCs w:val="15"/>
              </w:rPr>
              <w:t xml:space="preserve">24</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2"/>
            <w:shd w:fill="FBFAF6" w:val="clear"/>
            <w:tcMar>
              <w:top w:type="dxa" w:w="50"/>
              <w:left w:type="dxa" w:w="110"/>
              <w:bottom w:type="dxa" w:w="50"/>
              <w:right w:type="dxa" w:w="110"/>
            </w:tcMar>
          </w:tcPr>
          <w:p>
            <w:pPr>
              <w:spacing w:before="28" w:after="28"/>
            </w:pPr>
            <w:r>
              <w:rPr>
                <w:sz w:val="15"/>
                <w:szCs w:val="15"/>
              </w:rPr>
              <w:t xml:space="preserve">936</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2"/>
            <w:tcMar>
              <w:top w:type="dxa" w:w="50"/>
              <w:left w:type="dxa" w:w="110"/>
              <w:bottom w:type="dxa" w:w="50"/>
              <w:right w:type="dxa" w:w="110"/>
            </w:tcMar>
          </w:tcPr>
          <w:p>
            <w:pPr>
              <w:spacing w:before="28" w:after="28"/>
            </w:pPr>
            <w:r>
              <w:rPr>
                <w:sz w:val="15"/>
                <w:szCs w:val="15"/>
              </w:rPr>
              <w:t xml:space="preserve">4,200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2"/>
            <w:tcMar>
              <w:top w:type="dxa" w:w="50"/>
              <w:left w:type="dxa" w:w="110"/>
              <w:bottom w:type="dxa" w:w="50"/>
              <w:right w:type="dxa" w:w="110"/>
            </w:tcMar>
          </w:tcPr>
          <w:p>
            <w:pPr>
              <w:spacing w:before="28" w:after="28"/>
            </w:pPr>
            <w:r>
              <w:rPr>
                <w:sz w:val="15"/>
                <w:szCs w:val="15"/>
              </w:rPr>
              <w:t xml:space="preserve">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2"/>
            <w:tcMar>
              <w:top w:type="dxa" w:w="50"/>
              <w:left w:type="dxa" w:w="110"/>
              <w:bottom w:type="dxa" w:w="50"/>
              <w:right w:type="dxa" w:w="110"/>
            </w:tcMar>
          </w:tcPr>
          <w:p>
            <w:pPr>
              <w:spacing w:before="28" w:after="28"/>
            </w:pPr>
            <w:r>
              <w:rPr>
                <w:sz w:val="15"/>
                <w:szCs w:val="15"/>
              </w:rPr>
              <w:t xml:space="preserve">1,860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520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2"/>
            <w:tcMar>
              <w:top w:type="dxa" w:w="50"/>
              <w:left w:type="dxa" w:w="110"/>
              <w:bottom w:type="dxa" w:w="50"/>
              <w:right w:type="dxa" w:w="110"/>
            </w:tcMar>
          </w:tcPr>
          <w:p>
            <w:pPr>
              <w:spacing w:before="28" w:after="28"/>
            </w:pPr>
            <w:r>
              <w:rPr>
                <w:sz w:val="15"/>
                <w:szCs w:val="15"/>
              </w:rPr>
              <w:t xml:space="preserve">300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90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2"/>
            <w:tcMar>
              <w:top w:type="dxa" w:w="50"/>
              <w:left w:type="dxa" w:w="110"/>
              <w:bottom w:type="dxa" w:w="50"/>
              <w:right w:type="dxa" w:w="110"/>
            </w:tcMar>
          </w:tcPr>
          <w:p>
            <w:pPr>
              <w:spacing w:before="28" w:after="28"/>
            </w:pPr>
            <w:r>
              <w:rPr>
                <w:sz w:val="15"/>
                <w:szCs w:val="15"/>
              </w:rPr>
              <w:t xml:space="preserve">9,750</w:t>
            </w:r>
          </w:p>
        </w:tc>
        <w:tc>
          <w:tcPr>
            <w:tcW w:type="pct" w:w="1398"/>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statement of financial position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pageBreakBefore w:val="true"/>
        <w:spacing w:after="0"/>
      </w:pPr>
      <w:r>
        <w:rPr>
          <w:sz w:val="2"/>
        </w:rPr>
        <w:t xml:space="preserve"> </w:t>
      </w:r>
    </w:p>
    <w:p>
      <w:pPr>
        <w:spacing w:before="44" w:after="10"/>
      </w:pPr>
      <w:r>
        <w:rPr>
          <w:b/>
          <w:bCs/>
          <w:color w:val="353A7C"/>
          <w:sz w:val="18"/>
          <w:szCs w:val="18"/>
        </w:rPr>
        <w:t xml:space="preserve">Net income, and how it is reached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disclose</w:t>
            </w:r>
          </w:p>
        </w:tc>
      </w:tr>
    </w:tbl>
    <w:p/>
    <w:p>
      <w:pPr>
        <w:spacing w:before="44" w:after="14"/>
      </w:pPr>
      <w:r>
        <w:rPr>
          <w:b/>
          <w:bCs/>
          <w:color w:val="353A7C"/>
          <w:sz w:val="18"/>
          <w:szCs w:val="18"/>
        </w:rPr>
        <w:t xml:space="preserve">Summary 2</w:t>
      </w:r>
      <w:r>
        <w:rPr>
          <w:color w:val="6B7280"/>
          <w:sz w:val="16"/>
          <w:szCs w:val="16"/>
        </w:rPr>
        <w:t xml:space="preserve">      gaps 24–25</w:t>
      </w:r>
    </w:p>
    <w:p>
      <w:pPr>
        <w:spacing w:before="20" w:after="20" w:line="360" w:lineRule="auto"/>
        <w:ind w:left="200"/>
      </w:pPr>
      <w:r>
        <w:rPr>
          <w:sz w:val="19"/>
          <w:szCs w:val="19"/>
        </w:rPr>
        <w:t xml:space="preserve">MOST likely or BEST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describes   ·   Choose</w:t>
            </w:r>
          </w:p>
        </w:tc>
      </w:tr>
    </w:tbl>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   ·   6   ·   dividend   ·   4</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tcMar>
              <w:top w:type="dxa" w:w="50"/>
              <w:left w:type="dxa" w:w="110"/>
              <w:bottom w:type="dxa" w:w="50"/>
              <w:right w:type="dxa" w:w="110"/>
            </w:tcMar>
          </w:tcPr>
          <w:p>
            <w:pPr>
              <w:spacing w:before="28" w:after="28"/>
            </w:pPr>
            <w:r>
              <w:rPr>
                <w:sz w:val="15"/>
                <w:szCs w:val="15"/>
              </w:rPr>
              <w:t xml:space="preserve">Revenue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Expense</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Asset   ·   Equity   ·   Debit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matching principle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4</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right of setoff   ·   Other presentation matters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one point in time. </w:t>
      </w:r>
      <w:r>
        <w:rPr>
          <w:sz w:val="19"/>
          <w:szCs w:val="19"/>
        </w:rPr>
        <w:t xml:space="preserve">It answers three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investors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Can the company pay its bills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happens? This is financial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current from noncurrent assets and current from noncurrent liabilities, so users can see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instead, without a current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All the amounts come from the same records as the earlier chapters on receivables, inventory, investments and long-lived assets. </w:t>
      </w:r>
      <w:r>
        <w:rPr>
          <w:sz w:val="19"/>
          <w:szCs w:val="19"/>
        </w:rPr>
        <w:t xml:space="preserve">For example, the equity-method investments include Jordan Glass Co. from, and goodwill fell after the impairments.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unexpected   ·   questions   ·   company's   ·   solvency   ·   lenders   ·   equity   ·   current   ·   classified   ·   subtotal   ·   separates   ·   coming   ·   flexibility   ·   short-term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200"/>
            <w:tcMar>
              <w:top w:type="dxa" w:w="50"/>
              <w:left w:type="dxa" w:w="110"/>
              <w:bottom w:type="dxa" w:w="50"/>
              <w:right w:type="dxa" w:w="110"/>
            </w:tcMar>
          </w:tcPr>
          <w:p>
            <w:pPr>
              <w:spacing w:before="28" w:after="28"/>
            </w:pPr>
            <w:r>
              <w:rPr>
                <w:sz w:val="15"/>
                <w:szCs w:val="15"/>
              </w:rPr>
              <w:t xml:space="preserve">ASSETS</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w:t>
            </w:r>
          </w:p>
        </w:tc>
        <w:tc>
          <w:tcPr>
            <w:tcW w:type="pct" w:w="1400"/>
            <w:tcMar>
              <w:top w:type="dxa" w:w="50"/>
              <w:left w:type="dxa" w:w="110"/>
              <w:bottom w:type="dxa" w:w="50"/>
              <w:right w:type="dxa" w:w="110"/>
            </w:tcMar>
          </w:tcPr>
          <w:p>
            <w:pPr>
              <w:spacing w:before="28" w:after="28"/>
            </w:pPr>
            <w:r>
              <w:rPr>
                <w:sz w:val="15"/>
                <w:szCs w:val="15"/>
              </w:rPr>
              <w:t xml:space="preserve">7,302,100</w:t>
            </w:r>
          </w:p>
        </w:tc>
        <w:tc>
          <w:tcPr>
            <w:tcW w:type="pct" w:w="1400"/>
            <w:tcMar>
              <w:top w:type="dxa" w:w="50"/>
              <w:left w:type="dxa" w:w="110"/>
              <w:bottom w:type="dxa" w:w="50"/>
              <w:right w:type="dxa" w:w="110"/>
            </w:tcMar>
          </w:tcPr>
          <w:p>
            <w:pPr>
              <w:spacing w:before="28" w:after="28"/>
            </w:pPr>
            <w:r>
              <w:rPr>
                <w:sz w:val="15"/>
                <w:szCs w:val="15"/>
              </w:rPr>
              <w:t xml:space="preserve">2,100,000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42,000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200"/>
            <w:tcMar>
              <w:top w:type="dxa" w:w="50"/>
              <w:left w:type="dxa" w:w="110"/>
              <w:bottom w:type="dxa" w:w="50"/>
              <w:right w:type="dxa" w:w="110"/>
            </w:tcMar>
          </w:tcPr>
          <w:p>
            <w:pPr>
              <w:spacing w:before="28" w:after="28"/>
            </w:pPr>
            <w:r>
              <w:rPr>
                <w:sz w:val="15"/>
                <w:szCs w:val="15"/>
              </w:rPr>
              <w:t xml:space="preserve">Accounts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net of allowance (2025: 156,000; 2024: 140,000)</w:t>
            </w:r>
          </w:p>
        </w:tc>
        <w:tc>
          <w:tcPr>
            <w:tcW w:type="pct" w:w="1400"/>
            <w:tcMar>
              <w:top w:type="dxa" w:w="50"/>
              <w:left w:type="dxa" w:w="110"/>
              <w:bottom w:type="dxa" w:w="50"/>
              <w:right w:type="dxa" w:w="110"/>
            </w:tcMar>
          </w:tcPr>
          <w:p>
            <w:pPr>
              <w:spacing w:before="28" w:after="28"/>
            </w:pPr>
            <w:r>
              <w:rPr>
                <w:sz w:val="15"/>
                <w:szCs w:val="15"/>
              </w:rPr>
              <w:t xml:space="preserve">4,144,000</w:t>
            </w:r>
          </w:p>
        </w:tc>
        <w:tc>
          <w:tcPr>
            <w:tcW w:type="pct" w:w="1400"/>
            <w:tcMar>
              <w:top w:type="dxa" w:w="50"/>
              <w:left w:type="dxa" w:w="110"/>
              <w:bottom w:type="dxa" w:w="50"/>
              <w:right w:type="dxa" w:w="110"/>
            </w:tcMar>
          </w:tcPr>
          <w:p>
            <w:pPr>
              <w:spacing w:before="28" w:after="28"/>
            </w:pPr>
            <w:r>
              <w:rPr>
                <w:sz w:val="15"/>
                <w:szCs w:val="15"/>
              </w:rPr>
              <w:t xml:space="preserve">3,760,000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1400"/>
            <w:shd w:fill="FBFAF6" w:val="clear"/>
            <w:tcMar>
              <w:top w:type="dxa" w:w="50"/>
              <w:left w:type="dxa" w:w="110"/>
              <w:bottom w:type="dxa" w:w="50"/>
              <w:right w:type="dxa" w:w="110"/>
            </w:tcMar>
          </w:tcPr>
          <w:p>
            <w:pPr>
              <w:spacing w:before="28" w:after="28"/>
            </w:pPr>
            <w:r>
              <w:rPr>
                <w:sz w:val="15"/>
                <w:szCs w:val="15"/>
              </w:rPr>
              <w:t xml:space="preserve">2,450,000</w:t>
            </w:r>
          </w:p>
        </w:tc>
        <w:tc>
          <w:tcPr>
            <w:tcW w:type="pct" w:w="1400"/>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204,000</w:t>
            </w:r>
          </w:p>
        </w:tc>
        <w:tc>
          <w:tcPr>
            <w:tcW w:type="pct" w:w="1400"/>
            <w:tcMar>
              <w:top w:type="dxa" w:w="50"/>
              <w:left w:type="dxa" w:w="110"/>
              <w:bottom w:type="dxa" w:w="50"/>
              <w:right w:type="dxa" w:w="110"/>
            </w:tcMar>
          </w:tcPr>
          <w:p>
            <w:pPr>
              <w:spacing w:before="28" w:after="28"/>
            </w:pPr>
            <w:r>
              <w:rPr>
                <w:sz w:val="15"/>
                <w:szCs w:val="15"/>
              </w:rPr>
              <w:t xml:space="preserve">180,000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Assets held for sale</w:t>
            </w:r>
          </w:p>
        </w:tc>
        <w:tc>
          <w:tcPr>
            <w:tcW w:type="pct" w:w="1400"/>
            <w:shd w:fill="FBFAF6" w:val="clear"/>
            <w:tcMar>
              <w:top w:type="dxa" w:w="50"/>
              <w:left w:type="dxa" w:w="110"/>
              <w:bottom w:type="dxa" w:w="50"/>
              <w:right w:type="dxa" w:w="110"/>
            </w:tcMar>
          </w:tcPr>
          <w:p>
            <w:pPr>
              <w:spacing w:before="28" w:after="28"/>
            </w:pPr>
            <w:r>
              <w:rPr>
                <w:sz w:val="15"/>
                <w:szCs w:val="15"/>
              </w:rPr>
              <w:t xml:space="preserve">46,000</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current assets</w:t>
            </w:r>
          </w:p>
        </w:tc>
        <w:tc>
          <w:tcPr>
            <w:tcW w:type="pct" w:w="1400"/>
            <w:tcMar>
              <w:top w:type="dxa" w:w="50"/>
              <w:left w:type="dxa" w:w="110"/>
              <w:bottom w:type="dxa" w:w="50"/>
              <w:right w:type="dxa" w:w="110"/>
            </w:tcMar>
          </w:tcPr>
          <w:p>
            <w:pPr>
              <w:spacing w:before="28" w:after="28"/>
            </w:pPr>
            <w:r>
              <w:rPr>
                <w:sz w:val="15"/>
                <w:szCs w:val="15"/>
              </w:rPr>
              <w:t xml:space="preserve">14,188,100</w:t>
            </w:r>
          </w:p>
        </w:tc>
        <w:tc>
          <w:tcPr>
            <w:tcW w:type="pct" w:w="1400"/>
            <w:tcMar>
              <w:top w:type="dxa" w:w="50"/>
              <w:left w:type="dxa" w:w="110"/>
              <w:bottom w:type="dxa" w:w="50"/>
              <w:right w:type="dxa" w:w="110"/>
            </w:tcMar>
          </w:tcPr>
          <w:p>
            <w:pPr>
              <w:spacing w:before="28" w:after="28"/>
            </w:pPr>
            <w:r>
              <w:rPr>
                <w:sz w:val="15"/>
                <w:szCs w:val="15"/>
              </w:rPr>
              <w:t xml:space="preserve">8,380,000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Debt securities (held-to-maturity and available-for-sale)</w:t>
            </w:r>
          </w:p>
        </w:tc>
        <w:tc>
          <w:tcPr>
            <w:tcW w:type="pct" w:w="1400"/>
            <w:tcMar>
              <w:top w:type="dxa" w:w="50"/>
              <w:left w:type="dxa" w:w="110"/>
              <w:bottom w:type="dxa" w:w="50"/>
              <w:right w:type="dxa" w:w="110"/>
            </w:tcMar>
          </w:tcPr>
          <w:p>
            <w:pPr>
              <w:spacing w:before="28" w:after="28"/>
            </w:pPr>
            <w:r>
              <w:rPr>
                <w:sz w:val="15"/>
                <w:szCs w:val="15"/>
              </w:rPr>
              <w:t xml:space="preserve">88,500</w:t>
            </w:r>
          </w:p>
        </w:tc>
        <w:tc>
          <w:tcPr>
            <w:tcW w:type="pct" w:w="1400"/>
            <w:tcMar>
              <w:top w:type="dxa" w:w="50"/>
              <w:left w:type="dxa" w:w="110"/>
              <w:bottom w:type="dxa" w:w="50"/>
              <w:right w:type="dxa" w:w="110"/>
            </w:tcMar>
          </w:tcPr>
          <w:p>
            <w:pPr>
              <w:spacing w:before="28" w:after="28"/>
            </w:pPr>
            <w:r>
              <w:rPr>
                <w:sz w:val="15"/>
                <w:szCs w:val="15"/>
              </w:rPr>
              <w:t xml:space="preserve">90,000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27,000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200"/>
            <w:tcMar>
              <w:top w:type="dxa" w:w="50"/>
              <w:left w:type="dxa" w:w="110"/>
              <w:bottom w:type="dxa" w:w="50"/>
              <w:right w:type="dxa" w:w="110"/>
            </w:tcMar>
          </w:tcPr>
          <w:p>
            <w:pPr>
              <w:spacing w:before="28" w:after="28"/>
            </w:pPr>
            <w:r>
              <w:rPr>
                <w:sz w:val="15"/>
                <w:szCs w:val="15"/>
              </w:rPr>
              <w:t xml:space="preserve">Equity-method investments</w:t>
            </w:r>
          </w:p>
        </w:tc>
        <w:tc>
          <w:tcPr>
            <w:tcW w:type="pct" w:w="1400"/>
            <w:tcMar>
              <w:top w:type="dxa" w:w="50"/>
              <w:left w:type="dxa" w:w="110"/>
              <w:bottom w:type="dxa" w:w="50"/>
              <w:right w:type="dxa" w:w="110"/>
            </w:tcMar>
          </w:tcPr>
          <w:p>
            <w:pPr>
              <w:spacing w:before="28" w:after="28"/>
            </w:pPr>
            <w:r>
              <w:rPr>
                <w:sz w:val="15"/>
                <w:szCs w:val="15"/>
              </w:rPr>
              <w:t xml:space="preserve">1,807,000</w:t>
            </w:r>
          </w:p>
        </w:tc>
        <w:tc>
          <w:tcPr>
            <w:tcW w:type="pct" w:w="1400"/>
            <w:tcMar>
              <w:top w:type="dxa" w:w="50"/>
              <w:left w:type="dxa" w:w="110"/>
              <w:bottom w:type="dxa" w:w="50"/>
              <w:right w:type="dxa" w:w="110"/>
            </w:tcMar>
          </w:tcPr>
          <w:p>
            <w:pPr>
              <w:spacing w:before="28" w:after="28"/>
            </w:pPr>
            <w:r>
              <w:rPr>
                <w:sz w:val="15"/>
                <w:szCs w:val="15"/>
              </w:rPr>
              <w:t xml:space="preserve">500,000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Property, plant and equipment, net of accumulated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(2025: 11,988,000; 2024: 8,000,000)</w:t>
            </w:r>
          </w:p>
        </w:tc>
        <w:tc>
          <w:tcPr>
            <w:tcW w:type="pct" w:w="1400"/>
            <w:shd w:fill="FBFAF6" w:val="clear"/>
            <w:tcMar>
              <w:top w:type="dxa" w:w="50"/>
              <w:left w:type="dxa" w:w="110"/>
              <w:bottom w:type="dxa" w:w="50"/>
              <w:right w:type="dxa" w:w="110"/>
            </w:tcMar>
          </w:tcPr>
          <w:p>
            <w:pPr>
              <w:spacing w:before="28" w:after="28"/>
            </w:pPr>
            <w:r>
              <w:rPr>
                <w:sz w:val="15"/>
                <w:szCs w:val="15"/>
              </w:rPr>
              <w:t xml:space="preserve">14,802,000</w:t>
            </w:r>
          </w:p>
        </w:tc>
        <w:tc>
          <w:tcPr>
            <w:tcW w:type="pct" w:w="1400"/>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0"/>
            <w:tcMar>
              <w:top w:type="dxa" w:w="50"/>
              <w:left w:type="dxa" w:w="110"/>
              <w:bottom w:type="dxa" w:w="50"/>
              <w:right w:type="dxa" w:w="110"/>
            </w:tcMar>
          </w:tcPr>
          <w:p>
            <w:pPr>
              <w:spacing w:before="28" w:after="28"/>
            </w:pPr>
            <w:r>
              <w:rPr>
                <w:sz w:val="15"/>
                <w:szCs w:val="15"/>
              </w:rPr>
              <w:t xml:space="preserve">260,000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Goodwill</w:t>
            </w:r>
          </w:p>
        </w:tc>
        <w:tc>
          <w:tcPr>
            <w:tcW w:type="pct" w:w="1400"/>
            <w:shd w:fill="FBFAF6" w:val="clear"/>
            <w:tcMar>
              <w:top w:type="dxa" w:w="50"/>
              <w:left w:type="dxa" w:w="110"/>
              <w:bottom w:type="dxa" w:w="50"/>
              <w:right w:type="dxa" w:w="110"/>
            </w:tcMar>
          </w:tcPr>
          <w:p>
            <w:pPr>
              <w:spacing w:before="28" w:after="28"/>
            </w:pPr>
            <w:r>
              <w:rPr>
                <w:sz w:val="15"/>
                <w:szCs w:val="15"/>
              </w:rPr>
              <w:t xml:space="preserve">300,000</w:t>
            </w:r>
          </w:p>
        </w:tc>
        <w:tc>
          <w:tcPr>
            <w:tcW w:type="pct" w:w="1400"/>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200"/>
            <w:tcMar>
              <w:top w:type="dxa" w:w="50"/>
              <w:left w:type="dxa" w:w="110"/>
              <w:bottom w:type="dxa" w:w="50"/>
              <w:right w:type="dxa" w:w="110"/>
            </w:tcMar>
          </w:tcPr>
          <w:p>
            <w:pPr>
              <w:spacing w:before="28" w:after="28"/>
            </w:pPr>
            <w:r>
              <w:rPr>
                <w:sz w:val="15"/>
                <w:szCs w:val="15"/>
              </w:rPr>
              <w:t xml:space="preserve">Other noncurrent assets</w:t>
            </w:r>
          </w:p>
        </w:tc>
        <w:tc>
          <w:tcPr>
            <w:tcW w:type="pct" w:w="1400"/>
            <w:tcMar>
              <w:top w:type="dxa" w:w="50"/>
              <w:left w:type="dxa" w:w="110"/>
              <w:bottom w:type="dxa" w:w="50"/>
              <w:right w:type="dxa" w:w="110"/>
            </w:tcMar>
          </w:tcPr>
          <w:p>
            <w:pPr>
              <w:spacing w:before="28" w:after="28"/>
            </w:pPr>
            <w:r>
              <w:rPr>
                <w:sz w:val="15"/>
                <w:szCs w:val="15"/>
              </w:rPr>
              <w:t xml:space="preserve">200,000</w:t>
            </w:r>
          </w:p>
        </w:tc>
        <w:tc>
          <w:tcPr>
            <w:tcW w:type="pct" w:w="1400"/>
            <w:tcMar>
              <w:top w:type="dxa" w:w="50"/>
              <w:left w:type="dxa" w:w="110"/>
              <w:bottom w:type="dxa" w:w="50"/>
              <w:right w:type="dxa" w:w="110"/>
            </w:tcMar>
          </w:tcPr>
          <w:p>
            <w:pPr>
              <w:spacing w:before="28" w:after="28"/>
            </w:pPr>
            <w:r>
              <w:rPr>
                <w:sz w:val="15"/>
                <w:szCs w:val="15"/>
              </w:rPr>
              <w:t xml:space="preserve">200,000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200"/>
            <w:tcMar>
              <w:top w:type="dxa" w:w="50"/>
              <w:left w:type="dxa" w:w="110"/>
              <w:bottom w:type="dxa" w:w="50"/>
              <w:right w:type="dxa" w:w="110"/>
            </w:tcMar>
          </w:tcPr>
          <w:p>
            <w:pPr>
              <w:spacing w:before="28" w:after="28"/>
            </w:pPr>
            <w:r>
              <w:rPr>
                <w:sz w:val="15"/>
                <w:szCs w:val="15"/>
              </w:rPr>
              <w:t xml:space="preserve">LIABILITIES AND STOCKHOLDERS' EQUITY</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0"/>
            <w:tcMar>
              <w:top w:type="dxa" w:w="50"/>
              <w:left w:type="dxa" w:w="110"/>
              <w:bottom w:type="dxa" w:w="50"/>
              <w:right w:type="dxa" w:w="110"/>
            </w:tcMar>
          </w:tcPr>
          <w:p>
            <w:pPr>
              <w:spacing w:before="28" w:after="28"/>
            </w:pPr>
            <w:r>
              <w:rPr>
                <w:sz w:val="15"/>
                <w:szCs w:val="15"/>
              </w:rPr>
              <w:t xml:space="preserve">2,050,000</w:t>
            </w:r>
          </w:p>
        </w:tc>
        <w:tc>
          <w:tcPr>
            <w:tcW w:type="pct" w:w="1400"/>
            <w:tcMar>
              <w:top w:type="dxa" w:w="50"/>
              <w:left w:type="dxa" w:w="110"/>
              <w:bottom w:type="dxa" w:w="50"/>
              <w:right w:type="dxa" w:w="110"/>
            </w:tcMar>
          </w:tcPr>
          <w:p>
            <w:pPr>
              <w:spacing w:before="28" w:after="28"/>
            </w:pPr>
            <w:r>
              <w:rPr>
                <w:sz w:val="15"/>
                <w:szCs w:val="15"/>
              </w:rPr>
              <w:t xml:space="preserve">1,900,000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900,000</w:t>
            </w:r>
          </w:p>
        </w:tc>
        <w:tc>
          <w:tcPr>
            <w:tcW w:type="pct" w:w="1400"/>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200"/>
            <w:tcMar>
              <w:top w:type="dxa" w:w="50"/>
              <w:left w:type="dxa" w:w="110"/>
              <w:bottom w:type="dxa" w:w="50"/>
              <w:right w:type="dxa" w:w="110"/>
            </w:tcMar>
          </w:tcPr>
          <w:p>
            <w:pPr>
              <w:spacing w:before="28" w:after="28"/>
            </w:pPr>
            <w:r>
              <w:rPr>
                <w:sz w:val="15"/>
                <w:szCs w:val="15"/>
              </w:rPr>
              <w:t xml:space="preserve">Income taxes payable</w:t>
            </w:r>
          </w:p>
        </w:tc>
        <w:tc>
          <w:tcPr>
            <w:tcW w:type="pct" w:w="1400"/>
            <w:tcMar>
              <w:top w:type="dxa" w:w="50"/>
              <w:left w:type="dxa" w:w="110"/>
              <w:bottom w:type="dxa" w:w="50"/>
              <w:right w:type="dxa" w:w="110"/>
            </w:tcMar>
          </w:tcPr>
          <w:p>
            <w:pPr>
              <w:spacing w:before="28" w:after="28"/>
            </w:pPr>
            <w:r>
              <w:rPr>
                <w:sz w:val="15"/>
                <w:szCs w:val="15"/>
              </w:rPr>
              <w:t xml:space="preserve">350,000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Contract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180,000</w:t>
            </w:r>
          </w:p>
        </w:tc>
        <w:tc>
          <w:tcPr>
            <w:tcW w:type="pct" w:w="1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200"/>
            <w:tcMar>
              <w:top w:type="dxa" w:w="50"/>
              <w:left w:type="dxa" w:w="110"/>
              <w:bottom w:type="dxa" w:w="50"/>
              <w:right w:type="dxa" w:w="110"/>
            </w:tcMar>
          </w:tcPr>
          <w:p>
            <w:pPr>
              <w:spacing w:before="28" w:after="28"/>
            </w:pPr>
            <w:r>
              <w:rPr>
                <w:sz w:val="15"/>
                <w:szCs w:val="15"/>
              </w:rPr>
              <w:t xml:space="preserve">Dividends payable</w:t>
            </w:r>
          </w:p>
        </w:tc>
        <w:tc>
          <w:tcPr>
            <w:tcW w:type="pct" w:w="1400"/>
            <w:tcMar>
              <w:top w:type="dxa" w:w="50"/>
              <w:left w:type="dxa" w:w="110"/>
              <w:bottom w:type="dxa" w:w="50"/>
              <w:right w:type="dxa" w:w="110"/>
            </w:tcMar>
          </w:tcPr>
          <w:p>
            <w:pPr>
              <w:spacing w:before="28" w:after="28"/>
            </w:pPr>
            <w:r>
              <w:rPr>
                <w:sz w:val="15"/>
                <w:szCs w:val="15"/>
              </w:rPr>
              <w:t xml:space="preserve">400,000</w:t>
            </w:r>
          </w:p>
        </w:tc>
        <w:tc>
          <w:tcPr>
            <w:tcW w:type="pct" w:w="1400"/>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200"/>
            <w:tcMar>
              <w:top w:type="dxa" w:w="50"/>
              <w:left w:type="dxa" w:w="110"/>
              <w:bottom w:type="dxa" w:w="50"/>
              <w:right w:type="dxa" w:w="110"/>
            </w:tcMar>
          </w:tcPr>
          <w:p>
            <w:pPr>
              <w:spacing w:before="28" w:after="28"/>
            </w:pPr>
            <w:r>
              <w:rPr>
                <w:sz w:val="15"/>
                <w:szCs w:val="15"/>
              </w:rPr>
              <w:t xml:space="preserve">Total current liabilities</w:t>
            </w:r>
          </w:p>
        </w:tc>
        <w:tc>
          <w:tcPr>
            <w:tcW w:type="pct" w:w="1400"/>
            <w:tcMar>
              <w:top w:type="dxa" w:w="50"/>
              <w:left w:type="dxa" w:w="110"/>
              <w:bottom w:type="dxa" w:w="50"/>
              <w:right w:type="dxa" w:w="110"/>
            </w:tcMar>
          </w:tcPr>
          <w:p>
            <w:pPr>
              <w:spacing w:before="28" w:after="28"/>
            </w:pPr>
            <w:r>
              <w:rPr>
                <w:sz w:val="15"/>
                <w:szCs w:val="15"/>
              </w:rPr>
              <w:t xml:space="preserve">4,280,000</w:t>
            </w:r>
          </w:p>
        </w:tc>
        <w:tc>
          <w:tcPr>
            <w:tcW w:type="pct" w:w="1400"/>
            <w:tcMar>
              <w:top w:type="dxa" w:w="50"/>
              <w:left w:type="dxa" w:w="110"/>
              <w:bottom w:type="dxa" w:w="50"/>
              <w:right w:type="dxa" w:w="110"/>
            </w:tcMar>
          </w:tcPr>
          <w:p>
            <w:pPr>
              <w:spacing w:before="28" w:after="28"/>
            </w:pPr>
            <w:r>
              <w:rPr>
                <w:sz w:val="15"/>
                <w:szCs w:val="15"/>
              </w:rPr>
              <w:t xml:space="preserve">3,570,000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0"/>
            <w:shd w:fill="FBFAF6" w:val="clear"/>
            <w:tcMar>
              <w:top w:type="dxa" w:w="50"/>
              <w:left w:type="dxa" w:w="110"/>
              <w:bottom w:type="dxa" w:w="50"/>
              <w:right w:type="dxa" w:w="110"/>
            </w:tcMar>
          </w:tcPr>
          <w:p>
            <w:pPr>
              <w:spacing w:before="28" w:after="28"/>
            </w:pPr>
            <w:r>
              <w:rPr>
                <w:sz w:val="15"/>
                <w:szCs w:val="15"/>
              </w:rPr>
              <w:t xml:space="preserve">6,000,000</w:t>
            </w:r>
          </w:p>
        </w:tc>
        <w:tc>
          <w:tcPr>
            <w:tcW w:type="pct" w:w="1400"/>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200"/>
            <w:tcMar>
              <w:top w:type="dxa" w:w="50"/>
              <w:left w:type="dxa" w:w="110"/>
              <w:bottom w:type="dxa" w:w="50"/>
              <w:right w:type="dxa" w:w="110"/>
            </w:tcMar>
          </w:tcPr>
          <w:p>
            <w:pPr>
              <w:spacing w:before="28" w:after="28"/>
            </w:pPr>
            <w:r>
              <w:rPr>
                <w:sz w:val="15"/>
                <w:szCs w:val="15"/>
              </w:rPr>
              <w:t xml:space="preserve">Deferred tax liability</w:t>
            </w:r>
          </w:p>
        </w:tc>
        <w:tc>
          <w:tcPr>
            <w:tcW w:type="pct" w:w="1400"/>
            <w:tcMar>
              <w:top w:type="dxa" w:w="50"/>
              <w:left w:type="dxa" w:w="110"/>
              <w:bottom w:type="dxa" w:w="50"/>
              <w:right w:type="dxa" w:w="110"/>
            </w:tcMar>
          </w:tcPr>
          <w:p>
            <w:pPr>
              <w:spacing w:before="28" w:after="28"/>
            </w:pPr>
            <w:r>
              <w:rPr>
                <w:sz w:val="15"/>
                <w:szCs w:val="15"/>
              </w:rPr>
              <w:t xml:space="preserve">999,625</w:t>
            </w:r>
          </w:p>
        </w:tc>
        <w:tc>
          <w:tcPr>
            <w:tcW w:type="pct" w:w="1400"/>
            <w:tcMar>
              <w:top w:type="dxa" w:w="50"/>
              <w:left w:type="dxa" w:w="110"/>
              <w:bottom w:type="dxa" w:w="50"/>
              <w:right w:type="dxa" w:w="110"/>
            </w:tcMar>
          </w:tcPr>
          <w:p>
            <w:pPr>
              <w:spacing w:before="28" w:after="28"/>
            </w:pPr>
            <w:r>
              <w:rPr>
                <w:sz w:val="15"/>
                <w:szCs w:val="15"/>
              </w:rPr>
              <w:t xml:space="preserve">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11,279,625</w:t>
            </w:r>
          </w:p>
        </w:tc>
        <w:tc>
          <w:tcPr>
            <w:tcW w:type="pct" w:w="1400"/>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Common stock, $1 par; shares issued and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2025 8,100,000, 2024 8,000,000</w:t>
            </w:r>
          </w:p>
        </w:tc>
        <w:tc>
          <w:tcPr>
            <w:tcW w:type="pct" w:w="1400"/>
            <w:tcMar>
              <w:top w:type="dxa" w:w="50"/>
              <w:left w:type="dxa" w:w="110"/>
              <w:bottom w:type="dxa" w:w="50"/>
              <w:right w:type="dxa" w:w="110"/>
            </w:tcMar>
          </w:tcPr>
          <w:p>
            <w:pPr>
              <w:spacing w:before="28" w:after="28"/>
            </w:pPr>
            <w:r>
              <w:rPr>
                <w:sz w:val="15"/>
                <w:szCs w:val="15"/>
              </w:rPr>
              <w:t xml:space="preserve">8,100,000</w:t>
            </w:r>
          </w:p>
        </w:tc>
        <w:tc>
          <w:tcPr>
            <w:tcW w:type="pct" w:w="1400"/>
            <w:tcMar>
              <w:top w:type="dxa" w:w="50"/>
              <w:left w:type="dxa" w:w="110"/>
              <w:bottom w:type="dxa" w:w="50"/>
              <w:right w:type="dxa" w:w="110"/>
            </w:tcMar>
          </w:tcPr>
          <w:p>
            <w:pPr>
              <w:spacing w:before="28" w:after="28"/>
            </w:pPr>
            <w:r>
              <w:rPr>
                <w:sz w:val="15"/>
                <w:szCs w:val="15"/>
              </w:rPr>
              <w:t xml:space="preserve">8,000,000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400"/>
            <w:shd w:fill="FBFAF6" w:val="clear"/>
            <w:tcMar>
              <w:top w:type="dxa" w:w="50"/>
              <w:left w:type="dxa" w:w="110"/>
              <w:bottom w:type="dxa" w:w="50"/>
              <w:right w:type="dxa" w:w="110"/>
            </w:tcMar>
          </w:tcPr>
          <w:p>
            <w:pPr>
              <w:spacing w:before="28" w:after="28"/>
            </w:pPr>
            <w:r>
              <w:rPr>
                <w:sz w:val="15"/>
                <w:szCs w:val="15"/>
              </w:rPr>
              <w:t xml:space="preserve">5,400,000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200"/>
            <w:tcMar>
              <w:top w:type="dxa" w:w="50"/>
              <w:left w:type="dxa" w:w="110"/>
              <w:bottom w:type="dxa" w:w="50"/>
              <w:right w:type="dxa" w:w="110"/>
            </w:tcMar>
          </w:tcPr>
          <w:p>
            <w:pPr>
              <w:spacing w:before="28" w:after="28"/>
            </w:pPr>
            <w:r>
              <w:rPr>
                <w:sz w:val="15"/>
                <w:szCs w:val="15"/>
              </w:rPr>
              <w:t xml:space="preserve">Retained earnings</w:t>
            </w:r>
          </w:p>
        </w:tc>
        <w:tc>
          <w:tcPr>
            <w:tcW w:type="pct" w:w="1400"/>
            <w:tcMar>
              <w:top w:type="dxa" w:w="50"/>
              <w:left w:type="dxa" w:w="110"/>
              <w:bottom w:type="dxa" w:w="50"/>
              <w:right w:type="dxa" w:w="110"/>
            </w:tcMar>
          </w:tcPr>
          <w:p>
            <w:pPr>
              <w:spacing w:before="28" w:after="28"/>
            </w:pPr>
            <w:r>
              <w:rPr>
                <w:sz w:val="15"/>
                <w:szCs w:val="15"/>
              </w:rPr>
              <w:t xml:space="preserve">6,894,100</w:t>
            </w:r>
          </w:p>
        </w:tc>
        <w:tc>
          <w:tcPr>
            <w:tcW w:type="pct" w:w="1400"/>
            <w:tcMar>
              <w:top w:type="dxa" w:w="50"/>
              <w:left w:type="dxa" w:w="110"/>
              <w:bottom w:type="dxa" w:w="50"/>
              <w:right w:type="dxa" w:w="110"/>
            </w:tcMar>
          </w:tcPr>
          <w:p>
            <w:pPr>
              <w:spacing w:before="28" w:after="28"/>
            </w:pPr>
            <w:r>
              <w:rPr>
                <w:sz w:val="15"/>
                <w:szCs w:val="15"/>
              </w:rPr>
              <w:t xml:space="preserve">4,375,000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Accumulated other comprehensive income (loss)</w:t>
            </w:r>
          </w:p>
        </w:tc>
        <w:tc>
          <w:tcPr>
            <w:tcW w:type="pct" w:w="1400"/>
            <w:shd w:fill="FBFAF6" w:val="clear"/>
            <w:tcMar>
              <w:top w:type="dxa" w:w="50"/>
              <w:left w:type="dxa" w:w="110"/>
              <w:bottom w:type="dxa" w:w="50"/>
              <w:right w:type="dxa" w:w="110"/>
            </w:tcMar>
          </w:tcPr>
          <w:p>
            <w:pPr>
              <w:spacing w:before="28" w:after="28"/>
            </w:pPr>
            <w:r>
              <w:rPr>
                <w:sz w:val="15"/>
                <w:szCs w:val="15"/>
              </w:rPr>
              <w:t xml:space="preserve">(1,125)</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stockholders' equity</w:t>
            </w:r>
          </w:p>
        </w:tc>
        <w:tc>
          <w:tcPr>
            <w:tcW w:type="pct" w:w="1400"/>
            <w:tcMar>
              <w:top w:type="dxa" w:w="50"/>
              <w:left w:type="dxa" w:w="110"/>
              <w:bottom w:type="dxa" w:w="50"/>
              <w:right w:type="dxa" w:w="110"/>
            </w:tcMar>
          </w:tcPr>
          <w:p>
            <w:pPr>
              <w:spacing w:before="28" w:after="28"/>
            </w:pPr>
            <w:r>
              <w:rPr>
                <w:sz w:val="15"/>
                <w:szCs w:val="15"/>
              </w:rPr>
              <w:t xml:space="preserve">20,392,975</w:t>
            </w:r>
          </w:p>
        </w:tc>
        <w:tc>
          <w:tcPr>
            <w:tcW w:type="pct" w:w="1400"/>
            <w:tcMar>
              <w:top w:type="dxa" w:w="50"/>
              <w:left w:type="dxa" w:w="110"/>
              <w:bottom w:type="dxa" w:w="50"/>
              <w:right w:type="dxa" w:w="110"/>
            </w:tcMar>
          </w:tcPr>
          <w:p>
            <w:pPr>
              <w:spacing w:before="28" w:after="28"/>
            </w:pPr>
            <w:r>
              <w:rPr>
                <w:sz w:val="15"/>
                <w:szCs w:val="15"/>
              </w:rPr>
              <w:t xml:space="preserve">16,375,000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expenses   ·   Current portion of long-term debt   ·   Equity-method investments   ·   Brand (indefinite-lived)   ·   Long-term debt, less current portion   ·   outstanding   ·   Additional paid-in capital   ·   depreciation   ·   receivable   ·   Accounts payable   ·   Commitments and contingencies (Note 12)</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25–30</w:t>
      </w:r>
    </w:p>
    <w:p>
      <w:pPr>
        <w:spacing w:before="20" w:after="20" w:line="360" w:lineRule="auto"/>
        <w:ind w:left="200"/>
      </w:pPr>
      <w:r>
        <w:rPr>
          <w:sz w:val="19"/>
          <w:szCs w:val="19"/>
        </w:rPr>
        <w:t xml:space="preserve">Read the figure from the top.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assets come first, from cash down to assets held for sale. </w:t>
      </w:r>
      <w:r>
        <w:rPr>
          <w:sz w:val="19"/>
          <w:szCs w:val="19"/>
        </w:rPr>
        <w:t xml:space="preserve">Then come the noncurrent assets: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property, plant and equipment,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assets. </w:t>
      </w:r>
      <w:r>
        <w:rPr>
          <w:sz w:val="19"/>
          <w:szCs w:val="19"/>
        </w:rPr>
        <w:t xml:space="preserve"/>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follow the same order, and equity comes last. </w:t>
      </w:r>
      <w:r>
        <w:rPr>
          <w:sz w:val="19"/>
          <w:szCs w:val="19"/>
        </w:rPr>
        <w:t xml:space="preserve">Contra accounts, such as the allowance for credit losses and accumulated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are shown with the asset they reduce. </w:t>
      </w:r>
      <w:r>
        <w:rPr>
          <w:sz w:val="19"/>
          <w:szCs w:val="19"/>
        </w:rPr>
        <w:t xml:space="preserve">The line Commitments and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has no amount;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liquidity   ·   intangible   ·   depreciation   ·   Liabilities   ·   Current   ·   investments   ·   contingencies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السيولة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Brand (indefinite-lived)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Current portion of long-term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Long-term debt, less current 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Commitments and contingencies (Note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unexpected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subtotal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contingencies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expenses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liquidity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 All the amounts come from the same records as the earlier chapters on receivables, inventory, investments and long-lived assets. For example, the equity-method investments include Jordan Glass Co. from, and goodwill fell after the impairments.</w:t>
      </w:r>
    </w:p>
    <w:p>
      <w:pPr>
        <w:spacing w:before="20" w:after="20"/>
        <w:ind w:left="240" w:hanging="240"/>
      </w:pPr>
      <w:r>
        <w:rPr>
          <w:b/>
          <w:bCs/>
          <w:color w:val="353A7C"/>
          <w:sz w:val="15"/>
          <w:szCs w:val="15"/>
        </w:rPr>
        <w:t xml:space="preserve">Summary 2   </w:t>
      </w:r>
      <w:r>
        <w:rPr>
          <w:color w:val="6B7280"/>
          <w:sz w:val="15"/>
          <w:szCs w:val="15"/>
        </w:rPr>
        <w:t xml:space="preserve">Read the figure from the top. 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settle by using current assets or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It takes about 32 days to sell 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34 days to collect from customers: 66 days in total.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cycle is shorter than a year, Orontes uses one year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its items. </w:t>
      </w:r>
      <w:r>
        <w:rPr>
          <w:sz w:val="19"/>
          <w:szCs w:val="19"/>
        </w:rPr>
        <w:t xml:space="preserve">Some assets that look current are not.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set aside to repay long-term debt or to build a plant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So are long-term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receivables that will not be collected within the period, the cash surrender value of life insurance, and long-term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   noncurrent   ·   investments   ·   classify   ·   obligations   ·   collecting   ·   creating   ·   Working   ·   whichever   ·   Restricted   ·   prepayments   ·   inventory   ·   Because</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On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side, current portion of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is current, because that part of the principal is due within a year. </w:t>
      </w:r>
      <w:r>
        <w:rPr>
          <w:sz w:val="19"/>
          <w:szCs w:val="19"/>
        </w:rPr>
        <w:t xml:space="preserve">Two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come directly from these totals. </w:t>
      </w: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at the end of 2025, working capital is $14,188,100 − $4,280,000 = $9,908,100, and the current ratio is 3.31. </w:t>
      </w:r>
      <w:r>
        <w:rPr>
          <w:sz w:val="19"/>
          <w:szCs w:val="19"/>
        </w:rPr>
        <w:t xml:space="preserve">A year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long-term   ·   analyzes   ·   liability   ·   solvency   ·   divided   ·   measures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20–23</w:t>
      </w:r>
    </w:p>
    <w:p>
      <w:pPr>
        <w:spacing w:before="20" w:after="20" w:line="360" w:lineRule="auto"/>
        <w:ind w:left="200"/>
      </w:pPr>
      <w:r>
        <w:rPr>
          <w:sz w:val="19"/>
          <w:szCs w:val="19"/>
        </w:rPr>
        <w:t xml:space="preserve">Paying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 cash reduces current assets and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by the same amount: working capital does not change, but the current ratio changes. </w:t>
      </w:r>
      <w:r>
        <w:rPr>
          <w:sz w:val="19"/>
          <w:szCs w:val="19"/>
        </w:rPr>
        <w:t xml:space="preserve"/>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debt from current to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increases working capital and the current ratio. </w:t>
      </w:r>
      <w:r>
        <w:rPr>
          <w:sz w:val="19"/>
          <w:szCs w:val="19"/>
        </w:rPr>
        <w:t xml:space="preserve">Use the operating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liabilities   ·   measures   ·   Reclassifying   ·   supplier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24–29</w:t>
      </w:r>
    </w:p>
    <w:p>
      <w:pPr>
        <w:spacing w:before="20" w:after="20" w:line="360" w:lineRule="auto"/>
        <w:ind w:left="200"/>
      </w:pPr>
      <w:r>
        <w:rPr>
          <w:sz w:val="19"/>
          <w:szCs w:val="19"/>
        </w:rPr>
        <w:t xml:space="preserve">Next year's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rest of the debt stays noncurrent. </w:t>
      </w:r>
      <w:r>
        <w:rPr>
          <w:sz w:val="19"/>
          <w:szCs w:val="19"/>
        </w:rPr>
        <w:t xml:space="preserve">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to sell it within the year, so it is a current asset, outside PP&amp;E. </w:t>
      </w:r>
      <w:r>
        <w:rPr>
          <w:sz w:val="19"/>
          <w:szCs w:val="19"/>
        </w:rPr>
        <w:t xml:space="preserve">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assets   ·   liability   ·   operating   ·   installment   ·   expects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p>
      <w:pPr>
        <w:spacing w:before="20" w:after="20" w:line="360" w:lineRule="auto"/>
        <w:ind w:left="200"/>
      </w:pPr>
      <w:r>
        <w:rPr>
          <w:sz w:val="19"/>
          <w:szCs w:val="19"/>
        </w:rPr>
        <w:t xml:space="preserve">The first two are done. Classify the other four and give a reason.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Classification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Reason</w:t>
            </w:r>
          </w:p>
        </w:tc>
      </w:tr>
      <w:tr>
        <w:tc>
          <w:tcPr>
            <w:tcW w:type="pct" w:w="2200"/>
            <w:tcMar>
              <w:top w:type="dxa" w:w="50"/>
              <w:left w:type="dxa" w:w="110"/>
              <w:bottom w:type="dxa" w:w="50"/>
              <w:right w:type="dxa" w:w="110"/>
            </w:tcMar>
          </w:tcPr>
          <w:p>
            <w:pPr>
              <w:spacing w:before="28" w:after="28"/>
            </w:pPr>
            <w:r>
              <w:rPr>
                <w:sz w:val="15"/>
                <w:szCs w:val="15"/>
              </w:rPr>
              <w:t xml:space="preserve">Cash set aside in a sinking fund to repay bonds in 2029</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042"/>
            <w:tcMar>
              <w:top w:type="dxa" w:w="50"/>
              <w:left w:type="dxa" w:w="110"/>
              <w:bottom w:type="dxa" w:w="50"/>
              <w:right w:type="dxa" w:w="110"/>
            </w:tcMar>
          </w:tcPr>
          <w:p>
            <w:pPr>
              <w:spacing w:before="28" w:after="28"/>
            </w:pPr>
            <w:r>
              <w:rPr>
                <w:sz w:val="15"/>
                <w:szCs w:val="15"/>
              </w:rPr>
              <w:t xml:space="preserve">Restricted for a noncurrent purpose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Date vinegar that Orontes ages for 18 months before sale</w:t>
            </w:r>
          </w:p>
        </w:tc>
        <w:tc>
          <w:tcPr>
            <w:tcW w:type="pct" w:w="758"/>
            <w:shd w:fill="FBFAF6" w:val="clear"/>
            <w:tcMar>
              <w:top w:type="dxa" w:w="50"/>
              <w:left w:type="dxa" w:w="110"/>
              <w:bottom w:type="dxa" w:w="50"/>
              <w:right w:type="dxa" w:w="110"/>
            </w:tcMar>
          </w:tcPr>
          <w:p>
            <w:pPr>
              <w:spacing w:before="28" w:after="28"/>
            </w:pPr>
            <w:r>
              <w:rPr>
                <w:sz w:val="15"/>
                <w:szCs w:val="15"/>
              </w:rPr>
              <w:t xml:space="preserve">Current asset</w:t>
            </w:r>
          </w:p>
        </w:tc>
        <w:tc>
          <w:tcPr>
            <w:tcW w:type="pct" w:w="2042"/>
            <w:shd w:fill="FBFAF6" w:val="clear"/>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is longer than one year, so the cycle applies</w:t>
            </w:r>
          </w:p>
        </w:tc>
      </w:tr>
      <w:tr>
        <w:tc>
          <w:tcPr>
            <w:tcW w:type="pct" w:w="2200"/>
            <w:tcMar>
              <w:top w:type="dxa" w:w="50"/>
              <w:left w:type="dxa" w:w="110"/>
              <w:bottom w:type="dxa" w:w="50"/>
              <w:right w:type="dxa" w:w="110"/>
            </w:tcMar>
          </w:tcPr>
          <w:p>
            <w:pPr>
              <w:spacing w:before="28" w:after="28"/>
            </w:pPr>
            <w:r>
              <w:rPr>
                <w:sz w:val="15"/>
                <w:szCs w:val="15"/>
              </w:rPr>
              <w:t xml:space="preserve">Cash surrender value of an executive life insurance policy</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Bank loan due on demand; the bank has never asked for repayment</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Deferred tax asset from warranty costs expected to reverse next year</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Customer deposits for orders to be delivered next month</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asset   ·   operating cycle   ·   current assets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operating cycle   ·   current liabilities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expects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operating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operating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Orontes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It takes about 32 days to sell its inventory and 34 days to collect from customers: 66 days in total. Because the cycle is shorter than a year, Orontes uses one year to classify its items. Some assets that look current are not. Restricted cash set aside to repay long-term debt or to build a plant is noncurrent. So are long-term investments, receivables that will not be collected within the period, the cash surrender value of life insurance, and long-term prepayments.</w:t>
      </w:r>
    </w:p>
    <w:p>
      <w:pPr>
        <w:spacing w:before="20" w:after="20"/>
        <w:ind w:left="240" w:hanging="240"/>
      </w:pPr>
      <w:r>
        <w:rPr>
          <w:b/>
          <w:bCs/>
          <w:color w:val="353A7C"/>
          <w:sz w:val="15"/>
          <w:szCs w:val="15"/>
        </w:rPr>
        <w:t xml:space="preserve">Summary 2   </w:t>
      </w:r>
      <w:r>
        <w:rPr>
          <w:color w:val="6B7280"/>
          <w:sz w:val="15"/>
          <w:szCs w:val="15"/>
        </w:rPr>
        <w:t xml:space="preserve">On the liability side, current portion of long-term debt is current, because that part of the principal is due within a year. Two measures come directly from these totals. 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breaks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the lender gives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more than one year, or a grace period exists and the company will probably cure the violation within it. </w:t>
      </w:r>
      <w:r>
        <w:rPr>
          <w:sz w:val="19"/>
          <w:szCs w:val="19"/>
        </w:rPr>
        <w:t xml:space="preserve">A subjective acceleration clause, such as a right to demand payment after a 'material adverse change', makes debt current only if acceleration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covenant   ·   debt-to-equity   ·   signing   ·   Orontes   ·   classification   ·   statements   ·   expect   ·   installments   ·   agreements   ·   callable   ·   repayment   ·   waiver</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Debt that is due on demand is always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can be shown as noncurrent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refinancing, but only if the company intends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It shows this by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long-term debt or shares after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date but before the statements are issued, or by signing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financing agreement. </w:t>
      </w:r>
      <w:r>
        <w:rPr>
          <w:sz w:val="19"/>
          <w:szCs w:val="19"/>
        </w:rPr>
        <w:t xml:space="preserve">IAS 1 asks one question: at the reporting date, does the company have a right to defer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for at least twelve months?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or refinancing obtained after the reporting date does not count. </w:t>
      </w:r>
      <w:r>
        <w:rPr>
          <w:sz w:val="19"/>
          <w:szCs w:val="19"/>
        </w:rPr>
        <w:t xml:space="preserve">U.S. GAAP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events up to the date the statements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counts   ·   Short-term   ·   refinance   ·   current   ·   through   ·   waiver   ·   issuing   ·   balance   ·   intends   ·   settlement   ·   qualifying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2"/>
        <w:gridCol w:w="29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1287"/>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1513"/>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2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1287"/>
            <w:tcMar>
              <w:top w:type="dxa" w:w="50"/>
              <w:left w:type="dxa" w:w="110"/>
              <w:bottom w:type="dxa" w:w="50"/>
              <w:right w:type="dxa" w:w="110"/>
            </w:tcMar>
          </w:tcPr>
          <w:p>
            <w:pPr>
              <w:spacing w:before="28" w:after="28"/>
            </w:pPr>
            <w:r>
              <w:rPr>
                <w:sz w:val="15"/>
                <w:szCs w:val="15"/>
              </w:rPr>
              <w:t xml:space="preserve">Noncurrent (intent and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ability)</w:t>
            </w:r>
          </w:p>
        </w:tc>
        <w:tc>
          <w:tcPr>
            <w:tcW w:type="pct" w:w="1513"/>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1287"/>
            <w:shd w:fill="FBFAF6" w:val="clear"/>
            <w:tcMar>
              <w:top w:type="dxa" w:w="50"/>
              <w:left w:type="dxa" w:w="110"/>
              <w:bottom w:type="dxa" w:w="50"/>
              <w:right w:type="dxa" w:w="110"/>
            </w:tcMar>
          </w:tcPr>
          <w:p>
            <w:pPr>
              <w:spacing w:before="28" w:after="28"/>
            </w:pPr>
            <w:r>
              <w:rPr>
                <w:sz w:val="15"/>
                <w:szCs w:val="15"/>
              </w:rPr>
              <w:t xml:space="preserve">Noncurrent</w:t>
            </w:r>
          </w:p>
        </w:tc>
        <w:tc>
          <w:tcPr>
            <w:tcW w:type="pct" w:w="1513"/>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2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1287"/>
            <w:tcMar>
              <w:top w:type="dxa" w:w="50"/>
              <w:left w:type="dxa" w:w="110"/>
              <w:bottom w:type="dxa" w:w="50"/>
              <w:right w:type="dxa" w:w="110"/>
            </w:tcMar>
          </w:tcPr>
          <w:p>
            <w:pPr>
              <w:spacing w:before="28" w:after="28"/>
            </w:pPr>
            <w:r>
              <w:rPr>
                <w:sz w:val="15"/>
                <w:szCs w:val="15"/>
              </w:rPr>
              <w:t xml:space="preserve">Noncurrent</w:t>
            </w:r>
          </w:p>
        </w:tc>
        <w:tc>
          <w:tcPr>
            <w:tcW w:type="pct" w:w="1513"/>
            <w:tcMar>
              <w:top w:type="dxa" w:w="50"/>
              <w:left w:type="dxa" w:w="110"/>
              <w:bottom w:type="dxa" w:w="50"/>
              <w:right w:type="dxa" w:w="110"/>
            </w:tcMar>
          </w:tcPr>
          <w:p>
            <w:pPr>
              <w:spacing w:before="28" w:after="28"/>
            </w:pPr>
            <w:r>
              <w:rPr>
                <w:sz w:val="15"/>
                <w:szCs w:val="15"/>
              </w:rPr>
              <w:t xml:space="preserve">Noncurrent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1287"/>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1513"/>
            <w:shd w:fill="FBFAF6" w:val="clear"/>
            <w:tcMar>
              <w:top w:type="dxa" w:w="50"/>
              <w:left w:type="dxa" w:w="110"/>
              <w:bottom w:type="dxa" w:w="50"/>
              <w:right w:type="dxa" w:w="110"/>
            </w:tcMar>
          </w:tcPr>
          <w:p>
            <w:pPr>
              <w:spacing w:before="28" w:after="28"/>
            </w:pPr>
            <w:r>
              <w:rPr>
                <w:sz w:val="15"/>
                <w:szCs w:val="15"/>
              </w:rPr>
              <w:t xml:space="preserve">Noncurrent; disclose the risk</w:t>
            </w:r>
          </w:p>
        </w:tc>
      </w:tr>
      <w:tr>
        <w:tc>
          <w:tcPr>
            <w:tcW w:type="pct" w:w="2200"/>
            <w:tcMar>
              <w:top w:type="dxa" w:w="50"/>
              <w:left w:type="dxa" w:w="110"/>
              <w:bottom w:type="dxa" w:w="50"/>
              <w:right w:type="dxa" w:w="110"/>
            </w:tcMar>
          </w:tcPr>
          <w:p>
            <w:pPr>
              <w:spacing w:before="28" w:after="28"/>
            </w:pPr>
            <w:r>
              <w:rPr>
                <w:sz w:val="15"/>
                <w:szCs w:val="15"/>
              </w:rPr>
              <w:t xml:space="preserve">Subjective acceleration clause</w:t>
            </w:r>
          </w:p>
        </w:tc>
        <w:tc>
          <w:tcPr>
            <w:tcW w:type="pct" w:w="1287"/>
            <w:tcMar>
              <w:top w:type="dxa" w:w="50"/>
              <w:left w:type="dxa" w:w="110"/>
              <w:bottom w:type="dxa" w:w="50"/>
              <w:right w:type="dxa" w:w="110"/>
            </w:tcMar>
          </w:tcPr>
          <w:p>
            <w:pPr>
              <w:spacing w:before="28" w:after="28"/>
            </w:pPr>
            <w:r>
              <w:rPr>
                <w:sz w:val="15"/>
                <w:szCs w:val="15"/>
              </w:rPr>
              <w:t xml:space="preserve">Current only if acceleration is probable</w:t>
            </w:r>
          </w:p>
        </w:tc>
        <w:tc>
          <w:tcPr>
            <w:tcW w:type="pct" w:w="1513"/>
            <w:tcMar>
              <w:top w:type="dxa" w:w="50"/>
              <w:left w:type="dxa" w:w="110"/>
              <w:bottom w:type="dxa" w:w="50"/>
              <w:right w:type="dxa" w:w="110"/>
            </w:tcMar>
          </w:tcPr>
          <w:p>
            <w:pPr>
              <w:spacing w:before="28" w:after="28"/>
            </w:pPr>
            <w:r>
              <w:rPr>
                <w:sz w:val="15"/>
                <w:szCs w:val="15"/>
              </w:rPr>
              <w:t xml:space="preserve">Ignored unless it removes the right to defer</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1287"/>
            <w:shd w:fill="FBFAF6" w:val="clear"/>
            <w:tcMar>
              <w:top w:type="dxa" w:w="50"/>
              <w:left w:type="dxa" w:w="110"/>
              <w:bottom w:type="dxa" w:w="50"/>
              <w:right w:type="dxa" w:w="110"/>
            </w:tcMar>
          </w:tcPr>
          <w:p>
            <w:pPr>
              <w:spacing w:before="28" w:after="28"/>
            </w:pPr>
            <w:r>
              <w:rPr>
                <w:sz w:val="15"/>
                <w:szCs w:val="15"/>
              </w:rPr>
              <w:t xml:space="preserve">All noncurrent</w:t>
            </w:r>
          </w:p>
        </w:tc>
        <w:tc>
          <w:tcPr>
            <w:tcW w:type="pct" w:w="1513"/>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demonstrated   ·   All non-current   ·   working capital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25–26</w:t>
      </w:r>
    </w:p>
    <w:p>
      <w:pPr>
        <w:spacing w:before="20" w:after="20" w:line="360" w:lineRule="auto"/>
        <w:ind w:left="200"/>
      </w:pPr>
      <w:r>
        <w:rPr>
          <w:sz w:val="19"/>
          <w:szCs w:val="19"/>
        </w:rPr>
        <w:t xml:space="preserve">The FASB proposed a simpler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agreements   ·   debt-classification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spacing w:before="44" w:after="14"/>
      </w:pPr>
      <w:r>
        <w:rPr>
          <w:b/>
          <w:bCs/>
          <w:color w:val="353A7C"/>
          <w:sz w:val="18"/>
          <w:szCs w:val="18"/>
        </w:rPr>
        <w:t xml:space="preserve">Summary 4</w:t>
      </w:r>
      <w:r>
        <w:rPr>
          <w:color w:val="6B7280"/>
          <w:sz w:val="16"/>
          <w:szCs w:val="16"/>
        </w:rPr>
        <w:t xml:space="preserve">      gaps 27–28</w:t>
      </w:r>
    </w:p>
    <w:p>
      <w:pPr>
        <w:spacing w:before="20" w:after="20" w:line="360" w:lineRule="auto"/>
        <w:ind w:left="200"/>
      </w:pPr>
      <w:r>
        <w:rPr>
          <w:sz w:val="19"/>
          <w:szCs w:val="19"/>
        </w:rPr>
        <w:t xml:space="preserve">Refinanced after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demand   ·   year-end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flexibility   ·   waiver   ·   callable debt   ·   subjective acceleration clause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covenant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demonstrated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waiver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subjective acceleration clause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refinance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w:t>
      </w:r>
    </w:p>
    <w:p>
      <w:pPr>
        <w:spacing w:before="20" w:after="20"/>
        <w:ind w:left="240" w:hanging="240"/>
      </w:pPr>
      <w:r>
        <w:rPr>
          <w:b/>
          <w:bCs/>
          <w:color w:val="353A7C"/>
          <w:sz w:val="15"/>
          <w:szCs w:val="15"/>
        </w:rPr>
        <w:t xml:space="preserve">Summary 2   </w:t>
      </w:r>
      <w:r>
        <w:rPr>
          <w:color w:val="6B7280"/>
          <w:sz w:val="15"/>
          <w:szCs w:val="15"/>
        </w:rPr>
        <w:t xml:space="preserve">Debt that is due on demand is always current.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 IAS 1 asks one question: at the reporting date, does the company have a right to defer settlement for at least twelve months? A waiver or refinancing obtained after the reporting date does not count. U.S. GAAP counts events up to the date the statements are issued.</w:t>
      </w:r>
    </w:p>
    <w:p>
      <w:pPr>
        <w:spacing w:before="20" w:after="20"/>
        <w:ind w:left="240" w:hanging="240"/>
      </w:pPr>
      <w:r>
        <w:rPr>
          <w:b/>
          <w:bCs/>
          <w:color w:val="353A7C"/>
          <w:sz w:val="15"/>
          <w:szCs w:val="15"/>
        </w:rPr>
        <w:t xml:space="preserve">Summary 3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4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shows its 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loss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an existing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may cause a loss, such as a lawsuit. </w:t>
      </w:r>
      <w:r>
        <w:rPr>
          <w:sz w:val="19"/>
          <w:szCs w:val="19"/>
        </w:rPr>
        <w:t xml:space="preserve">Gain contingencies are never recorded before they are realized.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determinable   ·   contingency   ·   enforceable   ·   appears   ·   liquidity   ·   noncurrent   ·   situation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758"/>
            <w:tcMar>
              <w:top w:type="dxa" w:w="50"/>
              <w:left w:type="dxa" w:w="110"/>
              <w:bottom w:type="dxa" w:w="50"/>
              <w:right w:type="dxa" w:w="110"/>
            </w:tcMar>
          </w:tcPr>
          <w:p>
            <w:pPr>
              <w:spacing w:before="28" w:after="28"/>
            </w:pPr>
            <w:r>
              <w:rPr>
                <w:sz w:val="15"/>
                <w:szCs w:val="15"/>
              </w:rPr>
              <w:t xml:space="preserve">Probable</w:t>
            </w:r>
          </w:p>
        </w:tc>
        <w:tc>
          <w:tcPr>
            <w:tcW w:type="pct" w:w="2200"/>
            <w:tcMar>
              <w:top w:type="dxa" w:w="50"/>
              <w:left w:type="dxa" w:w="110"/>
              <w:bottom w:type="dxa" w:w="50"/>
              <w:right w:type="dxa" w:w="110"/>
            </w:tcMar>
          </w:tcPr>
          <w:p>
            <w:pPr>
              <w:spacing w:before="28" w:after="28"/>
            </w:pPr>
            <w:r>
              <w:rPr>
                <w:sz w:val="15"/>
                <w:szCs w:val="15"/>
              </w:rPr>
              <w:t xml:space="preserve">Accrue a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and a loss (best estimate; if no best estimate, the minimum of the range)</w:t>
            </w:r>
          </w:p>
        </w:tc>
        <w:tc>
          <w:tcPr>
            <w:tcW w:type="pct" w:w="2042"/>
            <w:tcMar>
              <w:top w:type="dxa" w:w="50"/>
              <w:left w:type="dxa" w:w="110"/>
              <w:bottom w:type="dxa" w:w="50"/>
              <w:right w:type="dxa" w:w="110"/>
            </w:tcMar>
          </w:tcPr>
          <w:p>
            <w:pPr>
              <w:spacing w:before="28" w:after="28"/>
            </w:pPr>
            <w:r>
              <w:rPr>
                <w:sz w:val="15"/>
                <w:szCs w:val="15"/>
              </w:rPr>
              <w:t xml:space="preserve">Accrue and disclose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200"/>
            <w:shd w:fill="FBFAF6" w:val="clear"/>
            <w:tcMar>
              <w:top w:type="dxa" w:w="50"/>
              <w:left w:type="dxa" w:w="110"/>
              <w:bottom w:type="dxa" w:w="50"/>
              <w:right w:type="dxa" w:w="110"/>
            </w:tcMar>
          </w:tcPr>
          <w:p>
            <w:pPr>
              <w:spacing w:before="28" w:after="28"/>
            </w:pPr>
            <w:r>
              <w:rPr>
                <w:sz w:val="15"/>
                <w:szCs w:val="15"/>
              </w:rPr>
              <w:t xml:space="preserve">No accrual</w:t>
            </w:r>
          </w:p>
        </w:tc>
        <w:tc>
          <w:tcPr>
            <w:tcW w:type="pct" w:w="2042"/>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w:t>
            </w:r>
          </w:p>
        </w:tc>
      </w:tr>
      <w:tr>
        <w:tc>
          <w:tcPr>
            <w:tcW w:type="pct" w:w="758"/>
            <w:tcMar>
              <w:top w:type="dxa" w:w="50"/>
              <w:left w:type="dxa" w:w="110"/>
              <w:bottom w:type="dxa" w:w="50"/>
              <w:right w:type="dxa" w:w="110"/>
            </w:tcMar>
          </w:tcPr>
          <w:p>
            <w:pPr>
              <w:spacing w:before="28" w:after="28"/>
            </w:pPr>
            <w:r>
              <w:rPr>
                <w:sz w:val="15"/>
                <w:szCs w:val="15"/>
              </w:rPr>
              <w:t xml:space="preserve">Remote</w:t>
            </w:r>
          </w:p>
        </w:tc>
        <w:tc>
          <w:tcPr>
            <w:tcW w:type="pct" w:w="2200"/>
            <w:tcMar>
              <w:top w:type="dxa" w:w="50"/>
              <w:left w:type="dxa" w:w="110"/>
              <w:bottom w:type="dxa" w:w="50"/>
              <w:right w:type="dxa" w:w="110"/>
            </w:tcMar>
          </w:tcPr>
          <w:p>
            <w:pPr>
              <w:spacing w:before="28" w:after="28"/>
            </w:pPr>
            <w:r>
              <w:rPr>
                <w:sz w:val="15"/>
                <w:szCs w:val="15"/>
              </w:rPr>
              <w:t xml:space="preserve">No accrual</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200"/>
            <w:shd w:fill="FBFAF6" w:val="clear"/>
            <w:tcMar>
              <w:top w:type="dxa" w:w="50"/>
              <w:left w:type="dxa" w:w="110"/>
              <w:bottom w:type="dxa" w:w="50"/>
              <w:right w:type="dxa" w:w="110"/>
            </w:tcMar>
          </w:tcPr>
          <w:p>
            <w:pPr>
              <w:spacing w:before="28" w:after="28"/>
            </w:pPr>
            <w:r>
              <w:rPr>
                <w:sz w:val="15"/>
                <w:szCs w:val="15"/>
              </w:rPr>
              <w:t xml:space="preserve">Never recognized before it is realized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contingency   ·   liability   ·   estimated   ·   No disclosure (except guarantees)   ·   Disclose carefully, without misleading</w:t>
            </w:r>
          </w:p>
        </w:tc>
      </w:tr>
    </w:tbl>
    <w:p/>
    <w:p>
      <w:pPr>
        <w:spacing w:before="44" w:after="10"/>
      </w:pPr>
      <w:r>
        <w:rPr>
          <w:b/>
          <w:bCs/>
          <w:color w:val="353A7C"/>
          <w:sz w:val="18"/>
          <w:szCs w:val="18"/>
        </w:rPr>
        <w:t xml:space="preserve">Each fact, and what it settles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company discloses it in a note   ·   the company does nothing   ·   it is only reasonably possible   ·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16–25</w:t>
      </w:r>
    </w:p>
    <w:p>
      <w:pPr>
        <w:spacing w:before="20" w:after="20" w:line="360" w:lineRule="auto"/>
        <w:ind w:left="200"/>
      </w:pPr>
      <w:r>
        <w:rPr>
          <w:sz w:val="19"/>
          <w:szCs w:val="19"/>
        </w:rPr>
        <w:t xml:space="preserve">Subsequent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happen after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sheet date but before the statements are issued. </w:t>
      </w:r>
      <w:r>
        <w:rPr>
          <w:sz w:val="19"/>
          <w:szCs w:val="19"/>
        </w:rPr>
        <w:t xml:space="preserve">If an event gives more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about a condition that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existed at year-end, the company adjusts the statements. </w:t>
      </w:r>
      <w:r>
        <w:rPr>
          <w:sz w:val="19"/>
          <w:szCs w:val="19"/>
        </w:rPr>
        <w:t xml:space="preserve">If the condition arose after year-end, the company only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w:t>
      </w:r>
      <w:r>
        <w:rPr>
          <w:sz w:val="19"/>
          <w:szCs w:val="19"/>
        </w:rPr>
        <w:t xml:space="preserve">Finally, the notes begin with a summary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statements, not an extra. </w:t>
      </w:r>
      <w:r>
        <w:rPr>
          <w:sz w:val="19"/>
          <w:szCs w:val="19"/>
        </w:rPr>
        <w:t xml:space="preserve">IFRS records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reasonably   ·   depreciation   ·   already   ·   midpoint   ·   events   ·   information   ·   balance   ·   provision   ·   discloses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26–27</w:t>
      </w:r>
    </w:p>
    <w:p>
      <w:pPr>
        <w:spacing w:before="20" w:after="20" w:line="360" w:lineRule="auto"/>
        <w:ind w:left="200"/>
      </w:pPr>
      <w:r>
        <w:rPr>
          <w:sz w:val="19"/>
          <w:szCs w:val="19"/>
        </w:rPr>
        <w:t xml:space="preserve">In U.S. GAAP answers, use allowance for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accrued liability or loss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contingency   ·   contra-assets   ·   reserve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cycle   ·   subsequent events   ·   right of setoff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discloses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enforceable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midpoint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contra-assets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 carefully, without misleading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right of setoff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company discloses it in a note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subsequent 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the company does nothing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 A loss contingency is an existing situation that may cause a loss, such as a lawsuit. Gain contingencies are never recorded before they are realized.</w:t>
      </w:r>
    </w:p>
    <w:p>
      <w:pPr>
        <w:spacing w:before="20" w:after="20"/>
        <w:ind w:left="240" w:hanging="240"/>
      </w:pPr>
      <w:r>
        <w:rPr>
          <w:b/>
          <w:bCs/>
          <w:color w:val="353A7C"/>
          <w:sz w:val="15"/>
          <w:szCs w:val="15"/>
        </w:rPr>
        <w:t xml:space="preserve">Summary 2   </w:t>
      </w:r>
      <w:r>
        <w:rPr>
          <w:color w:val="6B7280"/>
          <w:sz w:val="15"/>
          <w:szCs w:val="15"/>
        </w:rPr>
        <w:t xml:space="preserve">Subsequent events happen after the balance sheet date but before the statements are issued. If an event gives more information about a condition that already existed at year-end, the company adjusts the statements. If the condition arose after year-end, the company only discloses it. 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In U.S. GAAP answers, use allowance for contra-assets, accrued liability or loss contingency for liabilities, and never call either a reserve.</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land and buildings are shown at what they cost years ago. </w:t>
      </w:r>
      <w:r>
        <w:rPr>
          <w:sz w:val="19"/>
          <w:szCs w:val="19"/>
        </w:rPr>
        <w:t xml:space="preserve">Many amounts depend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credit losses and useful lives.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resources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developed brands, customer loyalty and a skilled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recorded, so the balance sheet usually shows much less than the market value of the company. </w:t>
      </w:r>
      <w:r>
        <w:rPr>
          <w:sz w:val="19"/>
          <w:szCs w:val="19"/>
        </w:rPr>
        <w:t xml:space="preserve">Some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year-end picture, for example by delaying payments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statements too. </w:t>
      </w:r>
      <w:r>
        <w:rPr>
          <w:sz w:val="19"/>
          <w:szCs w:val="19"/>
        </w:rPr>
        <w:t xml:space="preserve">The four statements are connected. </w:t>
      </w:r>
      <w:r>
        <w:rPr>
          <w:sz w:val="19"/>
          <w:szCs w:val="19"/>
        </w:rPr>
        <w:t xml:space="preserve">Net income from the income statement increases retained earnings in the statement of changes in equity, and the closing retained earnings appear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historical   ·   missing   ·   Finally   ·   Orontes's   ·   obligations   ·   allowance   ·   workforce   ·   Important   ·   Internally   ·   improve   ·   estimates   ·   valuation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The net change in cash in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cash flows explains the change in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cash. </w:t>
      </w:r>
      <w:r>
        <w:rPr>
          <w:sz w:val="19"/>
          <w:szCs w:val="19"/>
        </w:rPr>
        <w:t xml:space="preserve">Other comprehensive income works the same way.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OCI of $(1,125) does not go into retained earnings. </w:t>
      </w:r>
      <w:r>
        <w:rPr>
          <w:sz w:val="19"/>
          <w:szCs w:val="19"/>
        </w:rPr>
        <w:t xml:space="preserve">It goes into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missing   ·   Orontes's   ·   balance-sheet   ·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Total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value of the shares.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stockholders   ·   market   ·   compare</w:t>
            </w:r>
          </w:p>
        </w:tc>
      </w:tr>
    </w:tbl>
    <w:p/>
    <w:p>
      <w:pPr>
        <w:pageBreakBefore w:val="true"/>
        <w:spacing w:after="0"/>
      </w:pPr>
      <w:r>
        <w:rPr>
          <w:sz w:val="2"/>
        </w:rPr>
        <w:t xml:space="preserve"> </w:t>
      </w:r>
    </w:p>
    <w:p>
      <w:pPr>
        <w:spacing w:before="44" w:after="10"/>
      </w:pPr>
      <w:r>
        <w:rPr>
          <w:b/>
          <w:bCs/>
          <w:color w:val="353A7C"/>
          <w:sz w:val="18"/>
          <w:szCs w:val="18"/>
        </w:rPr>
        <w:t xml:space="preserve">Book value is not market value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rent   ·   Allowance for credit losses   ·   Accounts payable   ·   Additional paid-in capital   ·   Accounts receivable   ·   Notes payable (long-term)   ·   Cash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Cash surrender value</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 it is not expected to be turned into cash in the operating cycle.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Loan due on demand</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(27) </w:t>
            </w:r>
            <w:r>
              <w:rPr>
                <w:u w:val="single"/>
                <w:sz w:val="15"/>
                <w:szCs w:val="15"/>
              </w:rPr>
              <w:t xml:space="preserve">              </w:t>
            </w:r>
            <w:r>
              <w:rPr>
                <w:sz w:val="15"/>
                <w:szCs w:val="15"/>
              </w:rPr>
              <w:t xml:space="preserve"> </w:t>
            </w:r>
            <w:r>
              <w:rPr>
                <w:sz w:val="15"/>
                <w:szCs w:val="15"/>
              </w:rPr>
              <w:t xml:space="preserve">: debt due on demand is current, whatever the bank's expected behaviour.</w:t>
            </w:r>
          </w:p>
        </w:tc>
      </w:tr>
      <w:tr>
        <w:tc>
          <w:tcPr>
            <w:tcW w:type="pct" w:w="2400"/>
            <w:tcMar>
              <w:top w:type="dxa" w:w="50"/>
              <w:left w:type="dxa" w:w="110"/>
              <w:bottom w:type="dxa" w:w="50"/>
              <w:right w:type="dxa" w:w="110"/>
            </w:tcMar>
          </w:tcPr>
          <w:p>
            <w:pPr>
              <w:spacing w:before="28" w:after="28"/>
            </w:pPr>
            <w:r>
              <w:rPr>
                <w:sz w:val="15"/>
                <w:szCs w:val="15"/>
              </w:rPr>
              <w:t xml:space="preserve">Deferred tax asset</w:t>
            </w:r>
          </w:p>
        </w:tc>
        <w:tc>
          <w:tcPr>
            <w:tcW w:type="pct" w:w="2600"/>
            <w:tcMar>
              <w:top w:type="dxa" w:w="50"/>
              <w:left w:type="dxa" w:w="110"/>
              <w:bottom w:type="dxa" w:w="50"/>
              <w:right w:type="dxa" w:w="110"/>
            </w:tcMar>
          </w:tcPr>
          <w:p>
            <w:pPr>
              <w:spacing w:before="28" w:after="28"/>
            </w:pPr>
            <w:r>
              <w:rPr>
                <w:sz w:val="15"/>
                <w:szCs w:val="15"/>
              </w:rPr>
              <w:t xml:space="preserve">Noncurrent asset: all deferred taxes are noncurrent.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 deposits</w:t>
            </w:r>
          </w:p>
        </w:tc>
        <w:tc>
          <w:tcPr>
            <w:tcW w:type="pct" w:w="2600"/>
            <w:shd w:fill="FBFAF6" w:val="clear"/>
            <w:tcMar>
              <w:top w:type="dxa" w:w="50"/>
              <w:left w:type="dxa" w:w="110"/>
              <w:bottom w:type="dxa" w:w="50"/>
              <w:right w:type="dxa" w:w="110"/>
            </w:tcMar>
          </w:tcPr>
          <w:p>
            <w:pPr>
              <w:spacing w:before="28" w:after="28"/>
            </w:pPr>
            <w:r>
              <w:rPr>
                <w:sz w:val="15"/>
                <w:szCs w:val="15"/>
              </w:rPr>
              <w:t xml:space="preserve">Current liability (contract liability): it will be settled by delivering goods within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callable debt   ·   Noncurrent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Noncurrent asset</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Current asset   ·   M1   ·   Equity</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allowance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missing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workforce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Notes payable (long-term)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balance-sheet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The four statements are connected. Net income from the income statement increases retained earnings in the statement of changes in equity, and the closing retained earnings appear on the balance sheet.</w:t>
      </w:r>
    </w:p>
    <w:p>
      <w:pPr>
        <w:spacing w:before="20" w:after="20"/>
        <w:ind w:left="240" w:hanging="240"/>
      </w:pPr>
      <w:r>
        <w:rPr>
          <w:b/>
          <w:bCs/>
          <w:color w:val="353A7C"/>
          <w:sz w:val="15"/>
          <w:szCs w:val="15"/>
        </w:rPr>
        <w:t xml:space="preserve">Summary 2   </w:t>
      </w:r>
      <w:r>
        <w:rPr>
          <w:color w:val="6B7280"/>
          <w:sz w:val="15"/>
          <w:szCs w:val="15"/>
        </w:rPr>
        <w:t xml:space="preserve">The net change in cash in the statement of cash flows explains the change in the balance-sheet cash.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3   </w:t>
      </w:r>
      <w:r>
        <w:rPr>
          <w:color w:val="6B7280"/>
          <w:sz w:val="15"/>
          <w:szCs w:val="15"/>
        </w:rPr>
        <w:t xml:space="preserve">Total stockholders' equity is a book amount. It is not what the company is worth, and it is not the market value of the shares.</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Purpose and structure of the income statement</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income statement   ·   Unusual items and discontinued operations   ·   Limitations and links to the other statements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income statement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revenues, expenses, gains and losses for a period,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year.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net income,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Where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sheet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income statement is a film of the whole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 it to judge how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company is and to predict its future earnings and cash flows.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use it to see whether the company earns enough to pay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use it to compare results with budgets and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U.S. GAAP does not require one layout. </w:t>
      </w:r>
      <w:r>
        <w:rPr>
          <w:sz w:val="19"/>
          <w:szCs w:val="19"/>
        </w:rPr>
        <w:t xml:space="preserve">A multi-step income statement shows subtotals: gross profit, operating income and income before income taxes. </w:t>
      </w:r>
      <w:r>
        <w:rPr>
          <w:sz w:val="19"/>
          <w:szCs w:val="19"/>
        </w:rPr>
        <w:t xml:space="preserve">A single-step income statement adds all revenues and gains, deducts all expenses and losses, and reaches net income in one step. </w:t>
      </w:r>
      <w:r>
        <w:rPr>
          <w:sz w:val="19"/>
          <w:szCs w:val="19"/>
        </w:rPr>
        <w:t xml:space="preserve">SEC registrants such as Orontes follow the SEC's list of captions, which gives a multi-step layout.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balance   ·   increases   ·   company's   ·   earnings   ·   profitable   ·   usually   ·   Managers   ·   competitors   ·   result   ·   Investors   ·   Lenders   ·   photograph</w:t>
            </w:r>
          </w:p>
        </w:tc>
      </w:tr>
    </w:tbl>
    <w:p/>
    <w:p>
      <w:pPr>
        <w:spacing w:before="44" w:after="14"/>
      </w:pPr>
      <w:r>
        <w:rPr>
          <w:b/>
          <w:bCs/>
          <w:color w:val="353A7C"/>
          <w:sz w:val="18"/>
          <w:szCs w:val="18"/>
        </w:rPr>
        <w:t xml:space="preserve">Summary 2</w:t>
      </w:r>
      <w:r>
        <w:rPr>
          <w:color w:val="6B7280"/>
          <w:sz w:val="16"/>
          <w:szCs w:val="16"/>
        </w:rPr>
        <w:t xml:space="preserve">      gaps 15–20</w:t>
      </w:r>
    </w:p>
    <w:p>
      <w:pPr>
        <w:spacing w:before="20" w:after="20" w:line="360" w:lineRule="auto"/>
        <w:ind w:left="200"/>
      </w:pPr>
      <w:r>
        <w:rPr>
          <w:sz w:val="19"/>
          <w:szCs w:val="19"/>
        </w:rPr>
        <w:t xml:space="preserve">All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come from the same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 the balance sheet. </w:t>
      </w:r>
      <w:r>
        <w:rPr>
          <w:sz w:val="19"/>
          <w:szCs w:val="19"/>
        </w:rPr>
        <w:t xml:space="preserve">For example,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losses are the ones you calculated in, and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income comes. </w:t>
      </w:r>
      <w:r>
        <w:rPr>
          <w:sz w:val="19"/>
          <w:szCs w:val="19"/>
        </w:rPr>
        <w:t xml:space="preserve">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form is simpler to read, but it hides useful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multi-step form tells a reader that Orontes's main business earned $4,176,000 before interest and tax, and that other items reduced this by a net $217,200.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information   ·   single-step   ·   usually   ·   equity-method   ·   impairment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income and comprehensive income,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42,000,000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400"/>
            <w:shd w:fill="FBFAF6" w:val="clear"/>
            <w:tcMar>
              <w:top w:type="dxa" w:w="50"/>
              <w:left w:type="dxa" w:w="110"/>
              <w:bottom w:type="dxa" w:w="50"/>
              <w:right w:type="dxa" w:w="110"/>
            </w:tcMar>
          </w:tcPr>
          <w:p>
            <w:pPr>
              <w:spacing w:before="28" w:after="28"/>
            </w:pPr>
            <w:r>
              <w:rPr>
                <w:sz w:val="15"/>
                <w:szCs w:val="15"/>
              </w:rPr>
              <w:t xml:space="preserve">(27,300,000)</w:t>
            </w:r>
          </w:p>
        </w:tc>
      </w:tr>
      <w:tr>
        <w:tc>
          <w:tcPr>
            <w:tcW w:type="pct" w:w="2600"/>
            <w:tcMar>
              <w:top w:type="dxa" w:w="50"/>
              <w:left w:type="dxa" w:w="110"/>
              <w:bottom w:type="dxa" w:w="50"/>
              <w:right w:type="dxa" w:w="110"/>
            </w:tcMar>
          </w:tcPr>
          <w:p>
            <w:pPr>
              <w:spacing w:before="28" w:after="28"/>
            </w:pPr>
            <w:r>
              <w:rPr>
                <w:sz w:val="15"/>
                <w:szCs w:val="15"/>
              </w:rPr>
              <w:t xml:space="preserve">Gross profit</w:t>
            </w:r>
          </w:p>
        </w:tc>
        <w:tc>
          <w:tcPr>
            <w:tcW w:type="pct" w:w="2400"/>
            <w:tcMar>
              <w:top w:type="dxa" w:w="50"/>
              <w:left w:type="dxa" w:w="110"/>
              <w:bottom w:type="dxa" w:w="50"/>
              <w:right w:type="dxa" w:w="110"/>
            </w:tcMar>
          </w:tcPr>
          <w:p>
            <w:pPr>
              <w:spacing w:before="28" w:after="28"/>
            </w:pPr>
            <w:r>
              <w:rPr>
                <w:sz w:val="15"/>
                <w:szCs w:val="15"/>
              </w:rPr>
              <w:t xml:space="preserve">14,700,000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Operating expenses</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(7,237,000)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(63,000)</w:t>
            </w:r>
          </w:p>
        </w:tc>
      </w:tr>
      <w:tr>
        <w:tc>
          <w:tcPr>
            <w:tcW w:type="pct" w:w="2600"/>
            <w:tcMar>
              <w:top w:type="dxa" w:w="50"/>
              <w:left w:type="dxa" w:w="110"/>
              <w:bottom w:type="dxa" w:w="50"/>
              <w:right w:type="dxa" w:w="110"/>
            </w:tcMar>
          </w:tcPr>
          <w:p>
            <w:pPr>
              <w:spacing w:before="28" w:after="28"/>
            </w:pPr>
            <w:r>
              <w:rPr>
                <w:sz w:val="15"/>
                <w:szCs w:val="15"/>
              </w:rPr>
              <w:t xml:space="preserve">Research and development</w:t>
            </w:r>
          </w:p>
        </w:tc>
        <w:tc>
          <w:tcPr>
            <w:tcW w:type="pct" w:w="2400"/>
            <w:tcMar>
              <w:top w:type="dxa" w:w="50"/>
              <w:left w:type="dxa" w:w="110"/>
              <w:bottom w:type="dxa" w:w="50"/>
              <w:right w:type="dxa" w:w="110"/>
            </w:tcMar>
          </w:tcPr>
          <w:p>
            <w:pPr>
              <w:spacing w:before="28" w:after="28"/>
            </w:pPr>
            <w:r>
              <w:rPr>
                <w:sz w:val="15"/>
                <w:szCs w:val="15"/>
              </w:rPr>
              <w:t xml:space="preserve">(500,000)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Impairment losses</w:t>
            </w:r>
          </w:p>
        </w:tc>
        <w:tc>
          <w:tcPr>
            <w:tcW w:type="pct" w:w="2400"/>
            <w:shd w:fill="FBFAF6" w:val="clear"/>
            <w:tcMar>
              <w:top w:type="dxa" w:w="50"/>
              <w:left w:type="dxa" w:w="110"/>
              <w:bottom w:type="dxa" w:w="50"/>
              <w:right w:type="dxa" w:w="110"/>
            </w:tcMar>
          </w:tcPr>
          <w:p>
            <w:pPr>
              <w:spacing w:before="28" w:after="28"/>
            </w:pPr>
            <w:r>
              <w:rPr>
                <w:sz w:val="15"/>
                <w:szCs w:val="15"/>
              </w:rPr>
              <w:t xml:space="preserve">(2,724,000)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tcMar>
              <w:top w:type="dxa" w:w="50"/>
              <w:left w:type="dxa" w:w="110"/>
              <w:bottom w:type="dxa" w:w="50"/>
              <w:right w:type="dxa" w:w="110"/>
            </w:tcMar>
          </w:tcPr>
          <w:p>
            <w:pPr>
              <w:spacing w:before="28" w:after="28"/>
            </w:pPr>
            <w:r>
              <w:rPr>
                <w:sz w:val="15"/>
                <w:szCs w:val="15"/>
              </w:rPr>
              <w:t xml:space="preserve">(10,524,000)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shd w:fill="FBFAF6" w:val="clear"/>
            <w:tcMar>
              <w:top w:type="dxa" w:w="50"/>
              <w:left w:type="dxa" w:w="110"/>
              <w:bottom w:type="dxa" w:w="50"/>
              <w:right w:type="dxa" w:w="110"/>
            </w:tcMar>
          </w:tcPr>
          <w:p>
            <w:pPr>
              <w:spacing w:before="28" w:after="28"/>
            </w:pPr>
            <w:r>
              <w:rPr>
                <w:sz w:val="15"/>
                <w:szCs w:val="15"/>
              </w:rPr>
              <w:t xml:space="preserve">4,176,000</w:t>
            </w:r>
          </w:p>
        </w:tc>
      </w:tr>
      <w:tr>
        <w:tc>
          <w:tcPr>
            <w:tcW w:type="pct" w:w="2600"/>
            <w:tcMar>
              <w:top w:type="dxa" w:w="50"/>
              <w:left w:type="dxa" w:w="110"/>
              <w:bottom w:type="dxa" w:w="50"/>
              <w:right w:type="dxa" w:w="110"/>
            </w:tcMar>
          </w:tcPr>
          <w:p>
            <w:pPr>
              <w:spacing w:before="28" w:after="28"/>
            </w:pPr>
            <w:r>
              <w:rPr>
                <w:sz w:val="15"/>
                <w:szCs w:val="15"/>
              </w:rPr>
              <w:t xml:space="preserve">Other income and (expense)</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tcMar>
              <w:top w:type="dxa" w:w="50"/>
              <w:left w:type="dxa" w:w="110"/>
              <w:bottom w:type="dxa" w:w="50"/>
              <w:right w:type="dxa" w:w="110"/>
            </w:tcMar>
          </w:tcPr>
          <w:p>
            <w:pPr>
              <w:spacing w:before="28" w:after="28"/>
            </w:pPr>
            <w:r>
              <w:rPr>
                <w:sz w:val="15"/>
                <w:szCs w:val="15"/>
              </w:rPr>
              <w:t xml:space="preserve">Interest and dividend income</w:t>
            </w:r>
          </w:p>
        </w:tc>
        <w:tc>
          <w:tcPr>
            <w:tcW w:type="pct" w:w="2400"/>
            <w:tcMar>
              <w:top w:type="dxa" w:w="50"/>
              <w:left w:type="dxa" w:w="110"/>
              <w:bottom w:type="dxa" w:w="50"/>
              <w:right w:type="dxa" w:w="110"/>
            </w:tcMar>
          </w:tcPr>
          <w:p>
            <w:pPr>
              <w:spacing w:before="28" w:after="28"/>
            </w:pPr>
            <w:r>
              <w:rPr>
                <w:sz w:val="15"/>
                <w:szCs w:val="15"/>
              </w:rPr>
              <w:t xml:space="preserve">3,800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Unrealized gains on securities</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tcMar>
              <w:top w:type="dxa" w:w="50"/>
              <w:left w:type="dxa" w:w="110"/>
              <w:bottom w:type="dxa" w:w="50"/>
              <w:right w:type="dxa" w:w="110"/>
            </w:tcMar>
          </w:tcPr>
          <w:p>
            <w:pPr>
              <w:spacing w:before="28" w:after="28"/>
            </w:pPr>
            <w:r>
              <w:rPr>
                <w:sz w:val="15"/>
                <w:szCs w:val="15"/>
              </w:rPr>
              <w:t xml:space="preserve">177,000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tcMar>
              <w:top w:type="dxa" w:w="50"/>
              <w:left w:type="dxa" w:w="110"/>
              <w:bottom w:type="dxa" w:w="50"/>
              <w:right w:type="dxa" w:w="110"/>
            </w:tcMar>
          </w:tcPr>
          <w:p>
            <w:pPr>
              <w:spacing w:before="28" w:after="28"/>
            </w:pPr>
            <w:r>
              <w:rPr>
                <w:sz w:val="15"/>
                <w:szCs w:val="15"/>
              </w:rPr>
              <w:t xml:space="preserve">(15,000)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other income and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(217,200)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2,969,100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Earnings per share, basic and diluted</w:t>
            </w:r>
          </w:p>
        </w:tc>
        <w:tc>
          <w:tcPr>
            <w:tcW w:type="pct" w:w="2400"/>
            <w:shd w:fill="FBFAF6" w:val="clear"/>
            <w:tcMar>
              <w:top w:type="dxa" w:w="50"/>
              <w:left w:type="dxa" w:w="110"/>
              <w:bottom w:type="dxa" w:w="50"/>
              <w:right w:type="dxa" w:w="110"/>
            </w:tcMar>
          </w:tcPr>
          <w:p>
            <w:pPr>
              <w:spacing w:before="28" w:after="28"/>
            </w:pPr>
            <w:r>
              <w:rPr>
                <w:sz w:val="15"/>
                <w:szCs w:val="15"/>
              </w:rPr>
              <w:t xml:space="preserve">$0.37</w:t>
            </w:r>
          </w:p>
        </w:tc>
      </w:tr>
      <w:tr>
        <w:tc>
          <w:tcPr>
            <w:tcW w:type="pct" w:w="2600"/>
            <w:tcMar>
              <w:top w:type="dxa" w:w="50"/>
              <w:left w:type="dxa" w:w="110"/>
              <w:bottom w:type="dxa" w:w="50"/>
              <w:right w:type="dxa" w:w="110"/>
            </w:tcMar>
          </w:tcPr>
          <w:p>
            <w:pPr>
              <w:spacing w:before="28" w:after="28"/>
            </w:pPr>
            <w:r>
              <w:rPr>
                <w:sz w:val="15"/>
                <w:szCs w:val="15"/>
              </w:rPr>
              <w:t xml:space="preserve">Weighted-average shares outstanding</w:t>
            </w:r>
          </w:p>
        </w:tc>
        <w:tc>
          <w:tcPr>
            <w:tcW w:type="pct" w:w="2400"/>
            <w:tcMar>
              <w:top w:type="dxa" w:w="50"/>
              <w:left w:type="dxa" w:w="110"/>
              <w:bottom w:type="dxa" w:w="50"/>
              <w:right w:type="dxa" w:w="110"/>
            </w:tcMar>
          </w:tcPr>
          <w:p>
            <w:pPr>
              <w:spacing w:before="28" w:after="28"/>
            </w:pPr>
            <w:r>
              <w:rPr>
                <w:sz w:val="15"/>
                <w:szCs w:val="15"/>
              </w:rPr>
              <w:t xml:space="preserve">8,099,726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Other comprehensive income</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Unrealized loss on available-for-sale debt securities, net of tax of 375</w:t>
            </w:r>
          </w:p>
        </w:tc>
        <w:tc>
          <w:tcPr>
            <w:tcW w:type="pct" w:w="2400"/>
            <w:tcMar>
              <w:top w:type="dxa" w:w="50"/>
              <w:left w:type="dxa" w:w="110"/>
              <w:bottom w:type="dxa" w:w="50"/>
              <w:right w:type="dxa" w:w="110"/>
            </w:tcMar>
          </w:tcPr>
          <w:p>
            <w:pPr>
              <w:spacing w:before="28" w:after="28"/>
            </w:pPr>
            <w:r>
              <w:rPr>
                <w:sz w:val="15"/>
                <w:szCs w:val="15"/>
              </w:rPr>
              <w:t xml:space="preserve">(1,125)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Comprehensive income</w:t>
            </w:r>
          </w:p>
        </w:tc>
        <w:tc>
          <w:tcPr>
            <w:tcW w:type="pct" w:w="2400"/>
            <w:shd w:fill="FBFAF6" w:val="clear"/>
            <w:tcMar>
              <w:top w:type="dxa" w:w="50"/>
              <w:left w:type="dxa" w:w="110"/>
              <w:bottom w:type="dxa" w:w="50"/>
              <w:right w:type="dxa" w:w="110"/>
            </w:tcMar>
          </w:tcPr>
          <w:p>
            <w:pPr>
              <w:spacing w:before="28" w:after="28"/>
            </w:pPr>
            <w:r>
              <w:rPr>
                <w:sz w:val="15"/>
                <w:szCs w:val="15"/>
              </w:rPr>
              <w:t xml:space="preserve">2,967,975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Credit loss expense   ·   Income tax expense   ·   Loss on sale of receivables   ·   Net sales   ·   Gain on sale of equipment   ·   Total operating expenses   ·   Selling, general and administrative   ·   Operating income   ·   Equity-method income   ·   Income before income taxes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tax allocation   ·   single-step income statement   ·   multi-step income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8"/>
        <w:gridCol w:w="48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2"/>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548"/>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452"/>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548"/>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Purpose and structure of the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Unusual items and discontinued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to the other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single-step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Net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Selling, general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Credit loss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photograph</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operating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Equity-method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Loss on sale of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Income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multi-step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single-step income statement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income statement reports a company's revenues, expenses, gains and losses for a period, usually a year. The result is net income, which increases retained earnings. Where the balance sheet is a photograph, the income statement is a film of the whole year. Investors use it to judge how profitable the company is and to predict its future earnings and cash flows. Lenders use it to see whether the company earns enough to pay interest. Managers use it to compare results with budgets and with competitors. U.S. GAAP does not require one layout.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pacing w:before="20" w:after="20"/>
        <w:ind w:left="240" w:hanging="240"/>
      </w:pPr>
      <w:r>
        <w:rPr>
          <w:b/>
          <w:bCs/>
          <w:color w:val="353A7C"/>
          <w:sz w:val="15"/>
          <w:szCs w:val="15"/>
        </w:rPr>
        <w:t xml:space="preserve">Summary 2   </w:t>
      </w:r>
      <w:r>
        <w:rPr>
          <w:color w:val="6B7280"/>
          <w:sz w:val="15"/>
          <w:szCs w:val="15"/>
        </w:rPr>
        <w:t xml:space="preserve">All the amounts come from the same records as the balance sheet. For example, the impairment losses are the ones you calculated in, and the equity-method income comes. The single-step form is simpler to read, but it hides useful information. The multi-step form tells a reader that Orontes's main business earned $4,176,000 before interest and tax, and that other items reduced this by a net $217,200.</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Building the multi-step income statement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Gross profit is net sales minus cost of goods sold. </w:t>
      </w:r>
      <w:r>
        <w:rPr>
          <w:sz w:val="19"/>
          <w:szCs w:val="19"/>
        </w:rPr>
        <w:t xml:space="preserve">It shows how much the company earns on what it sells before its other costs. </w:t>
      </w:r>
      <w:r>
        <w:rPr>
          <w:sz w:val="19"/>
          <w:szCs w:val="19"/>
        </w:rPr>
        <w:t xml:space="preserve">Orontes's gross profit is $14,700,000, which is 35% of net sales. </w:t>
      </w:r>
      <w:r>
        <w:rPr>
          <w:sz w:val="19"/>
          <w:szCs w:val="19"/>
        </w:rPr>
        <w:t xml:space="preserve">Operating income is gross profit minus operating expenses: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general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expenses, research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credit losses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Interest and income tax are never operating expenses. </w:t>
      </w:r>
      <w:r>
        <w:rPr>
          <w:sz w:val="19"/>
          <w:szCs w:val="19"/>
        </w:rPr>
        <w:t xml:space="preserve">Orontes's operating income is $4,176,000. </w:t>
      </w:r>
      <w:r>
        <w:rPr>
          <w:sz w:val="19"/>
          <w:szCs w:val="19"/>
        </w:rPr>
        <w:t xml:space="preserve">Other income and expense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It contains interest,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and gains and losses. </w:t>
      </w:r>
      <w:r>
        <w:rPr>
          <w:sz w:val="19"/>
          <w:szCs w:val="19"/>
        </w:rPr>
        <w:t xml:space="preserve">A gain or loss comes from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incidental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it is shown net. </w:t>
      </w:r>
      <w:r>
        <w:rPr>
          <w:sz w:val="19"/>
          <w:szCs w:val="19"/>
        </w:rPr>
        <w:t xml:space="preserve">For example, Orontes sold an old oven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amount, not the full proceeds. </w:t>
      </w:r>
      <w:r>
        <w:rPr>
          <w:sz w:val="19"/>
          <w:szCs w:val="19"/>
        </w:rPr>
        <w:t xml:space="preserve">Income tax expense is then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from income before income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follows   ·   administrative   ·   reported   ·   transaction   ·   deducted   ·   impairments   ·   selling   ·   peripheral   ·   proceeds   ·   carrying   ·   development</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Public companies also show earnings per share (EPS) on the face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Orontes's basic EPS is $0.37: net income divided by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number of shares outstanding. </w:t>
      </w:r>
      <w:r>
        <w:rPr>
          <w:sz w:val="19"/>
          <w:szCs w:val="19"/>
        </w:rPr>
        <w:t xml:space="preserve">Part 2 of the CMA exam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EPS in depth.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step is the cost of goods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biggest   ·   analyzes   ·   statement   ·   weighted-average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subtotals</w:t>
            </w:r>
          </w:p>
        </w:tc>
      </w:tr>
    </w:tbl>
    <w:p/>
    <w:p>
      <w:pPr>
        <w:spacing w:before="44" w:after="14"/>
      </w:pPr>
      <w:r>
        <w:rPr>
          <w:b/>
          <w:bCs/>
          <w:color w:val="353A7C"/>
          <w:sz w:val="18"/>
          <w:szCs w:val="18"/>
        </w:rPr>
        <w:t xml:space="preserve">Summary 3</w:t>
      </w:r>
      <w:r>
        <w:rPr>
          <w:color w:val="6B7280"/>
          <w:sz w:val="16"/>
          <w:szCs w:val="16"/>
        </w:rPr>
        <w:t xml:space="preserve">      gaps 16–18</w:t>
      </w:r>
    </w:p>
    <w:p>
      <w:pPr>
        <w:spacing w:before="20" w:after="20" w:line="360" w:lineRule="auto"/>
        <w:ind w:left="200"/>
      </w:pPr>
      <w:r>
        <w:rPr>
          <w:sz w:val="19"/>
          <w:szCs w:val="19"/>
        </w:rPr>
        <w:t xml:space="preserve">Gross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$42,000,000 − $27,300,000 = $14,700,000. </w:t>
      </w:r>
      <w:r>
        <w:rPr>
          <w:sz w:val="19"/>
          <w:szCs w:val="19"/>
        </w:rPr>
        <w:t xml:space="preserve">Operating income: $14,700,000 − $10,524,000 of operating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 $4,176,000. </w:t>
      </w:r>
      <w:r>
        <w:rPr>
          <w:sz w:val="19"/>
          <w:szCs w:val="19"/>
        </w:rPr>
        <w:t xml:space="preserve">Income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income taxes: $4,176,000 − net other expense of $217,200 = $3,958,800. </w:t>
      </w:r>
      <w:r>
        <w:rPr>
          <w:sz w:val="19"/>
          <w:szCs w:val="19"/>
        </w:rPr>
        <w:t xml:space="preserve">Net income: $3,958,800 − income tax of $989,700 = $2,969,100.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investment   ·   expenses   ·   before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2025 income statement</w:t>
            </w:r>
          </w:p>
        </w:tc>
      </w:tr>
    </w:tbl>
    <w:p/>
    <w:p>
      <w:pPr>
        <w:spacing w:before="20" w:after="20" w:line="360" w:lineRule="auto"/>
        <w:ind w:left="200"/>
      </w:pPr>
      <w:r>
        <w:rPr>
          <w:sz w:val="19"/>
          <w:szCs w:val="19"/>
        </w:rPr>
        <w:t xml:space="preserve">Barada's 2025 statements ignore income tax. Fill in the three blanks.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the line is drawn</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19–21</w:t>
      </w:r>
    </w:p>
    <w:p>
      <w:pPr>
        <w:spacing w:before="20" w:after="20" w:line="360" w:lineRule="auto"/>
        <w:ind w:left="200"/>
      </w:pPr>
      <w:r>
        <w:rPr>
          <w:sz w:val="19"/>
          <w:szCs w:val="19"/>
        </w:rPr>
        <w:t xml:space="preserve">Interest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below operating income, never inside it. </w:t>
      </w:r>
      <w:r>
        <w:rPr>
          <w:sz w:val="19"/>
          <w:szCs w:val="19"/>
        </w:rPr>
        <w:t xml:space="preserve">A gain on selling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other income, not revenue. </w:t>
      </w:r>
      <w:r>
        <w:rPr>
          <w:sz w:val="19"/>
          <w:szCs w:val="19"/>
        </w:rPr>
        <w:t xml:space="preserve">Gross profit uses cost of goods sold only; wages and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outside production are operating expenses.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   ·   equipment   ·   depreciation   ·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 multi-step income statement, 2025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year ended December 31, 2025 (</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3,100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(1,860)</w:t>
            </w:r>
          </w:p>
        </w:tc>
      </w:tr>
      <w:tr>
        <w:tc>
          <w:tcPr>
            <w:tcW w:type="pct" w:w="2600"/>
            <w:tcMar>
              <w:top w:type="dxa" w:w="50"/>
              <w:left w:type="dxa" w:w="110"/>
              <w:bottom w:type="dxa" w:w="50"/>
              <w:right w:type="dxa" w:w="110"/>
            </w:tcMar>
          </w:tcPr>
          <w:p>
            <w:pPr>
              <w:spacing w:before="28" w:after="28"/>
            </w:pPr>
            <w:r>
              <w:rPr>
                <w:sz w:val="15"/>
                <w:szCs w:val="15"/>
              </w:rPr>
              <w:t xml:space="preserve">Gross profit</w:t>
            </w:r>
          </w:p>
        </w:tc>
        <w:tc>
          <w:tcPr>
            <w:tcW w:type="pct" w:w="2400"/>
            <w:tcMar>
              <w:top w:type="dxa" w:w="50"/>
              <w:left w:type="dxa" w:w="110"/>
              <w:bottom w:type="dxa" w:w="50"/>
              <w:right w:type="dxa" w:w="110"/>
            </w:tcMar>
          </w:tcPr>
          <w:p>
            <w:pPr>
              <w:spacing w:before="28" w:after="28"/>
            </w:pPr>
            <w:r>
              <w:rPr>
                <w:sz w:val="15"/>
                <w:szCs w:val="15"/>
              </w:rPr>
              <w:t xml:space="preserve">1,240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(520)</w:t>
            </w:r>
          </w:p>
        </w:tc>
      </w:tr>
      <w:tr>
        <w:tc>
          <w:tcPr>
            <w:tcW w:type="pct" w:w="2600"/>
            <w:tcMar>
              <w:top w:type="dxa" w:w="50"/>
              <w:left w:type="dxa" w:w="110"/>
              <w:bottom w:type="dxa" w:w="50"/>
              <w:right w:type="dxa" w:w="110"/>
            </w:tcMar>
          </w:tcPr>
          <w:p>
            <w:pPr>
              <w:spacing w:before="28" w:after="28"/>
            </w:pPr>
            <w:r>
              <w:rPr>
                <w:sz w:val="15"/>
                <w:szCs w:val="15"/>
              </w:rPr>
              <w:t xml:space="preserve">Depreciation expense</w:t>
            </w:r>
          </w:p>
        </w:tc>
        <w:tc>
          <w:tcPr>
            <w:tcW w:type="pct" w:w="2400"/>
            <w:tcMar>
              <w:top w:type="dxa" w:w="50"/>
              <w:left w:type="dxa" w:w="110"/>
              <w:bottom w:type="dxa" w:w="50"/>
              <w:right w:type="dxa" w:w="110"/>
            </w:tcMar>
          </w:tcPr>
          <w:p>
            <w:pPr>
              <w:spacing w:before="28" w:after="28"/>
            </w:pPr>
            <w:r>
              <w:rPr>
                <w:sz w:val="15"/>
                <w:szCs w:val="15"/>
              </w:rPr>
              <w:t xml:space="preserve">(300)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tcMar>
              <w:top w:type="dxa" w:w="50"/>
              <w:left w:type="dxa" w:w="110"/>
              <w:bottom w:type="dxa" w:w="50"/>
              <w:right w:type="dxa" w:w="110"/>
            </w:tcMar>
          </w:tcPr>
          <w:p>
            <w:pPr>
              <w:spacing w:before="28" w:after="28"/>
            </w:pPr>
            <w:r>
              <w:rPr>
                <w:sz w:val="15"/>
                <w:szCs w:val="15"/>
              </w:rPr>
              <w:t xml:space="preserve">(90)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Gross profit as a percentage of sales</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income   ·   Sales revenue   ·   Interest expense   ·   Wages expense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other income and expense   ·   earnings per share (EPS)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2"/>
        <w:gridCol w:w="485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0"/>
            <w:tcMar>
              <w:top w:type="dxa" w:w="50"/>
              <w:left w:type="dxa" w:w="110"/>
              <w:bottom w:type="dxa" w:w="50"/>
              <w:right w:type="dxa" w:w="110"/>
            </w:tcMar>
          </w:tcPr>
          <w:p>
            <w:pPr>
              <w:spacing w:before="26" w:after="26"/>
            </w:pPr>
            <w:r>
              <w:rPr>
                <w:color w:val="232733"/>
                <w:sz w:val="16"/>
                <w:szCs w:val="16"/>
              </w:rPr>
              <w:t xml:space="preserve">operating income</w:t>
            </w:r>
          </w:p>
        </w:tc>
        <w:tc>
          <w:tcPr>
            <w:tcW w:type="pct" w:w="253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470"/>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530"/>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function of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Building the multi-step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biggest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impairments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Interest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earnings per share (EPS)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analyzes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Gross profit is net sales minus cost of goods sold. It shows how much the company earns on what it sells before its other costs. Orontes's gross profit is $14,700,000, which is 35% of net sales. Operating income is gross profit minus operating expenses: selling, general and administrative expenses, research and development, credit losses and impairments. Interest and income tax are never operating expenses. Orontes's operating income is $4,176,000. Other income and expense follows operating income. It contains interest, investment income and gains and losses. A gain or loss comes from a peripheral or incidental transaction, and it is shown net. For example, Orontes sold an old oven and reported a gain of $3,000: the proceeds minus the carrying amount, not the full proceeds. Income tax expense is then deducted from income before income taxes.</w:t>
      </w:r>
    </w:p>
    <w:p>
      <w:pPr>
        <w:spacing w:before="20" w:after="20"/>
        <w:ind w:left="240" w:hanging="240"/>
      </w:pPr>
      <w:r>
        <w:rPr>
          <w:b/>
          <w:bCs/>
          <w:color w:val="353A7C"/>
          <w:sz w:val="15"/>
          <w:szCs w:val="15"/>
        </w:rPr>
        <w:t xml:space="preserve">Summary 2   </w:t>
      </w:r>
      <w:r>
        <w:rPr>
          <w:color w:val="6B7280"/>
          <w:sz w:val="15"/>
          <w:szCs w:val="15"/>
        </w:rPr>
        <w:t xml:space="preserve">Public companies also show earnings per share (EPS) on the face of the statement. Orontes's basic EPS is $0.37: net income divided by the weighted-average number of shares outstanding. Part 2 of the CMA exam analyzes EPS in depth. The biggest step is the cost of goods sold.</w:t>
      </w:r>
    </w:p>
    <w:p>
      <w:pPr>
        <w:spacing w:before="20" w:after="20"/>
        <w:ind w:left="240" w:hanging="240"/>
      </w:pPr>
      <w:r>
        <w:rPr>
          <w:b/>
          <w:bCs/>
          <w:color w:val="353A7C"/>
          <w:sz w:val="15"/>
          <w:szCs w:val="15"/>
        </w:rPr>
        <w:t xml:space="preserve">Summary 3   </w:t>
      </w:r>
      <w:r>
        <w:rPr>
          <w:color w:val="6B7280"/>
          <w:sz w:val="15"/>
          <w:szCs w:val="15"/>
        </w:rPr>
        <w:t xml:space="preserve">Gross profit: $42,000,000 − $27,300,000 = $14,700,000. Operating income: $14,700,000 − $10,524,000 of operating expenses = $4,176,000. Income before income taxes: $4,176,000 − net other expense of $217,200 = $3,958,800. Net income: $3,958,800 − income tax of $989,700 = $2,969,100.</w:t>
      </w:r>
    </w:p>
    <w:p>
      <w:pPr>
        <w:spacing w:before="20" w:after="20"/>
        <w:ind w:left="240" w:hanging="240"/>
      </w:pPr>
      <w:r>
        <w:rPr>
          <w:b/>
          <w:bCs/>
          <w:color w:val="353A7C"/>
          <w:sz w:val="15"/>
          <w:szCs w:val="15"/>
        </w:rPr>
        <w:t xml:space="preserve">Summary 4   </w:t>
      </w:r>
      <w:r>
        <w:rPr>
          <w:color w:val="6B7280"/>
          <w:sz w:val="15"/>
          <w:szCs w:val="15"/>
        </w:rPr>
        <w:t xml:space="preserve">Interest expense is below operating income, never inside it. A gain on selling equipment is other income, not revenue. Gross profit uses cost of goods sold only; wages and depreciation outside production are operating expenses.</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Unusual items and discontinued operations</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items need special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they may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again. </w:t>
      </w:r>
      <w:r>
        <w:rPr>
          <w:sz w:val="19"/>
          <w:szCs w:val="19"/>
        </w:rPr>
        <w:t xml:space="preserve">U.S. GAAP no longer has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the FASB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them in 2015. </w:t>
      </w:r>
      <w:r>
        <w:rPr>
          <w:sz w:val="19"/>
          <w:szCs w:val="19"/>
        </w:rPr>
        <w:t xml:space="preserve">An unusual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item, such as a large fire loss, is shown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line within continuing operations, before tax. </w:t>
      </w:r>
      <w:r>
        <w:rPr>
          <w:sz w:val="19"/>
          <w:szCs w:val="19"/>
        </w:rPr>
        <w:t xml:space="preserve">It is never shown net of tax. </w:t>
      </w:r>
      <w:r>
        <w:rPr>
          <w:sz w:val="19"/>
          <w:szCs w:val="19"/>
        </w:rPr>
        <w:t xml:space="preserve">A discontinued operation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an entity that the company has sold, has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held for sale, or has abandoned. </w:t>
      </w:r>
      <w:r>
        <w:rPr>
          <w:sz w:val="19"/>
          <w:szCs w:val="19"/>
        </w:rPr>
        <w:t xml:space="preserve">The disposal must also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shift with a major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company.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leaving a major line of business or a major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area. </w:t>
      </w:r>
      <w:r>
        <w:rPr>
          <w:sz w:val="19"/>
          <w:szCs w:val="19"/>
        </w:rPr>
        <w:t xml:space="preserve">Closing one store or stopping one small product does not qualify. </w:t>
      </w:r>
      <w:r>
        <w:rPr>
          <w:sz w:val="19"/>
          <w:szCs w:val="19"/>
        </w:rPr>
        <w:t xml:space="preserve">The results of a discontinued operation, including any gain or loss on disposal, appear below income from continuing operations, net of their own tax. </w:t>
      </w:r>
      <w:r>
        <w:rPr>
          <w:sz w:val="19"/>
          <w:szCs w:val="19"/>
        </w:rPr>
        <w:t xml:space="preserve">This is called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Examples   ·   strategic   ·   removed   ·   component   ·   infrequent   ·   including   ·   attention   ·   classified   ·   geographic   ·   effect   ·   happen   ·   extraordinary</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Ask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order: OCI first, then discontinued operations, then unusual items, and finally main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or other income and expense. </w:t>
      </w:r>
      <w:r>
        <w:rPr>
          <w:sz w:val="19"/>
          <w:szCs w:val="19"/>
        </w:rPr>
        <w:t xml:space="preserve">Suppose that in 2026 Orontes sells its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business to focus 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dry foods. </w:t>
      </w:r>
      <w:r>
        <w:rPr>
          <w:sz w:val="19"/>
          <w:szCs w:val="19"/>
        </w:rPr>
        <w:t xml:space="preserve">This is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shift. </w:t>
      </w:r>
      <w:r>
        <w:rPr>
          <w:sz w:val="19"/>
          <w:szCs w:val="19"/>
        </w:rPr>
        <w:t xml:space="preserve">The business lost $420,000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tax during the year, and the sale caused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loss of $180,000. </w:t>
      </w:r>
      <w:r>
        <w:rPr>
          <w:sz w:val="19"/>
          <w:szCs w:val="19"/>
        </w:rPr>
        <w:t xml:space="preserve">Each loss reduces tax, so Orontes reports a loss from discontinued operations of $450,000, net of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activities   ·   before   ·   strategic   ·   further   ·   questions   ·   unusual   ·   frozen-foods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930"/>
        <w:gridCol w:w="1516"/>
        <w:gridCol w:w="193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sells its frozen-foods business in 2026 — discontinued operations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Before tax</w:t>
            </w:r>
          </w:p>
        </w:tc>
        <w:tc>
          <w:tcPr>
            <w:tcW w:type="pct" w:w="790"/>
            <w:shd w:fill="353A7C" w:val="clear"/>
            <w:tcMar>
              <w:top w:type="dxa" w:w="50"/>
              <w:left w:type="dxa" w:w="110"/>
              <w:bottom w:type="dxa" w:w="50"/>
              <w:right w:type="dxa" w:w="110"/>
            </w:tcMar>
          </w:tcPr>
          <w:p>
            <w:pPr>
              <w:spacing w:before="30" w:after="30"/>
            </w:pPr>
            <w:r>
              <w:rPr>
                <w:b/>
                <w:bCs/>
                <w:color w:val="FFFFFF"/>
                <w:sz w:val="15"/>
                <w:szCs w:val="15"/>
              </w:rPr>
              <w:t xml:space="preserve">Tax benefit</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Net of tax</w:t>
            </w:r>
          </w:p>
        </w:tc>
      </w:tr>
      <w:tr>
        <w:tc>
          <w:tcPr>
            <w:tcW w:type="pct" w:w="2200"/>
            <w:tcMar>
              <w:top w:type="dxa" w:w="50"/>
              <w:left w:type="dxa" w:w="110"/>
              <w:bottom w:type="dxa" w:w="50"/>
              <w:right w:type="dxa" w:w="110"/>
            </w:tcMar>
          </w:tcPr>
          <w:p>
            <w:pPr>
              <w:spacing w:before="28" w:after="28"/>
            </w:pPr>
            <w:r>
              <w:rPr>
                <w:sz w:val="15"/>
                <w:szCs w:val="15"/>
              </w:rPr>
              <w:t xml:space="preserve">Loss from operations of the frozen-foods business</w:t>
            </w:r>
          </w:p>
        </w:tc>
        <w:tc>
          <w:tcPr>
            <w:tcW w:type="pct" w:w="1005"/>
            <w:tcMar>
              <w:top w:type="dxa" w:w="50"/>
              <w:left w:type="dxa" w:w="110"/>
              <w:bottom w:type="dxa" w:w="50"/>
              <w:right w:type="dxa" w:w="110"/>
            </w:tcMar>
          </w:tcPr>
          <w:p>
            <w:pPr>
              <w:spacing w:before="28" w:after="28"/>
            </w:pPr>
            <w:r>
              <w:rPr>
                <w:sz w:val="15"/>
                <w:szCs w:val="15"/>
              </w:rPr>
              <w:t xml:space="preserve">(420,000)</w:t>
            </w:r>
          </w:p>
        </w:tc>
        <w:tc>
          <w:tcPr>
            <w:tcW w:type="pct" w:w="790"/>
            <w:tcMar>
              <w:top w:type="dxa" w:w="50"/>
              <w:left w:type="dxa" w:w="110"/>
              <w:bottom w:type="dxa" w:w="50"/>
              <w:right w:type="dxa" w:w="110"/>
            </w:tcMar>
          </w:tcPr>
          <w:p>
            <w:pPr>
              <w:spacing w:before="28" w:after="28"/>
            </w:pPr>
            <w:r>
              <w:rPr>
                <w:sz w:val="15"/>
                <w:szCs w:val="15"/>
              </w:rPr>
              <w:t xml:space="preserve">105,000</w:t>
            </w:r>
          </w:p>
        </w:tc>
        <w:tc>
          <w:tcPr>
            <w:tcW w:type="pct" w:w="1005"/>
            <w:tcMar>
              <w:top w:type="dxa" w:w="50"/>
              <w:left w:type="dxa" w:w="110"/>
              <w:bottom w:type="dxa" w:w="50"/>
              <w:right w:type="dxa" w:w="110"/>
            </w:tcMar>
          </w:tcPr>
          <w:p>
            <w:pPr>
              <w:spacing w:before="28" w:after="28"/>
            </w:pPr>
            <w:r>
              <w:rPr>
                <w:sz w:val="15"/>
                <w:szCs w:val="15"/>
              </w:rPr>
              <w:t xml:space="preserve">(315,000)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005"/>
            <w:shd w:fill="FBFAF6" w:val="clear"/>
            <w:tcMar>
              <w:top w:type="dxa" w:w="50"/>
              <w:left w:type="dxa" w:w="110"/>
              <w:bottom w:type="dxa" w:w="50"/>
              <w:right w:type="dxa" w:w="110"/>
            </w:tcMar>
          </w:tcPr>
          <w:p>
            <w:pPr>
              <w:spacing w:before="28" w:after="28"/>
            </w:pPr>
            <w:r>
              <w:rPr>
                <w:sz w:val="15"/>
                <w:szCs w:val="15"/>
              </w:rPr>
              <w:t xml:space="preserve">(180,000)</w:t>
            </w:r>
          </w:p>
        </w:tc>
        <w:tc>
          <w:tcPr>
            <w:tcW w:type="pct" w:w="790"/>
            <w:shd w:fill="FBFAF6" w:val="clear"/>
            <w:tcMar>
              <w:top w:type="dxa" w:w="50"/>
              <w:left w:type="dxa" w:w="110"/>
              <w:bottom w:type="dxa" w:w="50"/>
              <w:right w:type="dxa" w:w="110"/>
            </w:tcMar>
          </w:tcPr>
          <w:p>
            <w:pPr>
              <w:spacing w:before="28" w:after="28"/>
            </w:pPr>
            <w:r>
              <w:rPr>
                <w:sz w:val="15"/>
                <w:szCs w:val="15"/>
              </w:rPr>
              <w:t xml:space="preserve">45,000</w:t>
            </w:r>
          </w:p>
        </w:tc>
        <w:tc>
          <w:tcPr>
            <w:tcW w:type="pct" w:w="1005"/>
            <w:shd w:fill="FBFAF6" w:val="clear"/>
            <w:tcMar>
              <w:top w:type="dxa" w:w="50"/>
              <w:left w:type="dxa" w:w="110"/>
              <w:bottom w:type="dxa" w:w="50"/>
              <w:right w:type="dxa" w:w="110"/>
            </w:tcMar>
          </w:tcPr>
          <w:p>
            <w:pPr>
              <w:spacing w:before="28" w:after="28"/>
            </w:pPr>
            <w:r>
              <w:rPr>
                <w:sz w:val="15"/>
                <w:szCs w:val="15"/>
              </w:rPr>
              <w:t xml:space="preserve">(135,000)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005"/>
            <w:tcMar>
              <w:top w:type="dxa" w:w="50"/>
              <w:left w:type="dxa" w:w="110"/>
              <w:bottom w:type="dxa" w:w="50"/>
              <w:right w:type="dxa" w:w="110"/>
            </w:tcMar>
          </w:tcPr>
          <w:p>
            <w:pPr>
              <w:spacing w:before="28" w:after="28"/>
            </w:pPr>
            <w:r>
              <w:rPr>
                <w:sz w:val="15"/>
                <w:szCs w:val="15"/>
              </w:rPr>
              <w:t xml:space="preserve">(600,000)</w:t>
            </w:r>
          </w:p>
        </w:tc>
        <w:tc>
          <w:tcPr>
            <w:tcW w:type="pct" w:w="790"/>
            <w:tcMar>
              <w:top w:type="dxa" w:w="50"/>
              <w:left w:type="dxa" w:w="110"/>
              <w:bottom w:type="dxa" w:w="50"/>
              <w:right w:type="dxa" w:w="110"/>
            </w:tcMar>
          </w:tcPr>
          <w:p>
            <w:pPr>
              <w:spacing w:before="28" w:after="28"/>
            </w:pPr>
            <w:r>
              <w:rPr>
                <w:sz w:val="15"/>
                <w:szCs w:val="15"/>
              </w:rPr>
              <w:t xml:space="preserve">150,000</w:t>
            </w:r>
          </w:p>
        </w:tc>
        <w:tc>
          <w:tcPr>
            <w:tcW w:type="pct" w:w="1005"/>
            <w:tcMar>
              <w:top w:type="dxa" w:w="50"/>
              <w:left w:type="dxa" w:w="110"/>
              <w:bottom w:type="dxa" w:w="50"/>
              <w:right w:type="dxa" w:w="110"/>
            </w:tcMar>
          </w:tcPr>
          <w:p>
            <w:pPr>
              <w:spacing w:before="28" w:after="28"/>
            </w:pPr>
            <w:r>
              <w:rPr>
                <w:sz w:val="15"/>
                <w:szCs w:val="15"/>
              </w:rPr>
              <w:t xml:space="preserve">(450,000)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on disposal of the business   ·   Loss from discontinued operations   ·   earnings per share (EPS)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Extraordinary nostalgia</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22–27</w:t>
      </w:r>
    </w:p>
    <w:p>
      <w:pPr>
        <w:spacing w:before="20" w:after="20" w:line="360" w:lineRule="auto"/>
        <w:ind w:left="200"/>
      </w:pPr>
      <w:r>
        <w:rPr>
          <w:sz w:val="19"/>
          <w:szCs w:val="19"/>
        </w:rPr>
        <w:t xml:space="preserve">Older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 earthquakes and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 extraordinary items, net of tax, below continuing operations. </w:t>
      </w:r>
      <w:r>
        <w:rPr>
          <w:sz w:val="19"/>
          <w:szCs w:val="19"/>
        </w:rPr>
        <w:t xml:space="preserve">On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exam, such an item is unusual or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 separate pre-tax line in continuing operations. </w:t>
      </w:r>
      <w:r>
        <w:rPr>
          <w:sz w:val="19"/>
          <w:szCs w:val="19"/>
        </w:rPr>
        <w:t xml:space="preserve">Only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operations are shown net of tax below continuing operations. </w:t>
      </w:r>
      <w:r>
        <w:rPr>
          <w:sz w:val="19"/>
          <w:szCs w:val="19"/>
        </w:rPr>
        <w:t xml:space="preserve">IFRS 5 uses a similar idea: a separate major line of business or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area. </w:t>
      </w:r>
      <w:r>
        <w:rPr>
          <w:sz w:val="19"/>
          <w:szCs w:val="19"/>
        </w:rPr>
        <w:t xml:space="preserve">IFRS also prohibits extraordinary items, so the two frameworks now give very similar results in this area.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classified   ·   today's   ·   expropriations   ·   discontinued   ·   geographic   ·   textbooks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component of an entity   ·   unusual or infrequent item   ·   other income and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62"/>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538"/>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62"/>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strategic shift</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تحول استراتيجي</w:t>
            </w:r>
          </w:p>
        </w:tc>
      </w:tr>
      <w:tr>
        <w:tc>
          <w:tcPr>
            <w:tcW w:type="pct" w:w="2538"/>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62"/>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Unusual items and discontinued operations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extraordinary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infrequent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Loss on disposal of the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Loss from discontinued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textbooks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expropriations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Examples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geographic</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geographic</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income from continuing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frozen-foods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unusual or infrequent item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 A discontinued operation is a component of an entity that the company has sold, has classified as held for sale, or has abandoned. The disposal must also be a strategic shift with a major effect on the company. Examples are leaving a major line of business or a major geographic area. Closing one store or stopping one small product does not qualify. The results of a discontinued operation, including any gain or loss on disposal, appear below income from continuing operations, net of their own tax. This is called intraperiod tax allocation.</w:t>
      </w:r>
    </w:p>
    <w:p>
      <w:pPr>
        <w:spacing w:before="20" w:after="20"/>
        <w:ind w:left="240" w:hanging="240"/>
      </w:pPr>
      <w:r>
        <w:rPr>
          <w:b/>
          <w:bCs/>
          <w:color w:val="353A7C"/>
          <w:sz w:val="15"/>
          <w:szCs w:val="15"/>
        </w:rPr>
        <w:t xml:space="preserve">Summary 2   </w:t>
      </w:r>
      <w:r>
        <w:rPr>
          <w:color w:val="6B7280"/>
          <w:sz w:val="15"/>
          <w:szCs w:val="15"/>
        </w:rPr>
        <w:t xml:space="preserve">Ask the questions in order: OCI first, then discontinued operations, then unusual items, and finally main activities or other income and expense. Suppose that in 2026 Orontes sells its frozen-foods business to focus on beverages and dry foods. This is a strategic shift. The business lost $420,000 before tax during the year, and the sale caused a further loss of $180,000. Each loss reduces tax, so Orontes reports a loss from discontinued operations of $450,000, net of tax.</w:t>
      </w:r>
    </w:p>
    <w:p>
      <w:pPr>
        <w:spacing w:before="20" w:after="20"/>
        <w:ind w:left="240" w:hanging="240"/>
      </w:pPr>
      <w:r>
        <w:rPr>
          <w:b/>
          <w:bCs/>
          <w:color w:val="353A7C"/>
          <w:sz w:val="15"/>
          <w:szCs w:val="15"/>
        </w:rPr>
        <w:t xml:space="preserve">Summary 3   </w:t>
      </w:r>
      <w:r>
        <w:rPr>
          <w:color w:val="6B7280"/>
          <w:sz w:val="15"/>
          <w:szCs w:val="15"/>
        </w:rPr>
        <w:t xml:space="preserve">Older textbooks show earthquakes and expropriations as extraordinary items, net of tax, below continuing operations. On today's exam, such an item is unusual or infrequent: a separate pre-tax line in continuing operations. Only discontinued operations are shown net of tax below continuing operations. IFRS 5 uses a similar idea: a separate major line of business or geographic area. IFRS also prohibits extraordinary items, so the two frameworks now give very similar results in this area.</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Comprehensive income</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changes in value do not go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net income. </w:t>
      </w:r>
      <w:r>
        <w:rPr>
          <w:sz w:val="19"/>
          <w:szCs w:val="19"/>
        </w:rPr>
        <w:t xml:space="preserve">U.S. GAAP sends them to other comprehensive income (OCI) until they are realized. </w:t>
      </w:r>
      <w:r>
        <w:rPr>
          <w:sz w:val="19"/>
          <w:szCs w:val="19"/>
        </w:rPr>
        <w:t xml:space="preserve">Comprehensive income is net income plus OCI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debt securities lost $1,500 in fair value in 2025. </w:t>
      </w:r>
      <w:r>
        <w:rPr>
          <w:sz w:val="19"/>
          <w:szCs w:val="19"/>
        </w:rPr>
        <w:t xml:space="preserve">After tax, the loss in OCI is $1,125, so comprehensive income is $2,969,100 − $1,125 = $2,967,975. </w:t>
      </w:r>
      <w:r>
        <w:rPr>
          <w:sz w:val="19"/>
          <w:szCs w:val="19"/>
        </w:rPr>
        <w:t xml:space="preserve">Companies show this in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statement, as Orontes does, or in 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OCI only in the statement of changes in equity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OCI builds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equity called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other comprehensive income (AOCI). </w:t>
      </w:r>
      <w:r>
        <w:rPr>
          <w:sz w:val="19"/>
          <w:szCs w:val="19"/>
        </w:rPr>
        <w:t xml:space="preserve">When an item is realized, for example when Orontes sells an AFS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or loss moves from AOCI into net income. </w:t>
      </w:r>
      <w:r>
        <w:rPr>
          <w:sz w:val="19"/>
          <w:szCs w:val="19"/>
        </w:rPr>
        <w:t xml:space="preserve">This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adjustment stops the same gain being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allowed   ·   through   ·   counted   ·   Showing   ·   accumulated   ·   security   ·   continuous   ·   balance   ·   consecutive   ·   period   ·   reclassification   ·   available-for-sale</w:t>
            </w:r>
          </w:p>
        </w:tc>
      </w:tr>
    </w:tbl>
    <w:p/>
    <w:p>
      <w:pPr>
        <w:spacing w:before="44" w:after="10"/>
      </w:pPr>
      <w:r>
        <w:rPr>
          <w:b/>
          <w:bCs/>
          <w:color w:val="353A7C"/>
          <w:sz w:val="18"/>
          <w:szCs w:val="18"/>
        </w:rPr>
        <w:t xml:space="preserve">Main OCI items: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OCI; reclassified when the hedged item affects income   ·   Revaluation surplus in OCI; never reclassified   ·   OCI; reclassified when the foreign operation is sold   ·   OCI; amortized into net income later   ·   OCI; reclassified to net income on sale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Under IFRS, a revaluation surplus on PP&amp;E, fair value changes on equity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elected to OCI, and pension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stay in OCI forever. </w:t>
      </w:r>
      <w:r>
        <w:rPr>
          <w:sz w:val="19"/>
          <w:szCs w:val="19"/>
        </w:rPr>
        <w:t xml:space="preserve">U.S. GAAP does not allow PP&amp;E revaluation, and 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its OCI items to net income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reclassifies   ·   investments   ·   remeasurements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Comprehensive income adds this year's OCI, not the AOCI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gains on equity securities go to net income, not OCI. </w:t>
      </w:r>
      <w:r>
        <w:rPr>
          <w:sz w:val="19"/>
          <w:szCs w:val="19"/>
        </w:rPr>
        <w:t xml:space="preserve">Use OCI after tax, unless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shows the tax on a separate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balance   ·   through   ·   question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5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859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الدخل الشامل الآخر المتراكم   ·   other comprehensive income (OCI)   ·   accumulated other comprehensive income (AOCI)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Comprehensive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OCI; reclassified to net income on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OCI; reclassified when the foreign operation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OCI; amortized into net income later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OCI; reclassified when the hedged item affects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comprehensive income (OCI)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accumulated other comprehensive income (AOCI)</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changes in value do not go through net income. U.S. GAAP sends them to other comprehensive income (OCI) until they are realized. Comprehensive income is net income plus OCI for the period. Orontes's available-for-sale debt securities lost $1,500 in fair value in 2025. After tax, the loss in OCI is $1,125, so comprehensive income is $2,969,100 − $1,125 = $2,967,975. Companies show this in one continuous statement, as Orontes does, or in two consecutive statements. Showing OCI only in the statement of changes in equity is not allowed.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before="20" w:after="20"/>
        <w:ind w:left="240" w:hanging="240"/>
      </w:pPr>
      <w:r>
        <w:rPr>
          <w:b/>
          <w:bCs/>
          <w:color w:val="353A7C"/>
          <w:sz w:val="15"/>
          <w:szCs w:val="15"/>
        </w:rPr>
        <w:t xml:space="preserve">Summary 2   </w:t>
      </w:r>
      <w:r>
        <w:rPr>
          <w:color w:val="6B7280"/>
          <w:sz w:val="15"/>
          <w:szCs w:val="15"/>
        </w:rPr>
        <w:t xml:space="preserve">Under IFRS, a revaluation surplus on PP&amp;E, fair value changes on equity investments elected to OCI, and pension remeasurements stay in OCI forever. U.S. GAAP does not allow PP&amp;E revaluation, and it reclassifies its OCI items to net income later.</w:t>
      </w:r>
    </w:p>
    <w:p>
      <w:pPr>
        <w:spacing w:before="20" w:after="20"/>
        <w:ind w:left="240" w:hanging="240"/>
      </w:pPr>
      <w:r>
        <w:rPr>
          <w:b/>
          <w:bCs/>
          <w:color w:val="353A7C"/>
          <w:sz w:val="15"/>
          <w:szCs w:val="15"/>
        </w:rPr>
        <w:t xml:space="preserve">Summary 3   </w:t>
      </w:r>
      <w:r>
        <w:rPr>
          <w:color w:val="6B7280"/>
          <w:sz w:val="15"/>
          <w:szCs w:val="15"/>
        </w:rPr>
        <w:t xml:space="preserve">Comprehensive income adds this year's OCI, not the AOCI balance. Unrealized gains on equity securities go to net income, not OCI. Use OCI after tax, unless the question shows the tax on a separate line.</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Limitations and links to the other statements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Net income depends on many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useful lives, credit losses,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and warranty costs. </w:t>
      </w:r>
      <w:r>
        <w:rPr>
          <w:sz w:val="19"/>
          <w:szCs w:val="19"/>
        </w:rPr>
        <w:t xml:space="preserve">Different companies also choose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FIFO or LIFO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Two similar companies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report different profits from the same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income statement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things out. </w:t>
      </w:r>
      <w:r>
        <w:rPr>
          <w:sz w:val="19"/>
          <w:szCs w:val="19"/>
        </w:rPr>
        <w:t xml:space="preserve">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value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land, or of a brand it built itself, is not reported. </w:t>
      </w:r>
      <w:r>
        <w:rPr>
          <w:sz w:val="19"/>
          <w:szCs w:val="19"/>
        </w:rPr>
        <w:t xml:space="preserve">Managers can influence results by timing sales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such as research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near the year-end. </w:t>
      </w:r>
      <w:r>
        <w:rPr>
          <w:sz w:val="19"/>
          <w:szCs w:val="19"/>
        </w:rPr>
        <w:t xml:space="preserve">Most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net income is not cash. </w:t>
      </w:r>
      <w:r>
        <w:rPr>
          <w:sz w:val="19"/>
          <w:szCs w:val="19"/>
        </w:rPr>
        <w:t xml:space="preserve">Accrual accounting records revenue when it is earned and expenses when they are incurred. </w:t>
      </w:r>
      <w:r>
        <w:rPr>
          <w:sz w:val="19"/>
          <w:szCs w:val="19"/>
        </w:rPr>
        <w:t xml:space="preserve">Depreciation and impairments of $4,824,000 reduced income but used no cash in 2025. </w:t>
      </w:r>
      <w:r>
        <w:rPr>
          <w:sz w:val="19"/>
          <w:szCs w:val="19"/>
        </w:rPr>
        <w:t xml:space="preserve">Net income then moves to the statement of changes in equity, where it increases retained earnings. </w:t>
      </w:r>
      <w:r>
        <w:rPr>
          <w:sz w:val="19"/>
          <w:szCs w:val="19"/>
        </w:rPr>
        <w:t xml:space="preserve">In the statement of cash flows, the indirect method starts from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leaves   ·   results   ·   impairment   ·   Orontes's   ·   importantly   ·   activity   ·   estimates   ·   increase   ·   inventory   ·   advertising   ·   methods   ·   discretionary</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ASU 2024-03 (DISE) requires public companies to break down some expense captions in the notes, such as employee pay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face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does not change. </w:t>
      </w:r>
      <w:r>
        <w:rPr>
          <w:sz w:val="19"/>
          <w:szCs w:val="19"/>
        </w:rPr>
        <w:t xml:space="preserve">IFRS 18 replaces IAS 1 and adds required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including operating profit. </w:t>
      </w:r>
      <w:r>
        <w:rPr>
          <w:sz w:val="19"/>
          <w:szCs w:val="19"/>
        </w:rPr>
        <w:t xml:space="preserve">Both apply from 2027 and are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earnings   ·   depreciation   ·   subtotals   ·   testable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 memo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Net sales</w:t>
            </w:r>
          </w:p>
        </w:tc>
        <w:tc>
          <w:tcPr>
            <w:tcW w:type="pct" w:w="2600"/>
            <w:tcMar>
              <w:top w:type="dxa" w:w="50"/>
              <w:left w:type="dxa" w:w="110"/>
              <w:bottom w:type="dxa" w:w="50"/>
              <w:right w:type="dxa" w:w="110"/>
            </w:tcMar>
          </w:tcPr>
          <w:p>
            <w:pPr>
              <w:spacing w:before="28" w:after="28"/>
            </w:pPr>
            <w:r>
              <w:rPr>
                <w:sz w:val="15"/>
                <w:szCs w:val="15"/>
              </w:rPr>
              <w:t xml:space="preserve">3,400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2,040</w:t>
            </w:r>
          </w:p>
        </w:tc>
      </w:tr>
      <w:tr>
        <w:tc>
          <w:tcPr>
            <w:tcW w:type="pct" w:w="2400"/>
            <w:tcMar>
              <w:top w:type="dxa" w:w="50"/>
              <w:left w:type="dxa" w:w="110"/>
              <w:bottom w:type="dxa" w:w="50"/>
              <w:right w:type="dxa" w:w="110"/>
            </w:tcMar>
          </w:tcPr>
          <w:p>
            <w:pPr>
              <w:spacing w:before="28" w:after="28"/>
            </w:pPr>
            <w:r>
              <w:rPr>
                <w:sz w:val="15"/>
                <w:szCs w:val="15"/>
              </w:rPr>
              <w:t xml:space="preserve">Wages expense</w:t>
            </w:r>
          </w:p>
        </w:tc>
        <w:tc>
          <w:tcPr>
            <w:tcW w:type="pct" w:w="2600"/>
            <w:tcMar>
              <w:top w:type="dxa" w:w="50"/>
              <w:left w:type="dxa" w:w="110"/>
              <w:bottom w:type="dxa" w:w="50"/>
              <w:right w:type="dxa" w:w="110"/>
            </w:tcMar>
          </w:tcPr>
          <w:p>
            <w:pPr>
              <w:spacing w:before="28" w:after="28"/>
            </w:pPr>
            <w:r>
              <w:rPr>
                <w:sz w:val="15"/>
                <w:szCs w:val="15"/>
              </w:rPr>
              <w:t xml:space="preserve">560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Depreciation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400"/>
            <w:tcMar>
              <w:top w:type="dxa" w:w="50"/>
              <w:left w:type="dxa" w:w="110"/>
              <w:bottom w:type="dxa" w:w="50"/>
              <w:right w:type="dxa" w:w="110"/>
            </w:tcMar>
          </w:tcPr>
          <w:p>
            <w:pPr>
              <w:spacing w:before="28" w:after="28"/>
            </w:pPr>
            <w:r>
              <w:rPr>
                <w:sz w:val="15"/>
                <w:szCs w:val="15"/>
              </w:rPr>
              <w:t xml:space="preserve">Fire loss (uninsured inventory)</w:t>
            </w:r>
          </w:p>
        </w:tc>
        <w:tc>
          <w:tcPr>
            <w:tcW w:type="pct" w:w="2600"/>
            <w:tcMar>
              <w:top w:type="dxa" w:w="50"/>
              <w:left w:type="dxa" w:w="110"/>
              <w:bottom w:type="dxa" w:w="50"/>
              <w:right w:type="dxa" w:w="110"/>
            </w:tcMar>
          </w:tcPr>
          <w:p>
            <w:pPr>
              <w:spacing w:before="28" w:after="28"/>
            </w:pPr>
            <w:r>
              <w:rPr>
                <w:sz w:val="15"/>
                <w:szCs w:val="15"/>
              </w:rPr>
              <w:t xml:space="preserve">70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Lawsuit settlement</w:t>
            </w:r>
          </w:p>
        </w:tc>
        <w:tc>
          <w:tcPr>
            <w:tcW w:type="pct" w:w="26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400"/>
            <w:tcMar>
              <w:top w:type="dxa" w:w="50"/>
              <w:left w:type="dxa" w:w="110"/>
              <w:bottom w:type="dxa" w:w="50"/>
              <w:right w:type="dxa" w:w="110"/>
            </w:tcMar>
          </w:tcPr>
          <w:p>
            <w:pPr>
              <w:spacing w:before="28" w:after="28"/>
            </w:pPr>
            <w:r>
              <w:rPr>
                <w:sz w:val="15"/>
                <w:szCs w:val="15"/>
              </w:rPr>
              <w:t xml:space="preserve">Interest expense</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600"/>
            <w:shd w:fill="FBFAF6" w:val="clear"/>
            <w:tcMar>
              <w:top w:type="dxa" w:w="50"/>
              <w:left w:type="dxa" w:w="110"/>
              <w:bottom w:type="dxa" w:w="50"/>
              <w:right w:type="dxa" w:w="110"/>
            </w:tcMar>
          </w:tcPr>
          <w:p>
            <w:pPr>
              <w:spacing w:before="28" w:after="28"/>
            </w:pPr>
            <w:r>
              <w:rPr>
                <w:sz w:val="15"/>
                <w:szCs w:val="15"/>
              </w:rPr>
              <w:t xml:space="preserve">20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August 2026 Barada sold its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division to focus only on wholesale food. The division was one of Barada's two lines of busin</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2026 the division had an operating loss of 60 before tax. Barada lost 40 before tax on the sale.</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The fire loss is the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inventory destroyed on February 10, 2026. Fires are unusual for Barada.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The income tax rate is 25% on all items. Barada has no other comprehensive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catering-supply   ·   uninsured   ·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Operating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Gross profit percentage</w:t>
            </w:r>
          </w:p>
        </w:tc>
        <w:tc>
          <w:tcPr>
            <w:tcW w:type="pct" w:w="2400"/>
            <w:tcMar>
              <w:top w:type="dxa" w:w="50"/>
              <w:left w:type="dxa" w:w="110"/>
              <w:bottom w:type="dxa" w:w="50"/>
              <w:right w:type="dxa" w:w="110"/>
            </w:tcMar>
          </w:tcPr>
          <w:p>
            <w:pPr>
              <w:spacing w:before="28" w:after="28"/>
            </w:pPr>
            <w:r>
              <w:rPr>
                <w:sz w:val="15"/>
                <w:szCs w:val="15"/>
              </w:rPr>
              <w:t xml:space="preserve">1,240 ÷ 3,100 = 40%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420 − 90 = 330, the same as in Chapter 1   ·   Loss on sale of the division   ·   1,240 − 520 − 300 = 420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Lawsuit settlement   ·   Gain on sale of equipment   ·   Fire loss</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importantly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catering-supply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leaves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uninsured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1,240 − 520 − 300 = 420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420 − 90 = 330, the same as in Chapter 1</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Lawsuit 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Gain on sale of equipment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 The income statement also leaves things out. An increase in the value of Orontes's land, or of a brand it built itself, is not reported. Managers can influence results by timing sales or discretionary costs, such as research or advertising, near the year-end. Most importantly, net income is not cash. Accrual accounting records revenue when it is earned and expenses when they are incurred. Depreciation and impairments of $4,824,000 reduced income but used no cash in 2025. Net income then moves to the statement of changes in equity, where it increases retained earnings. In the statement of cash flows, the indirect method starts from net income.</w:t>
      </w:r>
    </w:p>
    <w:p>
      <w:pPr>
        <w:spacing w:before="20" w:after="20"/>
        <w:ind w:left="240" w:hanging="240"/>
      </w:pPr>
      <w:r>
        <w:rPr>
          <w:b/>
          <w:bCs/>
          <w:color w:val="353A7C"/>
          <w:sz w:val="15"/>
          <w:szCs w:val="15"/>
        </w:rPr>
        <w:t xml:space="preserve">Summary 2   </w:t>
      </w:r>
      <w:r>
        <w:rPr>
          <w:color w:val="6B7280"/>
          <w:sz w:val="15"/>
          <w:szCs w:val="15"/>
        </w:rPr>
        <w:t xml:space="preserve">ASU 2024-03 (DISE) requires public companies to break down some expense captions in the notes, such as employee pay and depreciation. The face of the statement does not change. IFRS 18 replaces IAS 1 and adds required subtotals, including operating profit. Both apply from 2027 and are not testable before about January 2028.</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Components of equity and the statement of changes in equity</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Limitations and links to the other statements   ·   Dividends, stock dividends and stock splits   ·   Components of equity and the statement of chan</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changes in equity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why each part of equity changed during the period. </w:t>
      </w:r>
      <w:r>
        <w:rPr>
          <w:sz w:val="19"/>
          <w:szCs w:val="19"/>
        </w:rPr>
        <w:t xml:space="preserve">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two kinds of change.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owners, such as issuing shares and paying dividends, are one kind.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income, which the company earns, is the other. </w:t>
      </w:r>
      <w:r>
        <w:rPr>
          <w:sz w:val="19"/>
          <w:szCs w:val="19"/>
        </w:rPr>
        <w:t xml:space="preserve">Equity has two main parts.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capital is what owners have paid: common stock and preferred stock at par or stated value, plus additional paid-in capital.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capital is retained earnings and AOCI.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stock is deducted from the total.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interest, if any, is shown separately within equity. </w:t>
      </w:r>
      <w:r>
        <w:rPr>
          <w:sz w:val="19"/>
          <w:szCs w:val="19"/>
        </w:rPr>
        <w:t xml:space="preserve">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 Orontes issued 100,000 shares for $1,500,000: $100,000 to common stock at par and $1,400,000 to APIC. </w:t>
      </w:r>
      <w:r>
        <w:rPr>
          <w:sz w:val="19"/>
          <w:szCs w:val="19"/>
        </w:rPr>
        <w:t xml:space="preserve">Net income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retained earnings, dividends reduced them, and the OCI loss went to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separates   ·   Comprehensive   ·   Transactions   ·   noncontrolling   ·   Treasury   ·   Earned   ·   increased   ·   Contributed   ·   explains   ·   January   ·   interest</w:t>
            </w:r>
          </w:p>
        </w:tc>
      </w:tr>
    </w:tbl>
    <w:p/>
    <w:p>
      <w:pPr>
        <w:pageBreakBefore w:val="true"/>
        <w:spacing w:after="0"/>
      </w:pPr>
      <w:r>
        <w:rPr>
          <w:sz w:val="2"/>
        </w:rPr>
        <w:t xml:space="preserve"> </w:t>
      </w:r>
    </w:p>
    <w:p>
      <w:pPr>
        <w:spacing w:before="44" w:after="10"/>
      </w:pPr>
      <w:r>
        <w:rPr>
          <w:b/>
          <w:bCs/>
          <w:color w:val="353A7C"/>
          <w:sz w:val="18"/>
          <w:szCs w:val="18"/>
        </w:rPr>
        <w:t xml:space="preserve">Orontes Foods Inc. — statement of changes in equity, 2025</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appropriated retained earnings   ·   Cash dividends declared   ·   Balance, January 1, 2025</w:t>
            </w:r>
          </w:p>
        </w:tc>
      </w:tr>
    </w:tbl>
    <w:p/>
    <w:p>
      <w:pPr>
        <w:spacing w:before="44" w:after="14"/>
      </w:pPr>
      <w:r>
        <w:rPr>
          <w:b/>
          <w:bCs/>
          <w:color w:val="353A7C"/>
          <w:sz w:val="18"/>
          <w:szCs w:val="18"/>
        </w:rPr>
        <w:t xml:space="preserve">Summary 2</w:t>
      </w:r>
      <w:r>
        <w:rPr>
          <w:color w:val="6B7280"/>
          <w:sz w:val="16"/>
          <w:szCs w:val="16"/>
        </w:rPr>
        <w:t xml:space="preserve">      gaps 16–17</w:t>
      </w:r>
    </w:p>
    <w:p>
      <w:pPr>
        <w:spacing w:before="20" w:after="20" w:line="360" w:lineRule="auto"/>
        <w:ind w:left="200"/>
      </w:pPr>
      <w:r>
        <w:rPr>
          <w:sz w:val="19"/>
          <w:szCs w:val="19"/>
        </w:rPr>
        <w:t xml:space="preserve">Each column is one equity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each row is one type of change. </w:t>
      </w:r>
      <w:r>
        <w:rPr>
          <w:sz w:val="19"/>
          <w:szCs w:val="19"/>
        </w:rPr>
        <w:t xml:space="preserve">The last row equals the equity section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sheet. </w:t>
      </w:r>
      <w:r>
        <w:rPr>
          <w:sz w:val="19"/>
          <w:szCs w:val="19"/>
        </w:rPr>
        <w:t xml:space="preserve">Total equity rose by $4,017,975.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balance   ·   account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contributed capital   ·   treasury stock   ·   outstanding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600"/>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Components of equity and the statement of changes in equity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 of equity and the statement of chan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noncontrolling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 stock dividends and stock splits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January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increased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 January 1, 2025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Cash dividends declared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Contributed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Earned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Treasury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 Equity has two main parts. Contributed capital is what owners have paid: common stock and preferred stock at par or stated value, plus additional paid-in capital. Earned capital is retained earnings and AOCI. Treasury stock is deducted from the total. A noncontrolling interest, if any, is shown separately within equity. On January 2 Orontes issued 100,000 shares for $1,500,000: $100,000 to common stock at par and $1,400,000 to APIC. Net income increased retained earnings, dividends reduced them, and the OCI loss went to AOCI.</w:t>
      </w:r>
    </w:p>
    <w:p>
      <w:pPr>
        <w:spacing w:before="20" w:after="20"/>
        <w:ind w:left="240" w:hanging="240"/>
      </w:pPr>
      <w:r>
        <w:rPr>
          <w:b/>
          <w:bCs/>
          <w:color w:val="353A7C"/>
          <w:sz w:val="15"/>
          <w:szCs w:val="15"/>
        </w:rPr>
        <w:t xml:space="preserve">Summary 2   </w:t>
      </w:r>
      <w:r>
        <w:rPr>
          <w:color w:val="6B7280"/>
          <w:sz w:val="15"/>
          <w:szCs w:val="15"/>
        </w:rPr>
        <w:t xml:space="preserve">Each column is one equity account, and each row is one type of change. The last row equals the equity section of the balance sheet. Total equity rose by $4,017,975.</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Issuing and buying back shares</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shares for cash,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common stock with the par value and APIC with the rest. </w:t>
      </w:r>
      <w:r>
        <w:rPr>
          <w:sz w:val="19"/>
          <w:szCs w:val="19"/>
        </w:rPr>
        <w:t xml:space="preserve">If the shares have no par and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goes to common stock. </w:t>
      </w:r>
      <w:r>
        <w:rPr>
          <w:sz w:val="19"/>
          <w:szCs w:val="19"/>
        </w:rPr>
        <w:t xml:space="preserve">Direct costs of issuing shares, such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fees, reduce APIC;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Shares issued for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asset, such as land, are recorded at the fair value of the shares or of the asset,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more reliable.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recorded in the same way, in its 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company may buy back its own shares and hold them as treasury stock. </w:t>
      </w:r>
      <w:r>
        <w:rPr>
          <w:sz w:val="19"/>
          <w:szCs w:val="19"/>
        </w:rPr>
        <w:t xml:space="preserve">Under the cost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treasury stock is recorded at the price paid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from equity. </w:t>
      </w:r>
      <w:r>
        <w:rPr>
          <w:sz w:val="19"/>
          <w:szCs w:val="19"/>
        </w:rPr>
        <w:t xml:space="preserve">Shares held as treasury stock are issued shares but not outstanding shares: they receive no dividends and have no votes. </w:t>
      </w:r>
      <w:r>
        <w:rPr>
          <w:sz w:val="19"/>
          <w:szCs w:val="19"/>
        </w:rPr>
        <w:t xml:space="preserve">A company never records a gain or loss on its own shares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Preferred   ·   reduces   ·   amount   ·   stated   ·   account   ·   method   ·   credits   ·   whichever   ·   underwriting   ·   issues   ·   deducted   ·   noncash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treasury stock under the cost method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buys back 50,000 shares at $16 in 2026. </w:t>
      </w:r>
      <w:r>
        <w:rPr>
          <w:sz w:val="19"/>
          <w:szCs w:val="19"/>
        </w:rPr>
        <w:t xml:space="preserve">Treasury stock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$800,000. </w:t>
      </w:r>
      <w:r>
        <w:rPr>
          <w:sz w:val="19"/>
          <w:szCs w:val="19"/>
        </w:rPr>
        <w:t xml:space="preserve">It reissues 20,000 shares at $18. </w:t>
      </w:r>
      <w:r>
        <w:rPr>
          <w:sz w:val="19"/>
          <w:szCs w:val="19"/>
        </w:rPr>
        <w:t xml:space="preserve">Cash is $360,000 and the cost removed is $320,000, so APIC–treasury stock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$40,000. </w:t>
      </w:r>
      <w:r>
        <w:rPr>
          <w:sz w:val="19"/>
          <w:szCs w:val="19"/>
        </w:rPr>
        <w:t xml:space="preserve">It reissues 20,000 more at $13.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below cost is $60,000. </w:t>
      </w:r>
      <w:r>
        <w:rPr>
          <w:sz w:val="19"/>
          <w:szCs w:val="19"/>
        </w:rPr>
        <w:t xml:space="preserve">APIC–treasury stock absorbs $40,000, and retained earnings absorb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$20,000. </w:t>
      </w:r>
      <w:r>
        <w:rPr>
          <w:sz w:val="19"/>
          <w:szCs w:val="19"/>
        </w:rPr>
        <w:t xml:space="preserve">No gain or loss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remaining   ·   credited   ·   shortfall   ·   debited   ·   applies   ·   Orontes   ·   appears</w:t>
            </w:r>
          </w:p>
        </w:tc>
      </w:tr>
    </w:tbl>
    <w:p/>
    <w:p>
      <w:pPr>
        <w:spacing w:before="44" w:after="10"/>
      </w:pPr>
      <w:r>
        <w:rPr>
          <w:b/>
          <w:bCs/>
          <w:color w:val="353A7C"/>
          <w:sz w:val="18"/>
          <w:szCs w:val="18"/>
        </w:rPr>
        <w:t xml:space="preserve">Suppose: Orontes's treasury stock entries in 2026 (cost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 Reissue 20,000 shares at $18   ·   3. Reissue 20,000 shares at $13</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20–30</w:t>
      </w:r>
    </w:p>
    <w:p>
      <w:pPr>
        <w:spacing w:before="20" w:after="20" w:line="360" w:lineRule="auto"/>
        <w:ind w:left="200"/>
      </w:pPr>
      <w:r>
        <w:rPr>
          <w:sz w:val="19"/>
          <w:szCs w:val="19"/>
        </w:rPr>
        <w:t xml:space="preserve">If the company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its treasury stock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it removes their par value from common stock and the related APIC. </w:t>
      </w:r>
      <w:r>
        <w:rPr>
          <w:sz w:val="19"/>
          <w:szCs w:val="19"/>
        </w:rPr>
        <w:t xml:space="preserve">Any excess of cost over these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reduces retained earnings, or is split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APIC and retained earnings. </w:t>
      </w:r>
      <w:r>
        <w:rPr>
          <w:sz w:val="19"/>
          <w:szCs w:val="19"/>
        </w:rPr>
        <w:t xml:space="preserve">ASU 2025-12 allows companies to charge the whole excess on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APIC, as long as APIC does not become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It applies to annual periods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after December 15, 2026, so it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rules on the exam. </w:t>
      </w:r>
      <w:r>
        <w:rPr>
          <w:sz w:val="19"/>
          <w:szCs w:val="19"/>
        </w:rPr>
        <w:t xml:space="preserve">IFRS also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treasury shares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never shows a gain or loss in profit. </w:t>
      </w:r>
      <w:r>
        <w:rPr>
          <w:sz w:val="19"/>
          <w:szCs w:val="19"/>
        </w:rPr>
        <w:t xml:space="preserve">It does not prescribe a cost or par-value method, so IFRS companies show the effect in reserves in different ways.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testable   ·   retirement   ·   earnings   ·   between   ·   instead   ·   beginning   ·   current   ·   amounts   ·   equity   ·   deducts   ·   retires   ·   negative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   outstanding shares   ·   issued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issued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التكلفة</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Issuing and buying back shares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issues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 Reissue 20,000 shares at $18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retires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underwriting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negative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debited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issued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shortfall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outstanding shares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 Shares issued for a noncash asset, such as land, are recorded at the fair value of the shares or of the asset, whichever is more reliable.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 A company never records a gain or loss on its own shares in net income.</w:t>
      </w:r>
    </w:p>
    <w:p>
      <w:pPr>
        <w:spacing w:before="20" w:after="20"/>
        <w:ind w:left="240" w:hanging="240"/>
      </w:pPr>
      <w:r>
        <w:rPr>
          <w:b/>
          <w:bCs/>
          <w:color w:val="353A7C"/>
          <w:sz w:val="15"/>
          <w:szCs w:val="15"/>
        </w:rPr>
        <w:t xml:space="preserve">Summary 2   </w:t>
      </w:r>
      <w:r>
        <w:rPr>
          <w:color w:val="6B7280"/>
          <w:sz w:val="15"/>
          <w:szCs w:val="15"/>
        </w:rPr>
        <w:t xml:space="preserve">Suppose Orontes buys back 50,000 shares at $16 in 2026. Treasury stock is debited at cost: $800,000. It reissues 20,000 shares at $18. Cash is $360,000 and the cost removed is $320,000, so APIC–treasury stock is credited with $40,000. It reissues 20,000 more at $13. The shortfall below cost is $60,000. APIC–treasury stock absorbs $40,000, and retained earnings absorb the remaining $20,000. No gain or loss appears in net income.</w:t>
      </w:r>
    </w:p>
    <w:p>
      <w:pPr>
        <w:spacing w:before="20" w:after="20"/>
        <w:ind w:left="240" w:hanging="240"/>
      </w:pPr>
      <w:r>
        <w:rPr>
          <w:b/>
          <w:bCs/>
          <w:color w:val="353A7C"/>
          <w:sz w:val="15"/>
          <w:szCs w:val="15"/>
        </w:rPr>
        <w:t xml:space="preserve">Summary 3   </w:t>
      </w:r>
      <w:r>
        <w:rPr>
          <w:color w:val="6B7280"/>
          <w:sz w:val="15"/>
          <w:szCs w:val="15"/>
        </w:rPr>
        <w:t xml:space="preserve">If the company retires its treasury stock instead, it removes their par value from common stock and the related APIC. Any excess of cost over these amounts reduces retained earnings, or is split between APIC and retained earnings. ASU 2025-12 allows companies to charge the whole excess on a retirement to APIC, as long as APIC does not become negative. It applies to annual periods beginning after December 15, 2026, so it is not testable before about January 2028. Use the current rules on the exam. IFRS also deducts treasury shares from equity and never shows a gain or loss in profit. It does not prescribe a cost or par-value method, so IFRS companies show the effect in reserves in different ways.</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Dividends, stock dividends and stock splits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cash dividend has three dates. </w:t>
      </w:r>
      <w:r>
        <w:rPr>
          <w:sz w:val="19"/>
          <w:szCs w:val="19"/>
        </w:rPr>
        <w:t xml:space="preserve">On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date the company debits retained earnings and credits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payable, a current liability. </w:t>
      </w:r>
      <w:r>
        <w:rPr>
          <w:sz w:val="19"/>
          <w:szCs w:val="19"/>
        </w:rPr>
        <w:t xml:space="preserve">On the date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no entry is made; it only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 is paid. </w:t>
      </w:r>
      <w:r>
        <w:rPr>
          <w:sz w:val="19"/>
          <w:szCs w:val="19"/>
        </w:rPr>
        <w:t xml:space="preserve">On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date the liability is paid. </w:t>
      </w:r>
      <w:r>
        <w:rPr>
          <w:sz w:val="19"/>
          <w:szCs w:val="19"/>
        </w:rPr>
        <w:t xml:space="preserve">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$400,000 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2025, so that amount is still payable at year-end.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dividend is paid with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asset. </w:t>
      </w:r>
      <w:r>
        <w:rPr>
          <w:sz w:val="19"/>
          <w:szCs w:val="19"/>
        </w:rPr>
        <w:t xml:space="preserve">The company 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asset to fair value and records any gain or loss, then debits retained earnings at fair value. </w:t>
      </w:r>
      <w:r>
        <w:rPr>
          <w:sz w:val="19"/>
          <w:szCs w:val="19"/>
        </w:rPr>
        <w:t xml:space="preserve">A scrip dividend creates a note payable. </w:t>
      </w:r>
      <w:r>
        <w:rPr>
          <w:sz w:val="19"/>
          <w:szCs w:val="19"/>
        </w:rPr>
        <w:t xml:space="preserve">A liquidating dividend returns contributed capital, so it reduces APIC rather than retained earnings.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declaration   ·   decides   ·   property   ·   noncash   ·   payment   ·   record   ·   returns   ·   remeasures   ·   declared   ·   December   ·   dividends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41"/>
        <w:gridCol w:w="3151"/>
        <w:gridCol w:w="2105"/>
        <w:gridCol w:w="190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dividends and their effects</w:t>
            </w:r>
          </w:p>
        </w:tc>
      </w:tr>
      <w:tr>
        <w:tc>
          <w:tcPr>
            <w:tcW w:type="pct" w:w="1271"/>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641"/>
            <w:shd w:fill="353A7C" w:val="clear"/>
            <w:tcMar>
              <w:top w:type="dxa" w:w="50"/>
              <w:left w:type="dxa" w:w="110"/>
              <w:bottom w:type="dxa" w:w="50"/>
              <w:right w:type="dxa" w:w="110"/>
            </w:tcMar>
          </w:tcPr>
          <w:p>
            <w:pPr>
              <w:spacing w:before="30" w:after="30"/>
            </w:pPr>
            <w:r>
              <w:rPr>
                <w:b/>
                <w:bCs/>
                <w:color w:val="FFFFFF"/>
                <w:sz w:val="15"/>
                <w:szCs w:val="15"/>
              </w:rPr>
              <w:t xml:space="preserve">Measured at</w:t>
            </w:r>
          </w:p>
        </w:tc>
        <w:tc>
          <w:tcPr>
            <w:tcW w:type="pct" w:w="1096"/>
            <w:shd w:fill="353A7C" w:val="clear"/>
            <w:tcMar>
              <w:top w:type="dxa" w:w="50"/>
              <w:left w:type="dxa" w:w="110"/>
              <w:bottom w:type="dxa" w:w="50"/>
              <w:right w:type="dxa" w:w="110"/>
            </w:tcMar>
          </w:tcPr>
          <w:p>
            <w:pPr>
              <w:spacing w:before="30" w:after="30"/>
            </w:pPr>
            <w:r>
              <w:rPr>
                <w:b/>
                <w:bCs/>
                <w:color w:val="FFFFFF"/>
                <w:sz w:val="15"/>
                <w:szCs w:val="15"/>
              </w:rPr>
              <w:t xml:space="preserve">Retained earnings</w:t>
            </w:r>
          </w:p>
        </w:tc>
        <w:tc>
          <w:tcPr>
            <w:tcW w:type="pct" w:w="991"/>
            <w:shd w:fill="353A7C" w:val="clear"/>
            <w:tcMar>
              <w:top w:type="dxa" w:w="50"/>
              <w:left w:type="dxa" w:w="110"/>
              <w:bottom w:type="dxa" w:w="50"/>
              <w:right w:type="dxa" w:w="110"/>
            </w:tcMar>
          </w:tcPr>
          <w:p>
            <w:pPr>
              <w:spacing w:before="30" w:after="30"/>
            </w:pPr>
            <w:r>
              <w:rPr>
                <w:b/>
                <w:bCs/>
                <w:color w:val="FFFFFF"/>
                <w:sz w:val="15"/>
                <w:szCs w:val="15"/>
              </w:rPr>
              <w:t xml:space="preserve">Total equity</w:t>
            </w:r>
          </w:p>
        </w:tc>
      </w:tr>
      <w:tr>
        <w:tc>
          <w:tcPr>
            <w:tcW w:type="pct" w:w="1271"/>
            <w:tcMar>
              <w:top w:type="dxa" w:w="50"/>
              <w:left w:type="dxa" w:w="110"/>
              <w:bottom w:type="dxa" w:w="50"/>
              <w:right w:type="dxa" w:w="110"/>
            </w:tcMar>
          </w:tcPr>
          <w:p>
            <w:pPr>
              <w:spacing w:before="28" w:after="28"/>
            </w:pPr>
            <w:r>
              <w:rPr>
                <w:sz w:val="15"/>
                <w:szCs w:val="15"/>
              </w:rPr>
              <w:t xml:space="preserve">Cash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liability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Property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Fair value of the asset (gain or loss on remeasurement first)</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Scrip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note payable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Liquidating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Amount beyond retained earnings</w:t>
            </w:r>
          </w:p>
        </w:tc>
        <w:tc>
          <w:tcPr>
            <w:tcW w:type="pct" w:w="1096"/>
            <w:shd w:fill="FBFAF6" w:val="clear"/>
            <w:tcMar>
              <w:top w:type="dxa" w:w="50"/>
              <w:left w:type="dxa" w:w="110"/>
              <w:bottom w:type="dxa" w:w="50"/>
              <w:right w:type="dxa" w:w="110"/>
            </w:tcMar>
          </w:tcPr>
          <w:p>
            <w:pPr>
              <w:spacing w:before="28" w:after="28"/>
            </w:pPr>
            <w:r>
              <w:rPr>
                <w:sz w:val="15"/>
                <w:szCs w:val="15"/>
              </w:rPr>
              <w:t xml:space="preserve">No change for that part; APIC 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Small stock dividend (below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No change</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Large stock dividend (above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No change</w:t>
            </w:r>
          </w:p>
        </w:tc>
      </w:tr>
      <w:tr>
        <w:tc>
          <w:tcPr>
            <w:tcW w:type="pct" w:w="1271"/>
            <w:tcMar>
              <w:top w:type="dxa" w:w="50"/>
              <w:left w:type="dxa" w:w="110"/>
              <w:bottom w:type="dxa" w:w="50"/>
              <w:right w:type="dxa" w:w="110"/>
            </w:tcMar>
          </w:tcPr>
          <w:p>
            <w:pPr>
              <w:spacing w:before="28" w:after="28"/>
            </w:pPr>
            <w:r>
              <w:rPr>
                <w:sz w:val="15"/>
                <w:szCs w:val="15"/>
              </w:rPr>
              <w:t xml:space="preserve">Stock split</w:t>
            </w:r>
          </w:p>
        </w:tc>
        <w:tc>
          <w:tcPr>
            <w:tcW w:type="pct" w:w="1641"/>
            <w:tcMar>
              <w:top w:type="dxa" w:w="50"/>
              <w:left w:type="dxa" w:w="110"/>
              <w:bottom w:type="dxa" w:w="50"/>
              <w:right w:type="dxa" w:w="110"/>
            </w:tcMar>
          </w:tcPr>
          <w:p>
            <w:pPr>
              <w:spacing w:before="28" w:after="28"/>
            </w:pPr>
            <w:r>
              <w:rPr>
                <w:sz w:val="15"/>
                <w:szCs w:val="15"/>
              </w:rPr>
              <w:t xml:space="preserve">No entry; par per share falls</w:t>
            </w:r>
          </w:p>
        </w:tc>
        <w:tc>
          <w:tcPr>
            <w:tcW w:type="pct" w:w="1096"/>
            <w:tcMar>
              <w:top w:type="dxa" w:w="50"/>
              <w:left w:type="dxa" w:w="110"/>
              <w:bottom w:type="dxa" w:w="50"/>
              <w:right w:type="dxa" w:w="110"/>
            </w:tcMar>
          </w:tcPr>
          <w:p>
            <w:pPr>
              <w:spacing w:before="28" w:after="28"/>
            </w:pPr>
            <w:r>
              <w:rPr>
                <w:sz w:val="15"/>
                <w:szCs w:val="15"/>
              </w:rPr>
              <w:t xml:space="preserve">No change</w:t>
            </w:r>
          </w:p>
        </w:tc>
        <w:tc>
          <w:tcPr>
            <w:tcW w:type="pct" w:w="991"/>
            <w:tcMar>
              <w:top w:type="dxa" w:w="50"/>
              <w:left w:type="dxa" w:w="110"/>
              <w:bottom w:type="dxa" w:w="50"/>
              <w:right w:type="dxa" w:w="110"/>
            </w:tcMar>
          </w:tcPr>
          <w:p>
            <w:pPr>
              <w:spacing w:before="28" w:after="28"/>
            </w:pPr>
            <w:r>
              <w:rPr>
                <w:sz w:val="15"/>
                <w:szCs w:val="15"/>
              </w:rPr>
              <w:t xml:space="preserve">No change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Reissue treasury stock above cost   ·   Amount declared   ·   Face value of the note   ·   Fair value of the shares   ·   Par value of the shares</w:t>
            </w:r>
          </w:p>
        </w:tc>
      </w:tr>
    </w:tbl>
    <w:p/>
    <w:p>
      <w:pPr>
        <w:spacing w:before="44" w:after="14"/>
      </w:pPr>
      <w:r>
        <w:rPr>
          <w:b/>
          <w:bCs/>
          <w:color w:val="353A7C"/>
          <w:sz w:val="18"/>
          <w:szCs w:val="18"/>
        </w:rPr>
        <w:t xml:space="preserve">Summary 2</w:t>
      </w:r>
      <w:r>
        <w:rPr>
          <w:color w:val="6B7280"/>
          <w:sz w:val="16"/>
          <w:szCs w:val="16"/>
        </w:rPr>
        <w:t xml:space="preserve">      gaps 15–21</w:t>
      </w:r>
    </w:p>
    <w:p>
      <w:pPr>
        <w:spacing w:before="20" w:after="20" w:line="360" w:lineRule="auto"/>
        <w:ind w:left="200"/>
      </w:pPr>
      <w:r>
        <w:rPr>
          <w:sz w:val="19"/>
          <w:szCs w:val="19"/>
        </w:rPr>
        <w:t xml:space="preserve">A stock dividend gives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more shares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of cash. </w:t>
      </w:r>
      <w:r>
        <w:rPr>
          <w:sz w:val="19"/>
          <w:szCs w:val="19"/>
        </w:rPr>
        <w:t xml:space="preserve">For a small stock dividend, below about 20% to 25%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shares, the company moves the fair value of the new shares from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earnings to common stock and APIC. </w:t>
      </w:r>
      <w:r>
        <w:rPr>
          <w:sz w:val="19"/>
          <w:szCs w:val="19"/>
        </w:rPr>
        <w:t xml:space="preserve">For a large stock dividend, it moves only the par value. </w:t>
      </w:r>
      <w:r>
        <w:rPr>
          <w:sz w:val="19"/>
          <w:szCs w:val="19"/>
        </w:rPr>
        <w:t xml:space="preserve">A stock split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number of shares and reduces the par value per share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Total equity never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only the labels inside equity 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instead   ·   earnings   ·   retained   ·   increases   ·   proportion   ·   shareholders   ·   outstanding</w:t>
            </w:r>
          </w:p>
        </w:tc>
      </w:tr>
    </w:tbl>
    <w:p/>
    <w:p>
      <w:pPr>
        <w:pageBreakBefore w:val="true"/>
        <w:spacing w:after="0"/>
      </w:pPr>
      <w:r>
        <w:rPr>
          <w:sz w:val="2"/>
        </w:rPr>
        <w:t xml:space="preserve"> </w:t>
      </w:r>
    </w:p>
    <w:p>
      <w:pPr>
        <w:spacing w:before="44" w:after="10"/>
      </w:pPr>
      <w:r>
        <w:rPr>
          <w:b/>
          <w:bCs/>
          <w:color w:val="353A7C"/>
          <w:sz w:val="18"/>
          <w:szCs w:val="18"/>
        </w:rPr>
        <w:t xml:space="preserve">Suppose: small and large stock dividends and a stock split for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Additional paid-in capital   ·   Common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Effects on retained earnings and total equity</w:t>
            </w:r>
          </w:p>
        </w:tc>
      </w:tr>
    </w:tbl>
    <w:p/>
    <w:p>
      <w:pPr>
        <w:spacing w:before="20" w:after="20" w:line="360" w:lineRule="auto"/>
        <w:ind w:left="200"/>
      </w:pPr>
      <w:r>
        <w:rPr>
          <w:sz w:val="19"/>
          <w:szCs w:val="19"/>
        </w:rPr>
        <w:t xml:space="preserve">The first two are done. Complete the effects of the other four.</w:t>
      </w:r>
    </w:p>
    <w:p>
      <w:pPr>
        <w:spacing w:before="44" w:after="10"/>
      </w:pPr>
      <w:r>
        <w:rPr>
          <w:b/>
          <w:bCs/>
          <w:color w:val="353A7C"/>
          <w:sz w:val="18"/>
          <w:szCs w:val="18"/>
        </w:rPr>
        <w:t xml:space="preserve">Effects on retained earnings and total equity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Declare and issue a small stock dividend   ·   Carry out a 2-for-1 stock split   ·   Buy treasury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 dividend traps</w:t>
            </w:r>
          </w:p>
        </w:tc>
      </w:tr>
    </w:tbl>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Small stock dividend at fair value; large stock dividend at par. </w:t>
      </w:r>
      <w:r>
        <w:rPr>
          <w:sz w:val="19"/>
          <w:szCs w:val="19"/>
        </w:rPr>
        <w:t xml:space="preserve">Do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them. </w:t>
      </w:r>
      <w:r>
        <w:rPr>
          <w:sz w:val="19"/>
          <w:szCs w:val="19"/>
        </w:rPr>
        <w:t xml:space="preserve">Use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shares, not issued shares: treasury stock gets no dividend. </w:t>
      </w:r>
      <w:r>
        <w:rPr>
          <w:sz w:val="19"/>
          <w:szCs w:val="19"/>
        </w:rPr>
        <w:t xml:space="preserve">A stock dividend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is equity,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reverse   ·   earnings   ·   distributable   ·   outstanding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prior-period adjustment   ·   stock split   ·   liquidating dividend   ·   declaration 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declaration date</w:t>
            </w:r>
          </w:p>
        </w:tc>
        <w:tc>
          <w:tcPr>
            <w:tcW w:type="pct" w:w="2600"/>
            <w:tcMar>
              <w:top w:type="dxa" w:w="50"/>
              <w:left w:type="dxa" w:w="110"/>
              <w:bottom w:type="dxa" w:w="50"/>
              <w:right w:type="dxa" w:w="110"/>
            </w:tcMar>
          </w:tcPr>
          <w:p>
            <w:pPr>
              <w:spacing w:before="26" w:after="26"/>
            </w:pPr>
            <w:r>
              <w:rPr>
                <w:color w:val="232733"/>
                <w:sz w:val="16"/>
                <w:szCs w:val="16"/>
              </w:rPr>
              <w:t xml:space="preserve">تاريخ الإعلان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date of record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r>
        <w:tc>
          <w:tcPr>
            <w:tcW w:type="pct" w:w="2400"/>
            <w:tcMar>
              <w:top w:type="dxa" w:w="50"/>
              <w:left w:type="dxa" w:w="110"/>
              <w:bottom w:type="dxa" w:w="50"/>
              <w:right w:type="dxa" w:w="110"/>
            </w:tcMar>
          </w:tcPr>
          <w:p>
            <w:pPr>
              <w:spacing w:before="26" w:after="26"/>
            </w:pPr>
            <w:r>
              <w:rPr>
                <w:color w:val="232733"/>
                <w:sz w:val="16"/>
                <w:szCs w:val="16"/>
              </w:rPr>
              <w:t xml:space="preserve">property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عينية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stock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tcMar>
              <w:top w:type="dxa" w:w="50"/>
              <w:left w:type="dxa" w:w="110"/>
              <w:bottom w:type="dxa" w:w="50"/>
              <w:right w:type="dxa" w:w="110"/>
            </w:tcMar>
          </w:tcPr>
          <w:p>
            <w:pPr>
              <w:spacing w:before="26" w:after="26"/>
            </w:pPr>
            <w:r>
              <w:rPr>
                <w:color w:val="232733"/>
                <w:sz w:val="16"/>
                <w:szCs w:val="16"/>
              </w:rPr>
              <w:t xml:space="preserve">stock split</w:t>
            </w:r>
          </w:p>
        </w:tc>
        <w:tc>
          <w:tcPr>
            <w:tcW w:type="pct" w:w="2600"/>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Dividends, stock dividends and stock splits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declaration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property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Declare and issue a small stock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Carry out a 2-for-1 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Buy 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 declared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Face value of the note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Fair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declaration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liquidating dividend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 A property dividend is paid with a noncash asset. The company first remeasures the asset to fair value and records any gain or loss, then debits retained earnings at fair value. A scrip dividend creates a note payable. A liquidating dividend returns contributed capital, so it reduces APIC rather than retained earnings.</w:t>
      </w:r>
    </w:p>
    <w:p>
      <w:pPr>
        <w:spacing w:before="20" w:after="20"/>
        <w:ind w:left="240" w:hanging="240"/>
      </w:pPr>
      <w:r>
        <w:rPr>
          <w:b/>
          <w:bCs/>
          <w:color w:val="353A7C"/>
          <w:sz w:val="15"/>
          <w:szCs w:val="15"/>
        </w:rPr>
        <w:t xml:space="preserve">Summary 2   </w:t>
      </w:r>
      <w:r>
        <w:rPr>
          <w:color w:val="6B7280"/>
          <w:sz w:val="15"/>
          <w:szCs w:val="15"/>
        </w:rPr>
        <w:t xml:space="preserve">A stock dividend gives shareholders more shares instead of cash. For a small stock dividend, below about 20% to 25% of the outstanding shares, the company moves the fair value of the new shares from retained earnings to common stock and APIC. For a large stock dividend, it moves only the par value. A stock split increases the number of shares and reduces the par value per share in proportion. Total equity never changes: only the labels inside equity move.</w:t>
      </w:r>
    </w:p>
    <w:p>
      <w:pPr>
        <w:spacing w:before="20" w:after="20"/>
        <w:ind w:left="240" w:hanging="240"/>
      </w:pPr>
      <w:r>
        <w:rPr>
          <w:b/>
          <w:bCs/>
          <w:color w:val="353A7C"/>
          <w:sz w:val="15"/>
          <w:szCs w:val="15"/>
        </w:rPr>
        <w:t xml:space="preserve">Summary 3   </w:t>
      </w:r>
      <w:r>
        <w:rPr>
          <w:color w:val="6B7280"/>
          <w:sz w:val="15"/>
          <w:szCs w:val="15"/>
        </w:rPr>
        <w:t xml:space="preserve">Small stock dividend at fair value; large stock dividend at par. Do not reverse them. Use outstanding shares, not issued shares: treasury stock gets no dividend. A stock dividend distributable is equity, not a liability.</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Retained earnings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Retained earnings are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company has kept since it began, less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has declared. </w:t>
      </w:r>
      <w:r>
        <w:rPr>
          <w:sz w:val="19"/>
          <w:szCs w:val="19"/>
        </w:rPr>
        <w:t xml:space="preserve">A board may set part of retained earnings aside, for example for a new plant.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retained earnings stay within equity; no costs are ever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them. </w:t>
      </w:r>
      <w:r>
        <w:rPr>
          <w:sz w:val="19"/>
          <w:szCs w:val="19"/>
        </w:rPr>
        <w:t xml:space="preserve">If a company finds an error in earlier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through this year's net income. </w:t>
      </w:r>
      <w:r>
        <w:rPr>
          <w:sz w:val="19"/>
          <w:szCs w:val="19"/>
        </w:rPr>
        <w:t xml:space="preserve">It makes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adjustment: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earlier years and adjusts the opening balance of retained earnings, net of tax. </w:t>
      </w:r>
      <w:r>
        <w:rPr>
          <w:sz w:val="19"/>
          <w:szCs w:val="19"/>
        </w:rPr>
        <w:t xml:space="preserve">Retained earnings may also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by law or by loan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Restrictions are disclosed in the notes. </w:t>
      </w:r>
      <w:r>
        <w:rPr>
          <w:sz w:val="19"/>
          <w:szCs w:val="19"/>
        </w:rPr>
        <w:t xml:space="preserve">They do not change the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profits   ·   covenants   ·   statements   ·   dividends   ·   correct   ·   restricted   ·   restates   ·   charged   ·   separate   ·   appropriated   ·   prior-period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In IFRS and in MENA company law, reserves can mean a legal reserve,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surplus, a translation reserve or share premium. </w:t>
      </w:r>
      <w:r>
        <w:rPr>
          <w:sz w:val="19"/>
          <w:szCs w:val="19"/>
        </w:rPr>
        <w:t xml:space="preserve">None of these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On a U.S. exam, separate APIC, retained earnings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not) and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declared   ·   simply   ·   appropriated   ·   revaluation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Retained earnings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appropriated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covenants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appropriated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prior-period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 Retained earnings may also be restricted by law or by loan covenants. Restrictions are disclosed in the notes. They do not change the balance.</w:t>
      </w:r>
    </w:p>
    <w:p>
      <w:pPr>
        <w:spacing w:before="20" w:after="20"/>
        <w:ind w:left="240" w:hanging="240"/>
      </w:pPr>
      <w:r>
        <w:rPr>
          <w:b/>
          <w:bCs/>
          <w:color w:val="353A7C"/>
          <w:sz w:val="15"/>
          <w:szCs w:val="15"/>
        </w:rPr>
        <w:t xml:space="preserve">Summary 2   </w:t>
      </w:r>
      <w:r>
        <w:rPr>
          <w:color w:val="6B7280"/>
          <w:sz w:val="15"/>
          <w:szCs w:val="15"/>
        </w:rPr>
        <w:t xml:space="preserve">In IFRS and in MENA company law, reserves can mean a legal reserve, a revaluation surplus, a translation reserve or share premium. None of these is simply retained earnings. On a U.S. exam, separate APIC, retained earnings (appropriated or not) and AOCI.</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Limitations and links to the other statements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Total equity is a book value: assets minus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measured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rules. </w:t>
      </w:r>
      <w:r>
        <w:rPr>
          <w:sz w:val="19"/>
          <w:szCs w:val="19"/>
        </w:rPr>
        <w:t xml:space="preserve">It is not what the company is worth. </w:t>
      </w:r>
      <w:r>
        <w:rPr>
          <w:sz w:val="19"/>
          <w:szCs w:val="19"/>
        </w:rPr>
        <w:t xml:space="preserve">Most assets are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and internally built brands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recorded.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is shown at the price paid, not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share price. </w:t>
      </w:r>
      <w:r>
        <w:rPr>
          <w:sz w:val="19"/>
          <w:szCs w:val="19"/>
        </w:rPr>
        <w:t xml:space="preserve">Legal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rules also differ from state to state, so equity does not show exactly how much a company may legally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2025 issue price,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shares would be worth about 6.0 times their book value. </w:t>
      </w:r>
      <w:r>
        <w:rPr>
          <w:sz w:val="19"/>
          <w:szCs w:val="19"/>
        </w:rPr>
        <w:t xml:space="preserve">The statement of changes in equity takes net income and OCI from the statement of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income, and dividends and share issues from the company's owner transactions. </w:t>
      </w:r>
      <w:r>
        <w:rPr>
          <w:sz w:val="19"/>
          <w:szCs w:val="19"/>
        </w:rPr>
        <w:t xml:space="preserve">Its closing balances are the equity section of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   distribute   ·   statement   ·   today's   ·   liabilities   ·   accounting   ·   comprehensive   ·   know-how   ·   capital   ·   historical   ·   January   ·   Orontes's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Balance / event (USD 000 unless stated)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Common stock, $1 par (600,000 shares issued and outstanding)</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600"/>
            <w:shd w:fill="FBFAF6" w:val="clear"/>
            <w:tcMar>
              <w:top w:type="dxa" w:w="50"/>
              <w:left w:type="dxa" w:w="110"/>
              <w:bottom w:type="dxa" w:w="50"/>
              <w:right w:type="dxa" w:w="110"/>
            </w:tcMar>
          </w:tcPr>
          <w:p>
            <w:pPr>
              <w:spacing w:before="28" w:after="28"/>
            </w:pPr>
            <w:r>
              <w:rPr>
                <w:sz w:val="15"/>
                <w:szCs w:val="15"/>
              </w:rPr>
              <w:t xml:space="preserve">1,900</w:t>
            </w:r>
          </w:p>
        </w:tc>
      </w:tr>
      <w:tr>
        <w:tc>
          <w:tcPr>
            <w:tcW w:type="pct" w:w="2400"/>
            <w:tcMar>
              <w:top w:type="dxa" w:w="50"/>
              <w:left w:type="dxa" w:w="110"/>
              <w:bottom w:type="dxa" w:w="50"/>
              <w:right w:type="dxa" w:w="110"/>
            </w:tcMar>
          </w:tcPr>
          <w:p>
            <w:pPr>
              <w:spacing w:before="28" w:after="28"/>
            </w:pPr>
            <w:r>
              <w:rPr>
                <w:sz w:val="15"/>
                <w:szCs w:val="15"/>
              </w:rPr>
              <w:t xml:space="preserve">Retained earnings</w:t>
            </w:r>
          </w:p>
        </w:tc>
        <w:tc>
          <w:tcPr>
            <w:tcW w:type="pct" w:w="2600"/>
            <w:tcMar>
              <w:top w:type="dxa" w:w="50"/>
              <w:left w:type="dxa" w:w="110"/>
              <w:bottom w:type="dxa" w:w="50"/>
              <w:right w:type="dxa" w:w="110"/>
            </w:tcMar>
          </w:tcPr>
          <w:p>
            <w:pPr>
              <w:spacing w:before="28" w:after="28"/>
            </w:pPr>
            <w:r>
              <w:rPr>
                <w:sz w:val="15"/>
                <w:szCs w:val="15"/>
              </w:rPr>
              <w:t xml:space="preserve">1,280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stockholders' equity, January 1, 2026</w:t>
            </w:r>
          </w:p>
        </w:tc>
        <w:tc>
          <w:tcPr>
            <w:tcW w:type="pct" w:w="2600"/>
            <w:shd w:fill="FBFAF6" w:val="clear"/>
            <w:tcMar>
              <w:top w:type="dxa" w:w="50"/>
              <w:left w:type="dxa" w:w="110"/>
              <w:bottom w:type="dxa" w:w="50"/>
              <w:right w:type="dxa" w:w="110"/>
            </w:tcMar>
          </w:tcPr>
          <w:p>
            <w:pPr>
              <w:spacing w:before="28" w:after="28"/>
            </w:pPr>
            <w:r>
              <w:rPr>
                <w:sz w:val="15"/>
                <w:szCs w:val="15"/>
              </w:rPr>
              <w:t xml:space="preserve">3,780</w:t>
            </w:r>
          </w:p>
        </w:tc>
      </w:tr>
      <w:tr>
        <w:tc>
          <w:tcPr>
            <w:tcW w:type="pct" w:w="2400"/>
            <w:tcMar>
              <w:top w:type="dxa" w:w="50"/>
              <w:left w:type="dxa" w:w="110"/>
              <w:bottom w:type="dxa" w:w="50"/>
              <w:right w:type="dxa" w:w="110"/>
            </w:tcMar>
          </w:tcPr>
          <w:p>
            <w:pPr>
              <w:spacing w:before="28" w:after="28"/>
            </w:pPr>
            <w:r>
              <w:rPr>
                <w:sz w:val="15"/>
                <w:szCs w:val="15"/>
              </w:rPr>
              <w:t xml:space="preserve">E1</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Barada bought 80,000 of its own shares at $6 per share (cost method).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Barada reissued 20,000 treasury shares at $8 per share.</w:t>
            </w:r>
          </w:p>
        </w:tc>
      </w:tr>
      <w:tr>
        <w:tc>
          <w:tcPr>
            <w:tcW w:type="pct" w:w="2400"/>
            <w:tcMar>
              <w:top w:type="dxa" w:w="50"/>
              <w:left w:type="dxa" w:w="110"/>
              <w:bottom w:type="dxa" w:w="50"/>
              <w:right w:type="dxa" w:w="110"/>
            </w:tcMar>
          </w:tcPr>
          <w:p>
            <w:pPr>
              <w:spacing w:before="28" w:after="28"/>
            </w:pPr>
            <w:r>
              <w:rPr>
                <w:sz w:val="15"/>
                <w:szCs w:val="15"/>
              </w:rPr>
              <w:t xml:space="preserve">E3</w:t>
            </w:r>
          </w:p>
        </w:tc>
        <w:tc>
          <w:tcPr>
            <w:tcW w:type="pct" w:w="2600"/>
            <w:tcMar>
              <w:top w:type="dxa" w:w="50"/>
              <w:left w:type="dxa" w:w="110"/>
              <w:bottom w:type="dxa" w:w="50"/>
              <w:right w:type="dxa" w:w="110"/>
            </w:tcMar>
          </w:tcPr>
          <w:p>
            <w:pPr>
              <w:spacing w:before="28" w:after="28"/>
            </w:pPr>
            <w:r>
              <w:rPr>
                <w:sz w:val="15"/>
                <w:szCs w:val="15"/>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E4</w:t>
            </w:r>
          </w:p>
        </w:tc>
        <w:tc>
          <w:tcPr>
            <w:tcW w:type="pct" w:w="2600"/>
            <w:shd w:fill="FBFAF6" w:val="clear"/>
            <w:tcMar>
              <w:top w:type="dxa" w:w="50"/>
              <w:left w:type="dxa" w:w="110"/>
              <w:bottom w:type="dxa" w:w="50"/>
              <w:right w:type="dxa" w:w="110"/>
            </w:tcMar>
          </w:tcPr>
          <w:p>
            <w:pPr>
              <w:spacing w:before="28" w:after="28"/>
            </w:pPr>
            <w:r>
              <w:rPr>
                <w:sz w:val="15"/>
                <w:szCs w:val="15"/>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8" w:after="28"/>
            </w:pPr>
            <w:r>
              <w:rPr>
                <w:sz w:val="15"/>
                <w:szCs w:val="15"/>
              </w:rPr>
              <w:t xml:space="preserve">E5</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E6</w:t>
            </w:r>
          </w:p>
        </w:tc>
        <w:tc>
          <w:tcPr>
            <w:tcW w:type="pct" w:w="2600"/>
            <w:shd w:fill="FBFAF6" w:val="clear"/>
            <w:tcMar>
              <w:top w:type="dxa" w:w="50"/>
              <w:left w:type="dxa" w:w="110"/>
              <w:bottom w:type="dxa" w:w="50"/>
              <w:right w:type="dxa" w:w="110"/>
            </w:tcMar>
          </w:tcPr>
          <w:p>
            <w:pPr>
              <w:spacing w:before="28" w:after="28"/>
            </w:pPr>
            <w:r>
              <w:rPr>
                <w:sz w:val="15"/>
                <w:szCs w:val="15"/>
              </w:rPr>
              <w:t xml:space="preserve">Net income for 2026 was 165 (the Chapter 3 case).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June 10   ·   March 5   ·   prior-period adjustment   ·   December 15</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2-for-1 stock split</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earnings: no change. Total equity: no change (no entry is made).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 treasury stock</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no change. Total equity: decreases by the cost.</w:t>
            </w:r>
          </w:p>
        </w:tc>
      </w:tr>
      <w:tr>
        <w:tc>
          <w:tcPr>
            <w:tcW w:type="pct" w:w="2400"/>
            <w:tcMar>
              <w:top w:type="dxa" w:w="50"/>
              <w:left w:type="dxa" w:w="110"/>
              <w:bottom w:type="dxa" w:w="50"/>
              <w:right w:type="dxa" w:w="110"/>
            </w:tcMar>
          </w:tcPr>
          <w:p>
            <w:pPr>
              <w:spacing w:before="28" w:after="28"/>
            </w:pPr>
            <w:r>
              <w:rPr>
                <w:sz w:val="15"/>
                <w:szCs w:val="15"/>
              </w:rPr>
              <w:t xml:space="preserve">Reissue treasury stock above cost</w:t>
            </w:r>
          </w:p>
        </w:tc>
        <w:tc>
          <w:tcPr>
            <w:tcW w:type="pct" w:w="2600"/>
            <w:tcMar>
              <w:top w:type="dxa" w:w="50"/>
              <w:left w:type="dxa" w:w="110"/>
              <w:bottom w:type="dxa" w:w="50"/>
              <w:right w:type="dxa" w:w="110"/>
            </w:tcMar>
          </w:tcPr>
          <w:p>
            <w:pPr>
              <w:spacing w:before="28" w:after="28"/>
            </w:pPr>
            <w:r>
              <w:rPr>
                <w:sz w:val="15"/>
                <w:szCs w:val="15"/>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Correct an error that overstated expenses</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opening balance increases, net of tax. Total equity: increases.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decreases   ·   Retained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APIC–treasury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400"/>
            <w:shd w:fill="FBFAF6" w:val="clear"/>
            <w:tcMar>
              <w:top w:type="dxa" w:w="50"/>
              <w:left w:type="dxa" w:w="110"/>
              <w:bottom w:type="dxa" w:w="50"/>
              <w:right w:type="dxa" w:w="110"/>
            </w:tcMar>
          </w:tcPr>
          <w:p>
            <w:pPr>
              <w:spacing w:before="28" w:after="28"/>
            </w:pPr>
            <w:r>
              <w:rPr>
                <w:sz w:val="15"/>
                <w:szCs w:val="15"/>
              </w:rPr>
              <w:t xml:space="preserve">Earned capital</w:t>
            </w:r>
          </w:p>
        </w:tc>
      </w:tr>
      <w:tr>
        <w:tc>
          <w:tcPr>
            <w:tcW w:type="pct" w:w="2600"/>
            <w:tcMar>
              <w:top w:type="dxa" w:w="50"/>
              <w:left w:type="dxa" w:w="110"/>
              <w:bottom w:type="dxa" w:w="50"/>
              <w:right w:type="dxa" w:w="110"/>
            </w:tcMar>
          </w:tcPr>
          <w:p>
            <w:pPr>
              <w:spacing w:before="28" w:after="28"/>
            </w:pPr>
            <w:r>
              <w:rPr>
                <w:sz w:val="15"/>
                <w:szCs w:val="15"/>
              </w:rPr>
              <w:t xml:space="preserve">Treasury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tcMar>
              <w:top w:type="dxa" w:w="50"/>
              <w:left w:type="dxa" w:w="110"/>
              <w:bottom w:type="dxa" w:w="50"/>
              <w:right w:type="dxa" w:w="110"/>
            </w:tcMar>
          </w:tcPr>
          <w:p>
            <w:pPr>
              <w:spacing w:before="28" w:after="28"/>
            </w:pPr>
            <w:r>
              <w:rPr>
                <w:sz w:val="15"/>
                <w:szCs w:val="15"/>
              </w:rPr>
              <w:t xml:space="preserve">Common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Contributed capital   ·   Current liability   ·   Deduction from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   property dividend   ·   statement of changes in equity</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March 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June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know-how</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December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today's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Deduction from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treasury stock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Total equity is a book value: assets minus liabilities, as measured by the accounting rules. It is not what the company is worth. Most assets are at historical cost, and internally built brands and know-how are not recorded. Treasury stock is shown at the price paid, not at today's share price. Legal capital rules also differ from state to state, so equity does not show exactly how much a company may legally distribute. At the January 2025 issue price, Orontes's shares would be worth about 6.0 times their book value. The statement of changes in equity takes net income and OCI from the statement of comprehensive income, and dividends and share issues from the company's owner transactions. Its closing balances are the equity section of the balance sheet.</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Purpose and structure of the statement of cash flows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cash flows   ·   Classifying cash flows   ·   Limitations and links between the four stateme</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statement of cash flows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receipts and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period. </w:t>
      </w:r>
      <w:r>
        <w:rPr>
          <w:sz w:val="19"/>
          <w:szCs w:val="19"/>
        </w:rPr>
        <w:t xml:space="preserve">Users need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is not cash. </w:t>
      </w:r>
      <w:r>
        <w:rPr>
          <w:sz w:val="19"/>
          <w:szCs w:val="19"/>
        </w:rPr>
        <w:t xml:space="preserve">It helps them judge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company can produce cash, pay its debts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fund its growth without new financing. </w:t>
      </w:r>
      <w:r>
        <w:rPr>
          <w:sz w:val="19"/>
          <w:szCs w:val="19"/>
        </w:rPr>
        <w:t xml:space="preserve">The statement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change in cash, cash equivalents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together. </w:t>
      </w:r>
      <w:r>
        <w:rPr>
          <w:sz w:val="19"/>
          <w:szCs w:val="19"/>
        </w:rPr>
        <w:t xml:space="preserve">Cash equivalents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highly liquid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an original maturity to the holder of three months or less.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money between these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cash flow. </w:t>
      </w:r>
      <w:r>
        <w:rPr>
          <w:sz w:val="19"/>
          <w:szCs w:val="19"/>
        </w:rPr>
        <w:t xml:space="preserve">Cash flows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into operating activities, investing activities and financing activities. </w:t>
      </w:r>
      <w:r>
        <w:rPr>
          <w:sz w:val="19"/>
          <w:szCs w:val="19"/>
        </w:rPr>
        <w:t xml:space="preserve">Operating activities provided $7,531,100, investing used $4,179,000, and financing provided $1,850,000. </w:t>
      </w:r>
      <w:r>
        <w:rPr>
          <w:sz w:val="19"/>
          <w:szCs w:val="19"/>
        </w:rPr>
        <w:t xml:space="preserve">Cash rose by $5,202,100, to the $7,302,100 shown on the balance sheet. </w:t>
      </w:r>
      <w:r>
        <w:rPr>
          <w:sz w:val="19"/>
          <w:szCs w:val="19"/>
        </w:rPr>
        <w:t xml:space="preserve">Strong operating cash is a good sign, but a reader should also ask where the cash went. </w:t>
      </w:r>
      <w:r>
        <w:rPr>
          <w:sz w:val="19"/>
          <w:szCs w:val="19"/>
        </w:rPr>
        <w:t xml:space="preserve">Orontes spent heavily on equipment and on its investment in Jordan Glass, and it also raised new shares and a bank loan.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restricted   ·   payments   ·   reports   ·   grouped   ·   company's   ·   short-term   ·   because   ·   investments   ·   Moving   ·   explains   ·   categories   ·   whether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cash flows (indirect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flows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BFAF6" w:val="clear"/>
            <w:tcMar>
              <w:top w:type="dxa" w:w="50"/>
              <w:left w:type="dxa" w:w="110"/>
              <w:bottom w:type="dxa" w:w="50"/>
              <w:right w:type="dxa" w:w="110"/>
            </w:tcMar>
          </w:tcPr>
          <w:p>
            <w:pPr>
              <w:spacing w:before="28" w:after="28"/>
            </w:pPr>
            <w:r>
              <w:rPr>
                <w:sz w:val="15"/>
                <w:szCs w:val="15"/>
              </w:rPr>
              <w:t xml:space="preserve">2,969,100</w:t>
            </w:r>
          </w:p>
        </w:tc>
      </w:tr>
      <w:tr>
        <w:tc>
          <w:tcPr>
            <w:tcW w:type="pct" w:w="2600"/>
            <w:tcMar>
              <w:top w:type="dxa" w:w="50"/>
              <w:left w:type="dxa" w:w="110"/>
              <w:bottom w:type="dxa" w:w="50"/>
              <w:right w:type="dxa" w:w="110"/>
            </w:tcMar>
          </w:tcPr>
          <w:p>
            <w:pPr>
              <w:spacing w:before="28" w:after="28"/>
            </w:pPr>
            <w:r>
              <w:rPr>
                <w:sz w:val="15"/>
                <w:szCs w:val="15"/>
              </w:rPr>
              <w:t xml:space="preserve">Adjustments to reconcile net income to net cash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2,100,000</w:t>
            </w:r>
          </w:p>
        </w:tc>
      </w:tr>
      <w:tr>
        <w:tc>
          <w:tcPr>
            <w:tcW w:type="pct" w:w="2600"/>
            <w:tcMar>
              <w:top w:type="dxa" w:w="50"/>
              <w:left w:type="dxa" w:w="110"/>
              <w:bottom w:type="dxa" w:w="50"/>
              <w:right w:type="dxa" w:w="110"/>
            </w:tcMar>
          </w:tcPr>
          <w:p>
            <w:pPr>
              <w:spacing w:before="28" w:after="28"/>
            </w:pPr>
            <w:r>
              <w:rPr>
                <w:sz w:val="15"/>
                <w:szCs w:val="15"/>
              </w:rPr>
              <w:t xml:space="preserve">Impairment losses</w:t>
            </w:r>
          </w:p>
        </w:tc>
        <w:tc>
          <w:tcPr>
            <w:tcW w:type="pct" w:w="2400"/>
            <w:tcMar>
              <w:top w:type="dxa" w:w="50"/>
              <w:left w:type="dxa" w:w="110"/>
              <w:bottom w:type="dxa" w:w="50"/>
              <w:right w:type="dxa" w:w="110"/>
            </w:tcMar>
          </w:tcPr>
          <w:p>
            <w:pPr>
              <w:spacing w:before="28" w:after="28"/>
            </w:pPr>
            <w:r>
              <w:rPr>
                <w:sz w:val="15"/>
                <w:szCs w:val="15"/>
              </w:rPr>
              <w:t xml:space="preserve">2,724,000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400"/>
            <w:shd w:fill="FBFAF6" w:val="clear"/>
            <w:tcMar>
              <w:top w:type="dxa" w:w="50"/>
              <w:left w:type="dxa" w:w="110"/>
              <w:bottom w:type="dxa" w:w="50"/>
              <w:right w:type="dxa" w:w="110"/>
            </w:tcMar>
          </w:tcPr>
          <w:p>
            <w:pPr>
              <w:spacing w:before="28" w:after="28"/>
            </w:pPr>
            <w:r>
              <w:rPr>
                <w:sz w:val="15"/>
                <w:szCs w:val="15"/>
              </w:rPr>
              <w:t xml:space="preserve">(177,000)</w:t>
            </w:r>
          </w:p>
        </w:tc>
      </w:tr>
      <w:tr>
        <w:tc>
          <w:tcPr>
            <w:tcW w:type="pct" w:w="2600"/>
            <w:tcMar>
              <w:top w:type="dxa" w:w="50"/>
              <w:left w:type="dxa" w:w="110"/>
              <w:bottom w:type="dxa" w:w="50"/>
              <w:right w:type="dxa" w:w="110"/>
            </w:tcMar>
          </w:tcPr>
          <w:p>
            <w:pPr>
              <w:spacing w:before="28" w:after="28"/>
            </w:pPr>
            <w:r>
              <w:rPr>
                <w:sz w:val="15"/>
                <w:szCs w:val="15"/>
              </w:rPr>
              <w:t xml:space="preserve">Dividends from equity-method investees</w:t>
            </w:r>
          </w:p>
        </w:tc>
        <w:tc>
          <w:tcPr>
            <w:tcW w:type="pct" w:w="2400"/>
            <w:tcMar>
              <w:top w:type="dxa" w:w="50"/>
              <w:left w:type="dxa" w:w="110"/>
              <w:bottom w:type="dxa" w:w="50"/>
              <w:right w:type="dxa" w:w="110"/>
            </w:tcMar>
          </w:tcPr>
          <w:p>
            <w:pPr>
              <w:spacing w:before="28" w:after="28"/>
            </w:pPr>
            <w:r>
              <w:rPr>
                <w:sz w:val="15"/>
                <w:szCs w:val="15"/>
              </w:rPr>
              <w:t xml:space="preserve">70,000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income taxes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(384,000)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Increase in prepaid expenses</w:t>
            </w:r>
          </w:p>
        </w:tc>
        <w:tc>
          <w:tcPr>
            <w:tcW w:type="pct" w:w="2400"/>
            <w:tcMar>
              <w:top w:type="dxa" w:w="50"/>
              <w:left w:type="dxa" w:w="110"/>
              <w:bottom w:type="dxa" w:w="50"/>
              <w:right w:type="dxa" w:w="110"/>
            </w:tcMar>
          </w:tcPr>
          <w:p>
            <w:pPr>
              <w:spacing w:before="28" w:after="28"/>
            </w:pPr>
            <w:r>
              <w:rPr>
                <w:sz w:val="15"/>
                <w:szCs w:val="15"/>
              </w:rPr>
              <w:t xml:space="preserve">(24,000)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Increase in income taxes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Increase in contract liabilities</w:t>
            </w:r>
          </w:p>
        </w:tc>
        <w:tc>
          <w:tcPr>
            <w:tcW w:type="pct" w:w="2400"/>
            <w:tcMar>
              <w:top w:type="dxa" w:w="50"/>
              <w:left w:type="dxa" w:w="110"/>
              <w:bottom w:type="dxa" w:w="50"/>
              <w:right w:type="dxa" w:w="110"/>
            </w:tcMar>
          </w:tcPr>
          <w:p>
            <w:pPr>
              <w:spacing w:before="28" w:after="28"/>
            </w:pPr>
            <w:r>
              <w:rPr>
                <w:sz w:val="15"/>
                <w:szCs w:val="15"/>
              </w:rPr>
              <w:t xml:space="preserve">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r>
        <w:tc>
          <w:tcPr>
            <w:tcW w:type="pct" w:w="2600"/>
            <w:tcMar>
              <w:top w:type="dxa" w:w="50"/>
              <w:left w:type="dxa" w:w="110"/>
              <w:bottom w:type="dxa" w:w="50"/>
              <w:right w:type="dxa" w:w="110"/>
            </w:tcMar>
          </w:tcPr>
          <w:p>
            <w:pPr>
              <w:spacing w:before="28" w:after="28"/>
            </w:pPr>
            <w:r>
              <w:rPr>
                <w:sz w:val="15"/>
                <w:szCs w:val="15"/>
              </w:rPr>
              <w:t xml:space="preserve">Cash flows from investing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Purchases of property, plant and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600"/>
            <w:tcMar>
              <w:top w:type="dxa" w:w="50"/>
              <w:left w:type="dxa" w:w="110"/>
              <w:bottom w:type="dxa" w:w="50"/>
              <w:right w:type="dxa" w:w="110"/>
            </w:tcMar>
          </w:tcPr>
          <w:p>
            <w:pPr>
              <w:spacing w:before="28" w:after="28"/>
            </w:pPr>
            <w:r>
              <w:rPr>
                <w:sz w:val="15"/>
                <w:szCs w:val="15"/>
              </w:rPr>
              <w:t xml:space="preserve">Proceeds from sale of equipment</w:t>
            </w:r>
          </w:p>
        </w:tc>
        <w:tc>
          <w:tcPr>
            <w:tcW w:type="pct" w:w="2400"/>
            <w:tcMar>
              <w:top w:type="dxa" w:w="50"/>
              <w:left w:type="dxa" w:w="110"/>
              <w:bottom w:type="dxa" w:w="50"/>
              <w:right w:type="dxa" w:w="110"/>
            </w:tcMar>
          </w:tcPr>
          <w:p>
            <w:pPr>
              <w:spacing w:before="28" w:after="28"/>
            </w:pPr>
            <w:r>
              <w:rPr>
                <w:sz w:val="15"/>
                <w:szCs w:val="15"/>
              </w:rPr>
              <w:t xml:space="preserve">21,000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Investment in Jordan Glass Co.</w:t>
            </w:r>
          </w:p>
        </w:tc>
        <w:tc>
          <w:tcPr>
            <w:tcW w:type="pct" w:w="2400"/>
            <w:shd w:fill="FBFAF6" w:val="clear"/>
            <w:tcMar>
              <w:top w:type="dxa" w:w="50"/>
              <w:left w:type="dxa" w:w="110"/>
              <w:bottom w:type="dxa" w:w="50"/>
              <w:right w:type="dxa" w:w="110"/>
            </w:tcMar>
          </w:tcPr>
          <w:p>
            <w:pPr>
              <w:spacing w:before="28" w:after="28"/>
            </w:pPr>
            <w:r>
              <w:rPr>
                <w:sz w:val="15"/>
                <w:szCs w:val="15"/>
              </w:rPr>
              <w:t xml:space="preserve">(1,200,000)</w:t>
            </w:r>
          </w:p>
        </w:tc>
      </w:tr>
      <w:tr>
        <w:tc>
          <w:tcPr>
            <w:tcW w:type="pct" w:w="2600"/>
            <w:tcMar>
              <w:top w:type="dxa" w:w="50"/>
              <w:left w:type="dxa" w:w="110"/>
              <w:bottom w:type="dxa" w:w="50"/>
              <w:right w:type="dxa" w:w="110"/>
            </w:tcMar>
          </w:tcPr>
          <w:p>
            <w:pPr>
              <w:spacing w:before="28" w:after="28"/>
            </w:pPr>
            <w:r>
              <w:rPr>
                <w:sz w:val="15"/>
                <w:szCs w:val="15"/>
              </w:rPr>
              <w:t xml:space="preserve">Net cash used in investing activities</w:t>
            </w:r>
          </w:p>
        </w:tc>
        <w:tc>
          <w:tcPr>
            <w:tcW w:type="pct" w:w="2400"/>
            <w:tcMar>
              <w:top w:type="dxa" w:w="50"/>
              <w:left w:type="dxa" w:w="110"/>
              <w:bottom w:type="dxa" w:w="50"/>
              <w:right w:type="dxa" w:w="110"/>
            </w:tcMar>
          </w:tcPr>
          <w:p>
            <w:pPr>
              <w:spacing w:before="28" w:after="28"/>
            </w:pPr>
            <w:r>
              <w:rPr>
                <w:sz w:val="15"/>
                <w:szCs w:val="15"/>
              </w:rPr>
              <w:t xml:space="preserve">(4,179,000)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flows from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1,500,000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Proceeds from bank note</w:t>
            </w:r>
          </w:p>
        </w:tc>
        <w:tc>
          <w:tcPr>
            <w:tcW w:type="pct" w:w="240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00"/>
            <w:tcMar>
              <w:top w:type="dxa" w:w="50"/>
              <w:left w:type="dxa" w:w="110"/>
              <w:bottom w:type="dxa" w:w="50"/>
              <w:right w:type="dxa" w:w="110"/>
            </w:tcMar>
          </w:tcPr>
          <w:p>
            <w:pPr>
              <w:spacing w:before="28" w:after="28"/>
            </w:pPr>
            <w:r>
              <w:rPr>
                <w:sz w:val="15"/>
                <w:szCs w:val="15"/>
              </w:rPr>
              <w:t xml:space="preserve">Repayment of long-term debt</w:t>
            </w:r>
          </w:p>
        </w:tc>
        <w:tc>
          <w:tcPr>
            <w:tcW w:type="pct" w:w="2400"/>
            <w:tcMar>
              <w:top w:type="dxa" w:w="50"/>
              <w:left w:type="dxa" w:w="110"/>
              <w:bottom w:type="dxa" w:w="50"/>
              <w:right w:type="dxa" w:w="110"/>
            </w:tcMar>
          </w:tcPr>
          <w:p>
            <w:pPr>
              <w:spacing w:before="28" w:after="28"/>
            </w:pPr>
            <w:r>
              <w:rPr>
                <w:sz w:val="15"/>
                <w:szCs w:val="15"/>
              </w:rPr>
              <w:t xml:space="preserve">(400,000)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paid</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Net cash provided by financing activities</w:t>
            </w:r>
          </w:p>
        </w:tc>
        <w:tc>
          <w:tcPr>
            <w:tcW w:type="pct" w:w="2400"/>
            <w:tcMar>
              <w:top w:type="dxa" w:w="50"/>
              <w:left w:type="dxa" w:w="110"/>
              <w:bottom w:type="dxa" w:w="50"/>
              <w:right w:type="dxa" w:w="110"/>
            </w:tcMar>
          </w:tcPr>
          <w:p>
            <w:pPr>
              <w:spacing w:before="28" w:after="28"/>
            </w:pPr>
            <w:r>
              <w:rPr>
                <w:sz w:val="15"/>
                <w:szCs w:val="15"/>
              </w:rPr>
              <w:t xml:space="preserve">1,850,000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increase in cash</w:t>
            </w:r>
          </w:p>
        </w:tc>
        <w:tc>
          <w:tcPr>
            <w:tcW w:type="pct" w:w="2400"/>
            <w:shd w:fill="FBFAF6" w:val="clear"/>
            <w:tcMar>
              <w:top w:type="dxa" w:w="50"/>
              <w:left w:type="dxa" w:w="110"/>
              <w:bottom w:type="dxa" w:w="50"/>
              <w:right w:type="dxa" w:w="110"/>
            </w:tcMar>
          </w:tcPr>
          <w:p>
            <w:pPr>
              <w:spacing w:before="28" w:after="28"/>
            </w:pPr>
            <w:r>
              <w:rPr>
                <w:sz w:val="15"/>
                <w:szCs w:val="15"/>
              </w:rPr>
              <w:t xml:space="preserve">5,202,100</w:t>
            </w:r>
          </w:p>
        </w:tc>
      </w:tr>
      <w:tr>
        <w:tc>
          <w:tcPr>
            <w:tcW w:type="pct" w:w="2600"/>
            <w:tcMar>
              <w:top w:type="dxa" w:w="50"/>
              <w:left w:type="dxa" w:w="110"/>
              <w:bottom w:type="dxa" w:w="50"/>
              <w:right w:type="dxa" w:w="110"/>
            </w:tcMar>
          </w:tcPr>
          <w:p>
            <w:pPr>
              <w:spacing w:before="28" w:after="28"/>
            </w:pPr>
            <w:r>
              <w:rPr>
                <w:sz w:val="15"/>
                <w:szCs w:val="15"/>
              </w:rPr>
              <w:t xml:space="preserve">Cash, January 1, 2025</w:t>
            </w:r>
          </w:p>
        </w:tc>
        <w:tc>
          <w:tcPr>
            <w:tcW w:type="pct" w:w="2400"/>
            <w:tcMar>
              <w:top w:type="dxa" w:w="50"/>
              <w:left w:type="dxa" w:w="110"/>
              <w:bottom w:type="dxa" w:w="50"/>
              <w:right w:type="dxa" w:w="110"/>
            </w:tcMar>
          </w:tcPr>
          <w:p>
            <w:pPr>
              <w:spacing w:before="28" w:after="28"/>
            </w:pPr>
            <w:r>
              <w:rPr>
                <w:sz w:val="15"/>
                <w:szCs w:val="15"/>
              </w:rPr>
              <w:t xml:space="preserve">2,100,000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December 31, 2025</w:t>
            </w:r>
          </w:p>
        </w:tc>
        <w:tc>
          <w:tcPr>
            <w:tcW w:type="pct" w:w="2400"/>
            <w:shd w:fill="FBFAF6" w:val="clear"/>
            <w:tcMar>
              <w:top w:type="dxa" w:w="50"/>
              <w:left w:type="dxa" w:w="110"/>
              <w:bottom w:type="dxa" w:w="50"/>
              <w:right w:type="dxa" w:w="110"/>
            </w:tcMar>
          </w:tcPr>
          <w:p>
            <w:pPr>
              <w:spacing w:before="28" w:after="28"/>
            </w:pPr>
            <w:r>
              <w:rPr>
                <w:sz w:val="15"/>
                <w:szCs w:val="15"/>
              </w:rPr>
              <w:t xml:space="preserve">7,302,100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tcMar>
              <w:top w:type="dxa" w:w="50"/>
              <w:left w:type="dxa" w:w="110"/>
              <w:bottom w:type="dxa" w:w="50"/>
              <w:right w:type="dxa" w:w="110"/>
            </w:tcMar>
          </w:tcPr>
          <w:p>
            <w:pPr>
              <w:spacing w:before="28" w:after="28"/>
            </w:pPr>
            <w:r>
              <w:rPr>
                <w:sz w:val="15"/>
                <w:szCs w:val="15"/>
              </w:rPr>
              <w:t xml:space="preserve">Income taxes paid</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Noncash investing and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in inventory   ·   Depreciation   ·   Deferred income taxes   ·   Gain on sale of equipment   ·   Increase in accounts receivable, net   ·   Interest paid   ·   Unrealized gains on securities   ·   Increase in accounts payable   ·   Issuance of common stock   ·   Supplemental disclosures   ·   Increase in accrued liabilities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الأنشطة التشغيلية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400"/>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600"/>
            <w:tcMar>
              <w:top w:type="dxa" w:w="50"/>
              <w:left w:type="dxa" w:w="110"/>
              <w:bottom w:type="dxa" w:w="50"/>
              <w:right w:type="dxa" w:w="110"/>
            </w:tcMar>
          </w:tcPr>
          <w:p>
            <w:pPr>
              <w:spacing w:before="26" w:after="26"/>
            </w:pPr>
            <w:r>
              <w:rPr>
                <w:color w:val="232733"/>
                <w:sz w:val="16"/>
                <w:szCs w:val="16"/>
              </w:rPr>
              <w:t xml:space="preserve">الأنشطة الاستثمارية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التمويلية</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Purpose and structure of the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Classifying cash flows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grouped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between the four stateme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Increase in 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 in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Increase in 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Increase in accrued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Issuance of 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Supplemental 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financing activities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 The statement explains the change in cash, cash equivalents and restricted cash together. Cash equivalents are short-term, highly liquid investments with an original maturity to the holder of three months or less. Moving money between these categories is not a cash flow. Cash flows are grouped into operating activities, investing activities and financing activities. Operating activities provided $7,531,100, investing used $4,179,000, and financing provided $1,850,000. Cash rose by $5,202,100, to the $7,302,100 shown on the balance sheet. Strong operating cash is a good sign, but a reader should also ask where the cash went. Orontes spent heavily on equipment and on its investment in Jordan Glass, and it also raised new shares and a bank loan.</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Classifying cash flows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Operating activities are the main revenue activities: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employees.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is not investing or financing is also operating. </w:t>
      </w:r>
      <w:r>
        <w:rPr>
          <w:sz w:val="19"/>
          <w:szCs w:val="19"/>
        </w:rPr>
        <w:t xml:space="preserve">Investing activities involve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assets and other companies'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Orontes paid $3,000,000 for equipment and $1,200,000 for its Jordan Glass shares. </w:t>
      </w:r>
      <w:r>
        <w:rPr>
          <w:sz w:val="19"/>
          <w:szCs w:val="19"/>
        </w:rPr>
        <w:t xml:space="preserve">Financing activities are with owners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They include issuing and buying back shares,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repaying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paying dividends. </w:t>
      </w:r>
      <w:r>
        <w:rPr>
          <w:sz w:val="19"/>
          <w:szCs w:val="19"/>
        </w:rPr>
        <w:t xml:space="preserve">Orontes received $1,500,000 from its share issue and $800,000 from the bank note,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$400,000 of debt and paid $50,000 of dividends. </w:t>
      </w:r>
      <w:r>
        <w:rPr>
          <w:sz w:val="19"/>
          <w:szCs w:val="19"/>
        </w:rPr>
        <w:t xml:space="preserve">U.S. GAAP fixes four items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get wrong. </w:t>
      </w:r>
      <w:r>
        <w:rPr>
          <w:sz w:val="19"/>
          <w:szCs w:val="19"/>
        </w:rPr>
        <w:t xml:space="preserve">Interest paid, interest received, dividends received and income taxes are all operating. </w:t>
      </w:r>
      <w:r>
        <w:rPr>
          <w:sz w:val="19"/>
          <w:szCs w:val="19"/>
        </w:rPr>
        <w:t xml:space="preserve">Only dividends paid are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repaid   ·   students   ·   borrowing   ·   lenders   ·   securities   ·   suppliers   ·   long-term   ·   disclosed   ·   Anything   ·   customers   ·   principal</w:t>
            </w:r>
          </w:p>
        </w:tc>
      </w:tr>
    </w:tbl>
    <w:p/>
    <w:p>
      <w:pPr>
        <w:spacing w:before="44" w:after="10"/>
      </w:pPr>
      <w:r>
        <w:rPr>
          <w:b/>
          <w:bCs/>
          <w:color w:val="353A7C"/>
          <w:sz w:val="18"/>
          <w:szCs w:val="18"/>
        </w:rPr>
        <w:t xml:space="preserve">Classifying interest, dividends and taxes: U.S. GAAP and IFRS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Dividends received   ·   Interest received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Some investing and financing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involve no cash at all, such as buying land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shares or a note. </w:t>
      </w:r>
      <w:r>
        <w:rPr>
          <w:sz w:val="19"/>
          <w:szCs w:val="19"/>
        </w:rPr>
        <w:t xml:space="preserve">These noncash investing and financing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not shown in the body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They are disclosed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had none in 2025. </w:t>
      </w:r>
      <w:r>
        <w:rPr>
          <w:sz w:val="19"/>
          <w:szCs w:val="19"/>
        </w:rPr>
        <w:t xml:space="preserve">Under IAS 7 today, interest paid can be operating or financing, and interest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received can be operating or investing. </w:t>
      </w:r>
      <w:r>
        <w:rPr>
          <w:sz w:val="19"/>
          <w:szCs w:val="19"/>
        </w:rPr>
        <w:t xml:space="preserve">The amendments that come with IFRS 18 remove some choices from 2027, but they are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statement   ·   transactions   ·   issuing   ·   dividends   ·   separately   ·   equipment   ·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activity?</w:t>
            </w:r>
          </w:p>
        </w:tc>
      </w:tr>
    </w:tbl>
    <w:p/>
    <w:p>
      <w:pPr>
        <w:spacing w:before="20" w:after="20" w:line="360" w:lineRule="auto"/>
        <w:ind w:left="200"/>
      </w:pPr>
      <w:r>
        <w:rPr>
          <w:sz w:val="19"/>
          <w:szCs w:val="19"/>
        </w:rPr>
        <w:t xml:space="preserve">The first two are done. Classify the other four under U.S. GAAP.</w:t>
      </w:r>
    </w:p>
    <w:p>
      <w:pPr>
        <w:pageBreakBefore w:val="true"/>
        <w:spacing w:after="0"/>
      </w:pPr>
      <w:r>
        <w:rPr>
          <w:sz w:val="2"/>
        </w:rPr>
        <w:t xml:space="preserve"> </w:t>
      </w:r>
    </w:p>
    <w:p>
      <w:pPr>
        <w:spacing w:before="44" w:after="10"/>
      </w:pPr>
      <w:r>
        <w:rPr>
          <w:b/>
          <w:bCs/>
          <w:color w:val="353A7C"/>
          <w:sz w:val="18"/>
          <w:szCs w:val="18"/>
        </w:rPr>
        <w:t xml:space="preserve">Which activity?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paid to buy back the company's own shares   ·   Land acquired by issuing a long-term note (no cash)   ·   Cash paid to buy a delivery truck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Classification traps</w:t>
            </w:r>
          </w:p>
        </w:tc>
      </w:tr>
    </w:tbl>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Interest paid is operating, not financing, under U.S. GAAP. </w:t>
      </w:r>
      <w:r>
        <w:rPr>
          <w:sz w:val="19"/>
          <w:szCs w:val="19"/>
        </w:rPr>
        <w:t xml:space="preserve">Dividends paid are financing; dividends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operating. </w:t>
      </w:r>
      <w:r>
        <w:rPr>
          <w:sz w:val="19"/>
          <w:szCs w:val="19"/>
        </w:rPr>
        <w:t xml:space="preserve">A note issued for land is not a cash flow: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received   ·   disclose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equivalents   ·   financing activities   ·   investing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03"/>
        <w:gridCol w:w="46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4"/>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46"/>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Classifying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Land acquired by issuing a long-term note (no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Cash paid to buy back the company's own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repaid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students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 Financing activities are with owners and lenders. They include issuing and buying back shares, borrowing and repaying principal, and paying dividends. Orontes received $1,500,000 from its share issue and $800,000 from the bank note, repaid $400,000 of debt and paid $50,000 of dividends. U.S. GAAP fixes four items that students often get wrong. Interest paid, interest received, dividends received and income taxes are all operating. Only dividends paid are financing.</w:t>
      </w:r>
    </w:p>
    <w:p>
      <w:pPr>
        <w:spacing w:before="20" w:after="20"/>
        <w:ind w:left="240" w:hanging="240"/>
      </w:pPr>
      <w:r>
        <w:rPr>
          <w:b/>
          <w:bCs/>
          <w:color w:val="353A7C"/>
          <w:sz w:val="15"/>
          <w:szCs w:val="15"/>
        </w:rPr>
        <w:t xml:space="preserve">Summary 2   </w:t>
      </w:r>
      <w:r>
        <w:rPr>
          <w:color w:val="6B7280"/>
          <w:sz w:val="15"/>
          <w:szCs w:val="15"/>
        </w:rPr>
        <w:t xml:space="preserve">Some investing and financing transactions involve no cash at all, such as buying land by issuing shares or a note. These noncash investing and financing activities are not shown in the body of the statement. They are disclosed separately. Orontes had none in 2025. Under IAS 7 today, interest paid can be operating or financing, and interest and dividends received can be operating or investing. The amendments that come with IFRS 18 remove some choices from 2027, but they are not testable before about January 2028.</w:t>
      </w:r>
    </w:p>
    <w:p>
      <w:pPr>
        <w:spacing w:before="20" w:after="20"/>
        <w:ind w:left="240" w:hanging="240"/>
      </w:pPr>
      <w:r>
        <w:rPr>
          <w:b/>
          <w:bCs/>
          <w:color w:val="353A7C"/>
          <w:sz w:val="15"/>
          <w:szCs w:val="15"/>
        </w:rPr>
        <w:t xml:space="preserve">Summary 3   </w:t>
      </w:r>
      <w:r>
        <w:rPr>
          <w:color w:val="6B7280"/>
          <w:sz w:val="15"/>
          <w:szCs w:val="15"/>
        </w:rPr>
        <w:t xml:space="preserve">Interest paid is operating, not financing, under U.S. GAAP. Dividends paid are financing; dividends received are operating. A note issued for land is not a cash flow: disclose it.</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indirect method</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U.S. companies use the indirect method for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net income and removes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is not an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Working-capital   ·   activities   ·   everything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operating cash flow</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operating activities   ·   subtracted   ·   equity-method   ·   add back noncash expenses and losses   ·   receivables</w:t>
            </w:r>
          </w:p>
        </w:tc>
      </w:tr>
    </w:tbl>
    <w:p/>
    <w:p>
      <w:pPr>
        <w:spacing w:before="44" w:after="14"/>
      </w:pPr>
      <w:r>
        <w:rPr>
          <w:b/>
          <w:bCs/>
          <w:color w:val="353A7C"/>
          <w:sz w:val="18"/>
          <w:szCs w:val="18"/>
        </w:rPr>
        <w:t xml:space="preserve">Summary 2</w:t>
      </w:r>
      <w:r>
        <w:rPr>
          <w:color w:val="6B7280"/>
          <w:sz w:val="16"/>
          <w:szCs w:val="16"/>
        </w:rPr>
        <w:t xml:space="preserve">      gaps 8–12</w:t>
      </w:r>
    </w:p>
    <w:p>
      <w:pPr>
        <w:spacing w:before="20" w:after="20" w:line="360" w:lineRule="auto"/>
        <w:ind w:left="200"/>
      </w:pPr>
      <w:r>
        <w:rPr>
          <w:sz w:val="19"/>
          <w:szCs w:val="19"/>
        </w:rPr>
        <w:t xml:space="preserve">Start with net income: $2,969,100. </w:t>
      </w:r>
      <w:r>
        <w:rPr>
          <w:sz w:val="19"/>
          <w:szCs w:val="19"/>
        </w:rPr>
        <w:t xml:space="preserve">Add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impairments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taxes, which used no cash: $4,924,000. </w:t>
      </w:r>
      <w:r>
        <w:rPr>
          <w:sz w:val="19"/>
          <w:szCs w:val="19"/>
        </w:rPr>
        <w:t xml:space="preserve">Subtract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income of $177,000, add dividends from investees of $70,000, and subtract the oven gain of $3,000 and unrealized gains of $4,000.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changes reduce cash by a net $248,000. </w:t>
      </w:r>
      <w:r>
        <w:rPr>
          <w:sz w:val="19"/>
          <w:szCs w:val="19"/>
        </w:rPr>
        <w:t xml:space="preserve">The total, $7,531,100, equals net cash from operating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subtracted   ·   depreciation   ·   deferred   ·   activities   ·   equity-method   ·   Working-capital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Indirect-method traps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Start from net income, never from operating income.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payable and notes payable are financing items. </w:t>
      </w:r>
      <w:r>
        <w:rPr>
          <w:sz w:val="19"/>
          <w:szCs w:val="19"/>
        </w:rPr>
        <w:t xml:space="preserve">Do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their changes in working capital. </w:t>
      </w:r>
      <w:r>
        <w:rPr>
          <w:sz w:val="19"/>
          <w:szCs w:val="19"/>
        </w:rPr>
        <w:t xml:space="preserve">Show the full proceeds of a sale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remove the gain from operating.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investing   ·   Dividends   ·   unrealized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الأنشطة التشغيلية   ·   investing activities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method</w:t>
            </w:r>
          </w:p>
        </w:tc>
        <w:tc>
          <w:tcPr>
            <w:tcW w:type="pct" w:w="2600"/>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indirect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Working-capital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add back noncash expenses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subtracted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deferred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U.S. companies use the indirect method for operating activities. It starts with net income and removes everything that is not an operating cash flow.</w:t>
      </w:r>
    </w:p>
    <w:p>
      <w:pPr>
        <w:spacing w:before="20" w:after="20"/>
        <w:ind w:left="240" w:hanging="240"/>
      </w:pPr>
      <w:r>
        <w:rPr>
          <w:b/>
          <w:bCs/>
          <w:color w:val="353A7C"/>
          <w:sz w:val="15"/>
          <w:szCs w:val="15"/>
        </w:rPr>
        <w:t xml:space="preserve">Summary 2   </w:t>
      </w:r>
      <w:r>
        <w:rPr>
          <w:color w:val="6B7280"/>
          <w:sz w:val="15"/>
          <w:szCs w:val="15"/>
        </w:rPr>
        <w:t xml:space="preserve">Start with net income: $2,969,100. Add depreciation, impairments and deferred taxes, which used no cash: $4,924,000. Subtract equity-method income of $177,000, add dividends from investees of $70,000, and subtract the oven gain of $3,000 and unrealized gains of $4,000. Working-capital changes reduce cash by a net $248,000. The total, $7,531,100, equals net cash from operating activities.</w:t>
      </w:r>
    </w:p>
    <w:p>
      <w:pPr>
        <w:spacing w:before="20" w:after="20"/>
        <w:ind w:left="240" w:hanging="240"/>
      </w:pPr>
      <w:r>
        <w:rPr>
          <w:b/>
          <w:bCs/>
          <w:color w:val="353A7C"/>
          <w:sz w:val="15"/>
          <w:szCs w:val="15"/>
        </w:rPr>
        <w:t xml:space="preserve">Summary 3   </w:t>
      </w:r>
      <w:r>
        <w:rPr>
          <w:color w:val="6B7280"/>
          <w:sz w:val="15"/>
          <w:szCs w:val="15"/>
        </w:rPr>
        <w:t xml:space="preserve">Start from net income, never from operating income. Dividends payable and notes payable are financing items. Do not include their changes in working capital. Show the full proceeds of a sale in investing, and remove the gain from operating.</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direct method and required disclosures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direct method shows the main classes of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payments, such as cash from customers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but few companies use it. </w:t>
      </w:r>
      <w:r>
        <w:rPr>
          <w:sz w:val="19"/>
          <w:szCs w:val="19"/>
        </w:rPr>
        <w:t xml:space="preserve">A company that uses it must still show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net income to operating cash flow. </w:t>
      </w:r>
      <w:r>
        <w:rPr>
          <w:sz w:val="19"/>
          <w:szCs w:val="19"/>
        </w:rPr>
        <w:t xml:space="preserve">Cash from customers is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the change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customer deposits. </w:t>
      </w:r>
      <w:r>
        <w:rPr>
          <w:sz w:val="19"/>
          <w:szCs w:val="19"/>
        </w:rPr>
        <w:t xml:space="preserve">Both methods give the same total, $7,531,100; only the presentation differs.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reconciliation   ·   encourages   ·   methods   ·   receipts   ·   adjusted   ·   suppliers</w:t>
            </w:r>
          </w:p>
        </w:tc>
      </w:tr>
    </w:tbl>
    <w:p/>
    <w:p>
      <w:pPr>
        <w:spacing w:before="44" w:after="10"/>
      </w:pPr>
      <w:r>
        <w:rPr>
          <w:b/>
          <w:bCs/>
          <w:color w:val="353A7C"/>
          <w:sz w:val="18"/>
          <w:szCs w:val="18"/>
        </w:rPr>
        <w:t xml:space="preserve">Orontes Foods Inc. — operating activities by the direct method, 2025</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9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497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Cash paid to suppliers and employees   ·   Cash received from customers</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A company using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method must disclose interest paid and income taxes paid.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paid $390,000 of interest and $839,700 of income taxes. </w:t>
      </w:r>
      <w:r>
        <w:rPr>
          <w:sz w:val="19"/>
          <w:szCs w:val="19"/>
        </w:rPr>
        <w:t xml:space="preserve">Taxes paid are the current tax expense of $889,700 less the $50,000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taxes payable.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receipts   ·   indirect   ·   increase   ·   Orontes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الطريقة المباشرة   ·   operating activities   ·   indirect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direct method and required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receipts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 taxes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encourages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adjusted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indirect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Cash paid to suppliers and employees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 Cash from customers is sales adjusted for the change in receivables and customer deposits. Both methods give the same total, $7,531,100; only the presentation differs.</w:t>
      </w:r>
    </w:p>
    <w:p>
      <w:pPr>
        <w:spacing w:before="20" w:after="20"/>
        <w:ind w:left="240" w:hanging="240"/>
      </w:pPr>
      <w:r>
        <w:rPr>
          <w:b/>
          <w:bCs/>
          <w:color w:val="353A7C"/>
          <w:sz w:val="15"/>
          <w:szCs w:val="15"/>
        </w:rPr>
        <w:t xml:space="preserve">Summary 2   </w:t>
      </w:r>
      <w:r>
        <w:rPr>
          <w:color w:val="6B7280"/>
          <w:sz w:val="15"/>
          <w:szCs w:val="15"/>
        </w:rPr>
        <w:t xml:space="preserve">A company using the indirect method must disclose interest paid and income taxes paid. Orontes paid $390,000 of interest and $839,700 of income taxes. Taxes paid are the current tax expense of $889,700 less the $50,000 increase in taxes payable.</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Limitations and links between the four statements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Cash flows are harder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profits, but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raise operating cash near year-end by delaying payments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by selling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statement also shows only one year, and it is not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profit.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noncash deals, such as buying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with a mortgage, appear only in the notes. </w:t>
      </w:r>
      <w:r>
        <w:rPr>
          <w:sz w:val="19"/>
          <w:szCs w:val="19"/>
        </w:rPr>
        <w:t xml:space="preserve">Some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also arbitrary: interest paid is operating under U.S. GAAP but may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which makes companies harder to compare.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one year of cash flows can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stops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will show strong cash flow for a while, even if its future is weak. </w:t>
      </w:r>
      <w:r>
        <w:rPr>
          <w:sz w:val="19"/>
          <w:szCs w:val="19"/>
        </w:rPr>
        <w:t xml:space="preserve">Net income starts the statement of cash flows and increases retained earnings. </w:t>
      </w:r>
      <w:r>
        <w:rPr>
          <w:sz w:val="19"/>
          <w:szCs w:val="19"/>
        </w:rPr>
        <w:t xml:space="preserve">Changes in balance sheet accounts drive the working-capital adjustments. </w:t>
      </w:r>
      <w:r>
        <w:rPr>
          <w:sz w:val="19"/>
          <w:szCs w:val="19"/>
        </w:rPr>
        <w:t xml:space="preserve">Closing cash equals the cash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building   ·   manage   ·   mislead   ·   measure   ·   suppliers   ·   classifications   ·   impossible   ·   investing   ·   Finally   ·   jurisdiction   ·   receivables   ·   Important   ·   financing</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The links also help you find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that are not given. </w:t>
      </w:r>
      <w:r>
        <w:rPr>
          <w:sz w:val="19"/>
          <w:szCs w:val="19"/>
        </w:rPr>
        <w:t xml:space="preserve">Orontes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dividends of $450,000, but dividends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rose by $400,000, so dividends paid were only $50,000. </w:t>
      </w:r>
      <w:r>
        <w:rPr>
          <w:sz w:val="19"/>
          <w:szCs w:val="19"/>
        </w:rPr>
        <w:t xml:space="preserve">That is the amount in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section. </w:t>
      </w:r>
      <w:r>
        <w:rPr>
          <w:sz w:val="19"/>
          <w:szCs w:val="19"/>
        </w:rPr>
        <w:t xml:space="preserve">In August 2026 the FASB proposed new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about the parts of cash equivalents and about some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assets. </w:t>
      </w:r>
      <w:r>
        <w:rPr>
          <w:sz w:val="19"/>
          <w:szCs w:val="19"/>
        </w:rPr>
        <w:t xml:space="preserve">It is only a proposal;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cash equivalents does not change. </w:t>
      </w:r>
      <w:r>
        <w:rPr>
          <w:sz w:val="19"/>
          <w:szCs w:val="19"/>
        </w:rPr>
        <w:t xml:space="preserve">ASU 2023-09 already requires income taxes paid by jurisdiction; know this at awareness level.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declared   ·   definition   ·   amounts   ·   financing   ·   digital   ·   working-capital   ·   disclosures   ·   payable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Tableau de financement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555"/>
        <w:gridCol w:w="18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Tableau de financement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Barada Wholesale (USD 000)</w:t>
            </w:r>
          </w:p>
        </w:tc>
        <w:tc>
          <w:tcPr>
            <w:tcW w:type="pct" w:w="1851"/>
            <w:shd w:fill="353A7C" w:val="clear"/>
            <w:tcMar>
              <w:top w:type="dxa" w:w="50"/>
              <w:left w:type="dxa" w:w="110"/>
              <w:bottom w:type="dxa" w:w="50"/>
              <w:right w:type="dxa" w:w="110"/>
            </w:tcMar>
          </w:tcPr>
          <w:p>
            <w:pPr>
              <w:spacing w:before="30" w:after="30"/>
            </w:pPr>
            <w:r>
              <w:rPr>
                <w:b/>
                <w:bCs/>
                <w:color w:val="FFFFFF"/>
                <w:sz w:val="15"/>
                <w:szCs w:val="15"/>
              </w:rPr>
              <w:t xml:space="preserve">Amount, or balance at Dec 31, 2025</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Balance at Dec 31, 2026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851"/>
            <w:tcMar>
              <w:top w:type="dxa" w:w="50"/>
              <w:left w:type="dxa" w:w="110"/>
              <w:bottom w:type="dxa" w:w="50"/>
              <w:right w:type="dxa" w:w="110"/>
            </w:tcMar>
          </w:tcPr>
          <w:p>
            <w:pPr>
              <w:spacing w:before="28" w:after="28"/>
            </w:pPr>
            <w:r>
              <w:rPr>
                <w:sz w:val="15"/>
                <w:szCs w:val="15"/>
              </w:rPr>
              <w:t xml:space="preserve"> </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1851"/>
            <w:shd w:fill="FBFAF6" w:val="clear"/>
            <w:tcMar>
              <w:top w:type="dxa" w:w="50"/>
              <w:left w:type="dxa" w:w="110"/>
              <w:bottom w:type="dxa" w:w="50"/>
              <w:right w:type="dxa" w:w="110"/>
            </w:tcMar>
          </w:tcPr>
          <w:p>
            <w:pPr>
              <w:spacing w:before="28" w:after="28"/>
            </w:pPr>
            <w:r>
              <w:rPr>
                <w:sz w:val="15"/>
                <w:szCs w:val="15"/>
              </w:rPr>
              <w:t xml:space="preserve">165</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Depreciation expense</w:t>
            </w:r>
          </w:p>
        </w:tc>
        <w:tc>
          <w:tcPr>
            <w:tcW w:type="pct" w:w="1851"/>
            <w:tcMar>
              <w:top w:type="dxa" w:w="50"/>
              <w:left w:type="dxa" w:w="110"/>
              <w:bottom w:type="dxa" w:w="50"/>
              <w:right w:type="dxa" w:w="110"/>
            </w:tcMar>
          </w:tcPr>
          <w:p>
            <w:pPr>
              <w:spacing w:before="28" w:after="28"/>
            </w:pPr>
            <w:r>
              <w:rPr>
                <w:sz w:val="15"/>
                <w:szCs w:val="15"/>
              </w:rPr>
              <w:t xml:space="preserve">300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1851"/>
            <w:shd w:fill="FBFAF6" w:val="clear"/>
            <w:tcMar>
              <w:top w:type="dxa" w:w="50"/>
              <w:left w:type="dxa" w:w="110"/>
              <w:bottom w:type="dxa" w:w="50"/>
              <w:right w:type="dxa" w:w="110"/>
            </w:tcMar>
          </w:tcPr>
          <w:p>
            <w:pPr>
              <w:spacing w:before="28" w:after="28"/>
            </w:pPr>
            <w:r>
              <w:rPr>
                <w:sz w:val="15"/>
                <w:szCs w:val="15"/>
              </w:rPr>
              <w:t xml:space="preserve">20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Loss on sale of the catering-supply division</w:t>
            </w:r>
          </w:p>
        </w:tc>
        <w:tc>
          <w:tcPr>
            <w:tcW w:type="pct" w:w="1851"/>
            <w:tcMar>
              <w:top w:type="dxa" w:w="50"/>
              <w:left w:type="dxa" w:w="110"/>
              <w:bottom w:type="dxa" w:w="50"/>
              <w:right w:type="dxa" w:w="110"/>
            </w:tcMar>
          </w:tcPr>
          <w:p>
            <w:pPr>
              <w:spacing w:before="28" w:after="28"/>
            </w:pPr>
            <w:r>
              <w:rPr>
                <w:sz w:val="15"/>
                <w:szCs w:val="15"/>
              </w:rPr>
              <w:t xml:space="preserve">40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Balances</w:t>
            </w:r>
          </w:p>
        </w:tc>
        <w:tc>
          <w:tcPr>
            <w:tcW w:type="pct" w:w="1851"/>
            <w:shd w:fill="FBFAF6" w:val="clear"/>
            <w:tcMar>
              <w:top w:type="dxa" w:w="50"/>
              <w:left w:type="dxa" w:w="110"/>
              <w:bottom w:type="dxa" w:w="50"/>
              <w:right w:type="dxa" w:w="110"/>
            </w:tcMar>
          </w:tcPr>
          <w:p>
            <w:pPr>
              <w:spacing w:before="28" w:after="28"/>
            </w:pPr>
            <w:r>
              <w:rPr>
                <w:sz w:val="15"/>
                <w:szCs w:val="15"/>
              </w:rPr>
              <w:t xml:space="preserve"> </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851"/>
            <w:tcMar>
              <w:top w:type="dxa" w:w="50"/>
              <w:left w:type="dxa" w:w="110"/>
              <w:bottom w:type="dxa" w:w="50"/>
              <w:right w:type="dxa" w:w="110"/>
            </w:tcMar>
          </w:tcPr>
          <w:p>
            <w:pPr>
              <w:spacing w:before="28" w:after="28"/>
            </w:pPr>
            <w:r>
              <w:rPr>
                <w:sz w:val="15"/>
                <w:szCs w:val="15"/>
              </w:rPr>
              <w:t xml:space="preserve">280</w:t>
            </w:r>
          </w:p>
        </w:tc>
        <w:tc>
          <w:tcPr>
            <w:tcW w:type="pct" w:w="949"/>
            <w:tcMar>
              <w:top w:type="dxa" w:w="50"/>
              <w:left w:type="dxa" w:w="110"/>
              <w:bottom w:type="dxa" w:w="50"/>
              <w:right w:type="dxa" w:w="110"/>
            </w:tcMar>
          </w:tcPr>
          <w:p>
            <w:pPr>
              <w:spacing w:before="28" w:after="28"/>
            </w:pPr>
            <w:r>
              <w:rPr>
                <w:sz w:val="15"/>
                <w:szCs w:val="15"/>
              </w:rPr>
              <w:t xml:space="preserve">310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851"/>
            <w:shd w:fill="FBFAF6" w:val="clear"/>
            <w:tcMar>
              <w:top w:type="dxa" w:w="50"/>
              <w:left w:type="dxa" w:w="110"/>
              <w:bottom w:type="dxa" w:w="50"/>
              <w:right w:type="dxa" w:w="110"/>
            </w:tcMar>
          </w:tcPr>
          <w:p>
            <w:pPr>
              <w:spacing w:before="28" w:after="28"/>
            </w:pPr>
            <w:r>
              <w:rPr>
                <w:sz w:val="15"/>
                <w:szCs w:val="15"/>
              </w:rPr>
              <w:t xml:space="preserve">420</w:t>
            </w:r>
          </w:p>
        </w:tc>
        <w:tc>
          <w:tcPr>
            <w:tcW w:type="pct" w:w="949"/>
            <w:shd w:fill="FBFAF6" w:val="clear"/>
            <w:tcMar>
              <w:top w:type="dxa" w:w="50"/>
              <w:left w:type="dxa" w:w="110"/>
              <w:bottom w:type="dxa" w:w="50"/>
              <w:right w:type="dxa" w:w="110"/>
            </w:tcMar>
          </w:tcPr>
          <w:p>
            <w:pPr>
              <w:spacing w:before="28" w:after="28"/>
            </w:pPr>
            <w:r>
              <w:rPr>
                <w:sz w:val="15"/>
                <w:szCs w:val="15"/>
              </w:rPr>
              <w:t xml:space="preserve">390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851"/>
            <w:tcMar>
              <w:top w:type="dxa" w:w="50"/>
              <w:left w:type="dxa" w:w="110"/>
              <w:bottom w:type="dxa" w:w="50"/>
              <w:right w:type="dxa" w:w="110"/>
            </w:tcMar>
          </w:tcPr>
          <w:p>
            <w:pPr>
              <w:spacing w:before="28" w:after="28"/>
            </w:pPr>
            <w:r>
              <w:rPr>
                <w:sz w:val="15"/>
                <w:szCs w:val="15"/>
              </w:rPr>
              <w:t xml:space="preserve">24</w:t>
            </w:r>
          </w:p>
        </w:tc>
        <w:tc>
          <w:tcPr>
            <w:tcW w:type="pct" w:w="949"/>
            <w:tcMar>
              <w:top w:type="dxa" w:w="50"/>
              <w:left w:type="dxa" w:w="110"/>
              <w:bottom w:type="dxa" w:w="50"/>
              <w:right w:type="dxa" w:w="110"/>
            </w:tcMar>
          </w:tcPr>
          <w:p>
            <w:pPr>
              <w:spacing w:before="28" w:after="28"/>
            </w:pPr>
            <w:r>
              <w:rPr>
                <w:sz w:val="15"/>
                <w:szCs w:val="15"/>
              </w:rPr>
              <w:t xml:space="preserve">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851"/>
            <w:shd w:fill="FBFAF6" w:val="clear"/>
            <w:tcMar>
              <w:top w:type="dxa" w:w="50"/>
              <w:left w:type="dxa" w:w="110"/>
              <w:bottom w:type="dxa" w:w="50"/>
              <w:right w:type="dxa" w:w="110"/>
            </w:tcMar>
          </w:tcPr>
          <w:p>
            <w:pPr>
              <w:spacing w:before="28" w:after="28"/>
            </w:pPr>
            <w:r>
              <w:rPr>
                <w:sz w:val="15"/>
                <w:szCs w:val="15"/>
              </w:rPr>
              <w:t xml:space="preserve">380</w:t>
            </w:r>
          </w:p>
        </w:tc>
        <w:tc>
          <w:tcPr>
            <w:tcW w:type="pct" w:w="949"/>
            <w:shd w:fill="FBFAF6" w:val="clear"/>
            <w:tcMar>
              <w:top w:type="dxa" w:w="50"/>
              <w:left w:type="dxa" w:w="110"/>
              <w:bottom w:type="dxa" w:w="50"/>
              <w:right w:type="dxa" w:w="110"/>
            </w:tcMar>
          </w:tcPr>
          <w:p>
            <w:pPr>
              <w:spacing w:before="28" w:after="28"/>
            </w:pPr>
            <w:r>
              <w:rPr>
                <w:sz w:val="15"/>
                <w:szCs w:val="15"/>
              </w:rPr>
              <w:t xml:space="preserve">410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851"/>
            <w:tcMar>
              <w:top w:type="dxa" w:w="50"/>
              <w:left w:type="dxa" w:w="110"/>
              <w:bottom w:type="dxa" w:w="50"/>
              <w:right w:type="dxa" w:w="110"/>
            </w:tcMar>
          </w:tcPr>
          <w:p>
            <w:pPr>
              <w:spacing w:before="28" w:after="28"/>
            </w:pPr>
            <w:r>
              <w:rPr>
                <w:sz w:val="15"/>
                <w:szCs w:val="15"/>
              </w:rPr>
              <w:t xml:space="preserve">0</w:t>
            </w:r>
          </w:p>
        </w:tc>
        <w:tc>
          <w:tcPr>
            <w:tcW w:type="pct" w:w="949"/>
            <w:tcMar>
              <w:top w:type="dxa" w:w="50"/>
              <w:left w:type="dxa" w:w="110"/>
              <w:bottom w:type="dxa" w:w="50"/>
              <w:right w:type="dxa" w:w="110"/>
            </w:tcMar>
          </w:tcPr>
          <w:p>
            <w:pPr>
              <w:spacing w:before="28" w:after="28"/>
            </w:pPr>
            <w:r>
              <w:rPr>
                <w:sz w:val="15"/>
                <w:szCs w:val="15"/>
              </w:rPr>
              <w:t xml:space="preserve">30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1851"/>
            <w:shd w:fill="FBFAF6" w:val="clear"/>
            <w:tcMar>
              <w:top w:type="dxa" w:w="50"/>
              <w:left w:type="dxa" w:w="110"/>
              <w:bottom w:type="dxa" w:w="50"/>
              <w:right w:type="dxa" w:w="110"/>
            </w:tcMar>
          </w:tcPr>
          <w:p>
            <w:pPr>
              <w:spacing w:before="28" w:after="28"/>
            </w:pPr>
            <w:r>
              <w:rPr>
                <w:sz w:val="15"/>
                <w:szCs w:val="15"/>
              </w:rPr>
              <w:t xml:space="preserve">1,050</w:t>
            </w:r>
          </w:p>
        </w:tc>
        <w:tc>
          <w:tcPr>
            <w:tcW w:type="pct" w:w="949"/>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Other 2026 cash information</w:t>
            </w:r>
          </w:p>
        </w:tc>
        <w:tc>
          <w:tcPr>
            <w:tcW w:type="pct" w:w="1851"/>
            <w:tcMar>
              <w:top w:type="dxa" w:w="50"/>
              <w:left w:type="dxa" w:w="110"/>
              <w:bottom w:type="dxa" w:w="50"/>
              <w:right w:type="dxa" w:w="110"/>
            </w:tcMar>
          </w:tcPr>
          <w:p>
            <w:pPr>
              <w:spacing w:before="28" w:after="28"/>
            </w:pPr>
            <w:r>
              <w:rPr>
                <w:sz w:val="15"/>
                <w:szCs w:val="15"/>
              </w:rPr>
              <w:t xml:space="preserve"> </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Proceeds from sale of equipment</w:t>
            </w:r>
          </w:p>
        </w:tc>
        <w:tc>
          <w:tcPr>
            <w:tcW w:type="pct" w:w="1851"/>
            <w:shd w:fill="FBFAF6" w:val="clear"/>
            <w:tcMar>
              <w:top w:type="dxa" w:w="50"/>
              <w:left w:type="dxa" w:w="110"/>
              <w:bottom w:type="dxa" w:w="50"/>
              <w:right w:type="dxa" w:w="110"/>
            </w:tcMar>
          </w:tcPr>
          <w:p>
            <w:pPr>
              <w:spacing w:before="28" w:after="28"/>
            </w:pPr>
            <w:r>
              <w:rPr>
                <w:sz w:val="15"/>
                <w:szCs w:val="15"/>
              </w:rPr>
              <w:t xml:space="preserve">70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1851"/>
            <w:tcMar>
              <w:top w:type="dxa" w:w="50"/>
              <w:left w:type="dxa" w:w="110"/>
              <w:bottom w:type="dxa" w:w="50"/>
              <w:right w:type="dxa" w:w="110"/>
            </w:tcMar>
          </w:tcPr>
          <w:p>
            <w:pPr>
              <w:spacing w:before="28" w:after="28"/>
            </w:pPr>
            <w:r>
              <w:rPr>
                <w:sz w:val="15"/>
                <w:szCs w:val="15"/>
              </w:rPr>
              <w:t xml:space="preserve">150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1851"/>
            <w:shd w:fill="FBFAF6" w:val="clear"/>
            <w:tcMar>
              <w:top w:type="dxa" w:w="50"/>
              <w:left w:type="dxa" w:w="110"/>
              <w:bottom w:type="dxa" w:w="50"/>
              <w:right w:type="dxa" w:w="110"/>
            </w:tcMar>
          </w:tcPr>
          <w:p>
            <w:pPr>
              <w:spacing w:before="28" w:after="28"/>
            </w:pPr>
            <w:r>
              <w:rPr>
                <w:sz w:val="15"/>
                <w:szCs w:val="15"/>
              </w:rPr>
              <w:t xml:space="preserve">200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Note installment repaid (Chapter 2, M1)</w:t>
            </w:r>
          </w:p>
        </w:tc>
        <w:tc>
          <w:tcPr>
            <w:tcW w:type="pct" w:w="1851"/>
            <w:tcMar>
              <w:top w:type="dxa" w:w="50"/>
              <w:left w:type="dxa" w:w="110"/>
              <w:bottom w:type="dxa" w:w="50"/>
              <w:right w:type="dxa" w:w="110"/>
            </w:tcMar>
          </w:tcPr>
          <w:p>
            <w:pPr>
              <w:spacing w:before="28" w:after="28"/>
            </w:pPr>
            <w:r>
              <w:rPr>
                <w:sz w:val="15"/>
                <w:szCs w:val="15"/>
              </w:rPr>
              <w:t xml:space="preserve">300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 paid (declared in 2025)</w:t>
            </w:r>
          </w:p>
        </w:tc>
        <w:tc>
          <w:tcPr>
            <w:tcW w:type="pct" w:w="1851"/>
            <w:shd w:fill="FBFAF6" w:val="clear"/>
            <w:tcMar>
              <w:top w:type="dxa" w:w="50"/>
              <w:left w:type="dxa" w:w="110"/>
              <w:bottom w:type="dxa" w:w="50"/>
              <w:right w:type="dxa" w:w="110"/>
            </w:tcMar>
          </w:tcPr>
          <w:p>
            <w:pPr>
              <w:spacing w:before="28" w:after="28"/>
            </w:pPr>
            <w:r>
              <w:rPr>
                <w:sz w:val="15"/>
                <w:szCs w:val="15"/>
              </w:rPr>
              <w:t xml:space="preserve">50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Treasury stock bought (Chapter 4, E1)</w:t>
            </w:r>
          </w:p>
        </w:tc>
        <w:tc>
          <w:tcPr>
            <w:tcW w:type="pct" w:w="1851"/>
            <w:tcMar>
              <w:top w:type="dxa" w:w="50"/>
              <w:left w:type="dxa" w:w="110"/>
              <w:bottom w:type="dxa" w:w="50"/>
              <w:right w:type="dxa" w:w="110"/>
            </w:tcMar>
          </w:tcPr>
          <w:p>
            <w:pPr>
              <w:spacing w:before="28" w:after="28"/>
            </w:pPr>
            <w:r>
              <w:rPr>
                <w:sz w:val="15"/>
                <w:szCs w:val="15"/>
              </w:rPr>
              <w:t xml:space="preserve">480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Treasury stock reissued (E2 and E3)</w:t>
            </w:r>
          </w:p>
        </w:tc>
        <w:tc>
          <w:tcPr>
            <w:tcW w:type="pct" w:w="1851"/>
            <w:shd w:fill="FBFAF6" w:val="clear"/>
            <w:tcMar>
              <w:top w:type="dxa" w:w="50"/>
              <w:left w:type="dxa" w:w="110"/>
              <w:bottom w:type="dxa" w:w="50"/>
              <w:right w:type="dxa" w:w="110"/>
            </w:tcMar>
          </w:tcPr>
          <w:p>
            <w:pPr>
              <w:spacing w:before="28" w:after="28"/>
            </w:pPr>
            <w:r>
              <w:rPr>
                <w:sz w:val="15"/>
                <w:szCs w:val="15"/>
              </w:rPr>
              <w:t xml:space="preserve">200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 dividend declared December 15, 2026, payable January 2027</w:t>
            </w:r>
          </w:p>
        </w:tc>
        <w:tc>
          <w:tcPr>
            <w:tcW w:type="pct" w:w="1851"/>
            <w:tcMar>
              <w:top w:type="dxa" w:w="50"/>
              <w:left w:type="dxa" w:w="110"/>
              <w:bottom w:type="dxa" w:w="50"/>
              <w:right w:type="dxa" w:w="110"/>
            </w:tcMar>
          </w:tcPr>
          <w:p>
            <w:pPr>
              <w:spacing w:before="28" w:after="28"/>
            </w:pPr>
            <w:r>
              <w:rPr>
                <w:sz w:val="15"/>
                <w:szCs w:val="15"/>
              </w:rPr>
              <w:t xml:space="preserve">121</w:t>
            </w:r>
          </w:p>
        </w:tc>
        <w:tc>
          <w:tcPr>
            <w:tcW w:type="pct" w:w="94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payable   ·   Investing   ·   Prepaid rent   ·   Income statement items, 2026   ·   Inventory   ·   Accounts payable   ·   Accounts receivable, net   ·   Proceeds from sale of the division   ·   Purchases of equipment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Interest paid on a 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Selling Jordan Glass shares</w:t>
            </w:r>
          </w:p>
        </w:tc>
        <w:tc>
          <w:tcPr>
            <w:tcW w:type="pct" w:w="2600"/>
            <w:shd w:fill="FBFAF6" w:val="clear"/>
            <w:tcMar>
              <w:top w:type="dxa" w:w="50"/>
              <w:left w:type="dxa" w:w="110"/>
              <w:bottom w:type="dxa" w:w="50"/>
              <w:right w:type="dxa" w:w="110"/>
            </w:tcMar>
          </w:tcPr>
          <w:p>
            <w:pPr>
              <w:spacing w:before="28" w:after="28"/>
            </w:pPr>
            <w:r>
              <w:rPr>
                <w:sz w:val="15"/>
                <w:szCs w:val="15"/>
              </w:rPr>
              <w:t xml:space="preserve">Investing: another company's </w:t>
            </w:r>
            <w:r>
              <w:rPr>
                <w:b/>
                <w:bCs/>
                <w:color w:val="8186EF"/>
                <w:sz w:val="14"/>
                <w:szCs w:val="14"/>
              </w:rPr>
              <w:t xml:space="preserve"> (30) </w:t>
            </w:r>
            <w:r>
              <w:rPr>
                <w:u w:val="single"/>
                <w:sz w:val="15"/>
                <w:szCs w:val="15"/>
              </w:rPr>
              <w:t xml:space="preserve">              </w:t>
            </w:r>
            <w:r>
              <w:rPr>
                <w:sz w:val="15"/>
                <w:szCs w:val="15"/>
              </w:rPr>
              <w:t xml:space="preserve"> </w:t>
            </w:r>
            <w:r>
              <w:rPr>
                <w:sz w:val="15"/>
                <w:szCs w:val="15"/>
              </w:rPr>
              <w:t xml:space="preserve">.</w:t>
            </w:r>
          </w:p>
        </w:tc>
      </w:tr>
      <w:tr>
        <w:tc>
          <w:tcPr>
            <w:tcW w:type="pct" w:w="2400"/>
            <w:tcMar>
              <w:top w:type="dxa" w:w="50"/>
              <w:left w:type="dxa" w:w="110"/>
              <w:bottom w:type="dxa" w:w="50"/>
              <w:right w:type="dxa" w:w="110"/>
            </w:tcMar>
          </w:tcPr>
          <w:p>
            <w:pPr>
              <w:spacing w:before="28" w:after="28"/>
            </w:pPr>
            <w:r>
              <w:rPr>
                <w:sz w:val="15"/>
                <w:szCs w:val="15"/>
              </w:rPr>
              <w:t xml:space="preserve">Land for a long-term note</w:t>
            </w:r>
          </w:p>
        </w:tc>
        <w:tc>
          <w:tcPr>
            <w:tcW w:type="pct" w:w="2600"/>
            <w:tcMar>
              <w:top w:type="dxa" w:w="50"/>
              <w:left w:type="dxa" w:w="110"/>
              <w:bottom w:type="dxa" w:w="50"/>
              <w:right w:type="dxa" w:w="110"/>
            </w:tcMar>
          </w:tcPr>
          <w:p>
            <w:pPr>
              <w:spacing w:before="28" w:after="28"/>
            </w:pPr>
            <w:r>
              <w:rPr>
                <w:sz w:val="15"/>
                <w:szCs w:val="15"/>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Buying back own shares</w:t>
            </w:r>
          </w:p>
        </w:tc>
        <w:tc>
          <w:tcPr>
            <w:tcW w:type="pct" w:w="2600"/>
            <w:shd w:fill="FBFAF6" w:val="clear"/>
            <w:tcMar>
              <w:top w:type="dxa" w:w="50"/>
              <w:left w:type="dxa" w:w="110"/>
              <w:bottom w:type="dxa" w:w="50"/>
              <w:right w:type="dxa" w:w="110"/>
            </w:tcMar>
          </w:tcPr>
          <w:p>
            <w:pPr>
              <w:spacing w:before="28" w:after="28"/>
            </w:pPr>
            <w:r>
              <w:rPr>
                <w:sz w:val="15"/>
                <w:szCs w:val="15"/>
              </w:rPr>
              <w:t xml:space="preserve">Financing: a transaction with owners.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Noncash investing and financing activity   ·   securities   ·   Operating (U.S. GAAP gives no choice).</w:t>
            </w:r>
          </w:p>
        </w:tc>
      </w:tr>
    </w:tbl>
    <w:p/>
    <w:p>
      <w:pPr>
        <w:pageBreakBefore w:val="true"/>
        <w:spacing w:after="0"/>
      </w:pPr>
      <w:r>
        <w:rPr>
          <w:sz w:val="2"/>
        </w:rPr>
        <w:t xml:space="preserve"> </w:t>
      </w:r>
    </w:p>
    <w:p>
      <w:pPr>
        <w:spacing w:before="44" w:after="10"/>
      </w:pPr>
      <w:r>
        <w:rPr>
          <w:b/>
          <w:bCs/>
          <w:color w:val="353A7C"/>
          <w:sz w:val="18"/>
          <w:szCs w:val="18"/>
        </w:rPr>
        <w:t xml:space="preserve">Cash flow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 paid   ·   operating activities   ·   Interest paid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statement of cash flows   ·   operating activities</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Limitations and links between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digital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impossible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Income statement items, 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classifications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Proceeds from sale of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mislead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Purchases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Operating (U.S. GAAP gives no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payable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Dividend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disclosures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operating activities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flows are harder to manage than profits, but not impossible. A company can raise operating cash near year-end by delaying payments to suppliers or by selling receivables. The statement also shows only one year, and it is not a measure of profit. Important noncash deals, such as buying a building with a mortgage, appear only in the notes. Some classifications are also arbitrary: interest paid is operating under U.S. GAAP but may be financing under IFRS, which makes companies harder to compare. Finally, one year of cash flows can mislead. A company that stops investing will show strong cash flow for a while, even if its future is weak. Net income starts the statement of cash flows and increases retained earnings. Changes in balance sheet accounts drive the working-capital adjustments. Closing cash equals the cash on the balance sheet.</w:t>
      </w:r>
    </w:p>
    <w:p>
      <w:pPr>
        <w:spacing w:before="20" w:after="20"/>
        <w:ind w:left="240" w:hanging="240"/>
      </w:pPr>
      <w:r>
        <w:rPr>
          <w:b/>
          <w:bCs/>
          <w:color w:val="353A7C"/>
          <w:sz w:val="15"/>
          <w:szCs w:val="15"/>
        </w:rPr>
        <w:t xml:space="preserve">Summary 2   </w:t>
      </w:r>
      <w:r>
        <w:rPr>
          <w:color w:val="6B7280"/>
          <w:sz w:val="15"/>
          <w:szCs w:val="15"/>
        </w:rPr>
        <w:t xml:space="preserve">The links also help you find amounts that are not given. Orontes declared dividends of $450,000, but dividends payable rose by $400,000, so dividends paid were only $50,000. That is the amount in the financing section. In August 2026 the FASB proposed new disclosures about the parts of cash equivalents and about some digital assets. It is only a proposal; the definition of cash equivalents does not change. ASU 2023-09 already requires income taxes paid by jurisdiction; know this at awareness level.</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Recognizing and measuring receivables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allowance for credit losses   ·   Recognizing and measuring receivables   ·   Transferring receivables: sale or secured borr</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company records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receivable when its right to be paid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the passage of time is needed before payment is due. </w:t>
      </w:r>
      <w:r>
        <w:rPr>
          <w:sz w:val="19"/>
          <w:szCs w:val="19"/>
        </w:rPr>
        <w:t xml:space="preserve">This usually happens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goods or services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w:t>
      </w:r>
      <w:r>
        <w:rPr>
          <w:sz w:val="19"/>
          <w:szCs w:val="19"/>
        </w:rPr>
        <w:t xml:space="preserve">If the company still has to do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else before it can bill, for example finish a second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has a contract asset, not a receivable. </w:t>
      </w:r>
      <w:r>
        <w:rPr>
          <w:sz w:val="19"/>
          <w:szCs w:val="19"/>
        </w:rPr>
        <w:t xml:space="preserve">The receivable is measured 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price: the amount the 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receive. </w:t>
      </w:r>
      <w:r>
        <w:rPr>
          <w:sz w:val="19"/>
          <w:szCs w:val="19"/>
        </w:rPr>
        <w:t xml:space="preserve">Expected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rebates and cash discount amounts are variable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so they reduce revenue and the receivable. </w:t>
      </w:r>
      <w:r>
        <w:rPr>
          <w:sz w:val="19"/>
          <w:szCs w:val="19"/>
        </w:rPr>
        <w:t xml:space="preserve">Some older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still use the gross and net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Under the gross method, the company records the full invoice and records a sales discount only when a customer pays early. </w:t>
      </w:r>
      <w:r>
        <w:rPr>
          <w:sz w:val="19"/>
          <w:szCs w:val="19"/>
        </w:rPr>
        <w:t xml:space="preserve">Under the net method, it records the sale net of the discount, and records sales discounts forfeited when a customer pays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transfers   ·   unconditional   ·   transaction   ·   expects   ·   delivers   ·   something   ·   returns   ·   methods   ·   delivery   ·   questions   ·   account   ·   write-off   ·   consideration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Trade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are due within one year are not discounted to present value. </w:t>
      </w:r>
      <w:r>
        <w:rPr>
          <w:sz w:val="19"/>
          <w:szCs w:val="19"/>
        </w:rPr>
        <w:t xml:space="preserve">Notes receivable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note is carried at its face amount plus accrued interest. </w:t>
      </w:r>
      <w:r>
        <w:rPr>
          <w:sz w:val="19"/>
          <w:szCs w:val="19"/>
        </w:rPr>
        <w:t xml:space="preserve">A note with no interest, or with a rate below the market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at its present value. </w:t>
      </w:r>
      <w:r>
        <w:rPr>
          <w:sz w:val="19"/>
          <w:szCs w:val="19"/>
        </w:rPr>
        <w:t xml:space="preserve">The discount is then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to interest revenue over the life of the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recorded   ·   amortized   ·   invoice   ·   receivables   ·   interest-bearing   ·   different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Receivable or contract asset?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Receivable: only time must pass before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asset: the company must still perform. </w:t>
      </w:r>
      <w:r>
        <w:rPr>
          <w:sz w:val="19"/>
          <w:szCs w:val="19"/>
        </w:rPr>
        <w:t xml:space="preserve">Expected cash discounts and returns reduce the receivable at the start, not only when they happen.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transaction   ·   payment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notes receivable   ·   secured borrowing   ·   contract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notes receivable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amortized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Recognizing and measuring receivables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Recognizing and measuring 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Transferring receivables: sale or secured borr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unconditional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interest-bearing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consideration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records an account receivable when its right to be paid is unconditional: only the passage of time is needed before payment is due. This usually happens when it delivers the goods or services and transfers control. If the company still has to do something else before it can bill, for example finish a second delivery, it has a contract asset, not a receivable. The receivable is measured at the transaction price: the amount the company expects to receive. Expected returns, rebates and cash discount amounts are variable consideration, so they reduce revenue and the receivable.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before="20" w:after="20"/>
        <w:ind w:left="240" w:hanging="240"/>
      </w:pPr>
      <w:r>
        <w:rPr>
          <w:b/>
          <w:bCs/>
          <w:color w:val="353A7C"/>
          <w:sz w:val="15"/>
          <w:szCs w:val="15"/>
        </w:rPr>
        <w:t xml:space="preserve">Summary 2   </w:t>
      </w:r>
      <w:r>
        <w:rPr>
          <w:color w:val="6B7280"/>
          <w:sz w:val="15"/>
          <w:szCs w:val="15"/>
        </w:rPr>
        <w:t xml:space="preserve">Trade receivables that are due within one year are not discounted to present value. Notes receivable are different. An interest-bearing note is carried at its face amount plus accrued interest. A note with no interest, or with a rate below the market rate, is recorded at its present value. The discount is then amortized to interest revenue over the life of the note.</w:t>
      </w:r>
    </w:p>
    <w:p>
      <w:pPr>
        <w:spacing w:before="20" w:after="20"/>
        <w:ind w:left="240" w:hanging="240"/>
      </w:pPr>
      <w:r>
        <w:rPr>
          <w:b/>
          <w:bCs/>
          <w:color w:val="353A7C"/>
          <w:sz w:val="15"/>
          <w:szCs w:val="15"/>
        </w:rPr>
        <w:t xml:space="preserve">Summary 3   </w:t>
      </w:r>
      <w:r>
        <w:rPr>
          <w:color w:val="6B7280"/>
          <w:sz w:val="15"/>
          <w:szCs w:val="15"/>
        </w:rPr>
        <w:t xml:space="preserve">Receivable: only time must pass before payment. Contract asset: the company must still perform. Expected cash discounts and returns reduce the receivable at the start, not only when they happen.</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allowance for credit losses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Under current expected credit losses (CECL),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receivables net of an allowance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 the credit losses it expects over their life.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expected losses from the first day. </w:t>
      </w:r>
      <w:r>
        <w:rPr>
          <w:sz w:val="19"/>
          <w:szCs w:val="19"/>
        </w:rPr>
        <w:t xml:space="preserve">It does not wait until a loss becomes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estimate uses past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current conditions and reasonable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forecasts. </w:t>
      </w:r>
      <w:r>
        <w:rPr>
          <w:sz w:val="19"/>
          <w:szCs w:val="19"/>
        </w:rPr>
        <w:t xml:space="preserve">Trade receivables are measured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and the allowance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 </w:t>
      </w:r>
      <w:r>
        <w:rPr>
          <w:sz w:val="19"/>
          <w:szCs w:val="19"/>
        </w:rPr>
        <w:t xml:space="preserve">The balance sheet shows receivables minus the allowance: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expects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is the aging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company groups its receivables by how long they are past due and applies an expected loss rate to each group. </w:t>
      </w:r>
      <w:r>
        <w:rPr>
          <w:sz w:val="19"/>
          <w:szCs w:val="19"/>
        </w:rPr>
        <w:t xml:space="preserve">The rates start from history and are adjusted for current conditions and forecasts. </w:t>
      </w:r>
      <w:r>
        <w:rPr>
          <w:sz w:val="19"/>
          <w:szCs w:val="19"/>
        </w:rPr>
        <w:t xml:space="preserve">The total is the balance the allowance must have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experience   ·   supportable   ·   covers   ·   records   ·   collect   ·   history   ·   common   ·   schedule   ·   presents   ·   amortized   ·   amount   ·   probable   ·   contra-asset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sales office at December 31, 2025</w:t>
            </w:r>
          </w:p>
        </w:tc>
      </w:tr>
    </w:tbl>
    <w:p/>
    <w:p>
      <w:pPr>
        <w:spacing w:before="20" w:after="20" w:line="360" w:lineRule="auto"/>
        <w:ind w:left="200"/>
      </w:pPr>
      <w:r>
        <w:rPr>
          <w:sz w:val="19"/>
          <w:szCs w:val="19"/>
        </w:rPr>
        <w:t xml:space="preserve">The loss rates already include a forecast of slower payments in some Gulf markets.</w:t>
      </w:r>
    </w:p>
    <w:p>
      <w:pPr>
        <w:spacing w:before="44" w:after="10"/>
      </w:pPr>
      <w:r>
        <w:rPr>
          <w:b/>
          <w:bCs/>
          <w:color w:val="353A7C"/>
          <w:sz w:val="18"/>
          <w:szCs w:val="18"/>
        </w:rPr>
        <w:t xml:space="preserve">Aging schedule, Orontes Amman sales office, December 31, 2025 (whole USD)</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8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248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for credit losses   ·   61–90 days past due   ·   Over 90 days past due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15–26</w:t>
      </w:r>
    </w:p>
    <w:p>
      <w:pPr>
        <w:spacing w:before="20" w:after="20" w:line="360" w:lineRule="auto"/>
        <w:ind w:left="200"/>
      </w:pPr>
      <w:r>
        <w:rPr>
          <w:sz w:val="19"/>
          <w:szCs w:val="19"/>
        </w:rPr>
        <w:t xml:space="preserve">The allowance must end the year at $34,000. </w:t>
      </w:r>
      <w:r>
        <w:rPr>
          <w:sz w:val="19"/>
          <w:szCs w:val="19"/>
        </w:rPr>
        <w:t xml:space="preserve">During the year, the allowance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at $30,000, Orontes wrote off $26,000 of bad receivables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$2,000 that it had written off earlier.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entry is: debit Credit loss expense $28,000, credit Allowance for credit losses $28,000. </w:t>
      </w:r>
      <w:r>
        <w:rPr>
          <w:sz w:val="19"/>
          <w:szCs w:val="19"/>
        </w:rPr>
        <w:t xml:space="preserve">Net receivables on the balance sheet are $660,000 − $34,000 = $626,000. </w:t>
      </w:r>
      <w:r>
        <w:rPr>
          <w:sz w:val="19"/>
          <w:szCs w:val="19"/>
        </w:rPr>
        <w:t xml:space="preserve">When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balance is clearly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records a write-off: debit the allowance and credit accounts receivable. </w:t>
      </w:r>
      <w:r>
        <w:rPr>
          <w:sz w:val="19"/>
          <w:szCs w:val="19"/>
        </w:rPr>
        <w:t xml:space="preserve">The write-off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neither net income nor net receivables, because the expense was already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when the allowance was built. </w:t>
      </w:r>
      <w:r>
        <w:rPr>
          <w:sz w:val="19"/>
          <w:szCs w:val="19"/>
        </w:rPr>
        <w:t xml:space="preserve">If the customer later pays, the company records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first reinstates the receivable (debit accounts receivable, credit allowance) and then records the cash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method is used for U.S. tax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It is not GAAP when bad debts are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because it records losses late and shows receivables at a gross amount. </w:t>
      </w:r>
      <w:r>
        <w:rPr>
          <w:sz w:val="19"/>
          <w:szCs w:val="19"/>
        </w:rPr>
        <w:t xml:space="preserve">Older questions sometimes estimate the expense as a percentage of credit sales. </w:t>
      </w:r>
      <w:r>
        <w:rPr>
          <w:sz w:val="19"/>
          <w:szCs w:val="19"/>
        </w:rPr>
        <w:t xml:space="preserve">This income-statement approach does not measure the expected losses on the ending receivables, so under CECL the aging (balance-sheet) approach is the better choice.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started   ·   uncollectible   ·   recovery   ·   changes   ·   returns   ·   recovered   ·   recorded   ·   collection   ·   direct   ·   journal   ·   write-off   ·   customer's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 Wholesale's allowance</w:t>
            </w:r>
          </w:p>
        </w:tc>
      </w:tr>
    </w:tbl>
    <w:p/>
    <w:p>
      <w:pPr>
        <w:spacing w:before="44" w:after="14"/>
      </w:pPr>
      <w:r>
        <w:rPr>
          <w:b/>
          <w:bCs/>
          <w:color w:val="353A7C"/>
          <w:sz w:val="18"/>
          <w:szCs w:val="18"/>
        </w:rPr>
        <w:t xml:space="preserve">Summary 3</w:t>
      </w:r>
      <w:r>
        <w:rPr>
          <w:color w:val="6B7280"/>
          <w:sz w:val="16"/>
          <w:szCs w:val="16"/>
        </w:rPr>
        <w:t xml:space="preserve">      gaps 27–28</w:t>
      </w:r>
    </w:p>
    <w:p>
      <w:pPr>
        <w:spacing w:before="20" w:after="20" w:line="360" w:lineRule="auto"/>
        <w:ind w:left="200"/>
      </w:pPr>
      <w:r>
        <w:rPr>
          <w:sz w:val="19"/>
          <w:szCs w:val="19"/>
        </w:rPr>
        <w:t xml:space="preserve">The first row is done.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other rows and the total, then check your total against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trial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Complete   ·   Barada's   ·   unadjusted</w:t>
            </w:r>
          </w:p>
        </w:tc>
      </w:tr>
    </w:tbl>
    <w:p/>
    <w:p>
      <w:pPr>
        <w:spacing w:before="44" w:after="10"/>
      </w:pPr>
      <w:r>
        <w:rPr>
          <w:b/>
          <w:bCs/>
          <w:color w:val="353A7C"/>
          <w:sz w:val="18"/>
          <w:szCs w:val="18"/>
        </w:rPr>
        <w:t xml:space="preserve">Barada Wholesale aging, December 31, 2025 (whole USD): complete the blanks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factoring   ·   Current</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30–40</w:t>
      </w:r>
    </w:p>
    <w:p>
      <w:pPr>
        <w:spacing w:before="20" w:after="20" w:line="360" w:lineRule="auto"/>
        <w:ind w:left="200"/>
      </w:pPr>
      <w:r>
        <w:rPr>
          <w:sz w:val="19"/>
          <w:szCs w:val="19"/>
        </w:rPr>
        <w:t xml:space="preserve">In 2025 the FASB added a practical expedient: when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losses on current receivables, any company may assume that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at the balance sheet date will not change.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companies may also use cash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after year-end. </w:t>
      </w:r>
      <w:r>
        <w:rPr>
          <w:sz w:val="19"/>
          <w:szCs w:val="19"/>
        </w:rPr>
        <w:t xml:space="preserve">It applies to annual periods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after December 15, 2025, so under the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rule it is not yet tested on the CMA exam. </w:t>
      </w:r>
      <w:r>
        <w:rPr>
          <w:sz w:val="19"/>
          <w:szCs w:val="19"/>
        </w:rPr>
        <w:t xml:space="preserve">IFRS 9 also uses expected losses. </w:t>
      </w:r>
      <w:r>
        <w:rPr>
          <w:sz w:val="19"/>
          <w:szCs w:val="19"/>
        </w:rPr>
        <w:t xml:space="preserve">For trade receivables it uses 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approach that always records lifetime losses, often with a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matrix, which is very close to CECL. </w:t>
      </w:r>
      <w:r>
        <w:rPr>
          <w:sz w:val="19"/>
          <w:szCs w:val="19"/>
        </w:rPr>
        <w:t xml:space="preserve">For other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assets, IFRS 9 starts with 12-month expected losses and moves to lifetime losses only after credit risk increases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w:t>
      </w:r>
      <w:r>
        <w:rPr>
          <w:sz w:val="19"/>
          <w:szCs w:val="19"/>
        </w:rPr>
        <w:t xml:space="preserve">CECL records lifetime losses from day one for all assets at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significantly   ·   beginning   ·   Private   ·   one-year   ·   provision   ·   conditions   ·   account   ·   simplified   ·   financial   ·   forecasting   ·   amortized   ·   collected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Allowance or provision?</w:t>
            </w:r>
          </w:p>
        </w:tc>
      </w:tr>
    </w:tbl>
    <w:p/>
    <w:p>
      <w:pPr>
        <w:spacing w:before="44" w:after="14"/>
      </w:pPr>
      <w:r>
        <w:rPr>
          <w:b/>
          <w:bCs/>
          <w:color w:val="353A7C"/>
          <w:sz w:val="18"/>
          <w:szCs w:val="18"/>
        </w:rPr>
        <w:t xml:space="preserve">Summary 5</w:t>
      </w:r>
      <w:r>
        <w:rPr>
          <w:color w:val="6B7280"/>
          <w:sz w:val="16"/>
          <w:szCs w:val="16"/>
        </w:rPr>
        <w:t xml:space="preserve">      gaps 41–43</w:t>
      </w:r>
    </w:p>
    <w:p>
      <w:pPr>
        <w:spacing w:before="20" w:after="20" w:line="360" w:lineRule="auto"/>
        <w:ind w:left="200"/>
      </w:pPr>
      <w:r>
        <w:rPr>
          <w:sz w:val="19"/>
          <w:szCs w:val="19"/>
        </w:rPr>
        <w:t xml:space="preserve">An allowance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an asset. </w:t>
      </w:r>
      <w:r>
        <w:rPr>
          <w:sz w:val="19"/>
          <w:szCs w:val="19"/>
        </w:rPr>
        <w:t xml:space="preserve">A provision under IAS 37 is a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In a U.S. GAAP answer, always write allowance for credit losses, never provision for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debts or reserve for bad debts.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increases   ·   liability   ·   doubtful   ·   reduces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 first, then the expense</w:t>
            </w:r>
          </w:p>
        </w:tc>
      </w:tr>
    </w:tbl>
    <w:p/>
    <w:p>
      <w:pPr>
        <w:spacing w:before="44" w:after="14"/>
      </w:pPr>
      <w:r>
        <w:rPr>
          <w:b/>
          <w:bCs/>
          <w:color w:val="353A7C"/>
          <w:sz w:val="18"/>
          <w:szCs w:val="18"/>
        </w:rPr>
        <w:t xml:space="preserve">Summary 6</w:t>
      </w:r>
      <w:r>
        <w:rPr>
          <w:color w:val="6B7280"/>
          <w:sz w:val="16"/>
          <w:szCs w:val="16"/>
        </w:rPr>
        <w:t xml:space="preserve">      gaps 44–46</w:t>
      </w:r>
    </w:p>
    <w:p>
      <w:pPr>
        <w:spacing w:before="20" w:after="20" w:line="360" w:lineRule="auto"/>
        <w:ind w:left="200"/>
      </w:pPr>
      <w:r>
        <w:rPr>
          <w:sz w:val="19"/>
          <w:szCs w:val="19"/>
        </w:rPr>
        <w:t xml:space="preserve">The aging gives the required ENDING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not the expense. </w:t>
      </w:r>
      <w:r>
        <w:rPr>
          <w:sz w:val="19"/>
          <w:szCs w:val="19"/>
        </w:rPr>
        <w:t xml:space="preserve">Expense = required balance − unadjusted </w:t>
      </w:r>
      <w:r>
        <w:rPr>
          <w:b/>
          <w:bCs/>
          <w:color w:val="8186EF"/>
          <w:sz w:val="15"/>
          <w:szCs w:val="15"/>
        </w:rPr>
        <w:t xml:space="preserve"> (45) </w:t>
      </w:r>
      <w:r>
        <w:rPr>
          <w:u w:val="single"/>
          <w:sz w:val="19"/>
          <w:szCs w:val="19"/>
        </w:rPr>
        <w:t xml:space="preserve">           </w:t>
      </w:r>
      <w:r>
        <w:rPr>
          <w:sz w:val="19"/>
          <w:szCs w:val="19"/>
        </w:rPr>
        <w:t xml:space="preserve"> </w:t>
      </w:r>
      <w:r>
        <w:rPr>
          <w:sz w:val="19"/>
          <w:szCs w:val="19"/>
        </w:rPr>
        <w:t xml:space="preserve"> balance, or required balance + unadjusted debit balance. </w:t>
      </w:r>
      <w:r>
        <w:rPr>
          <w:sz w:val="19"/>
          <w:szCs w:val="19"/>
        </w:rPr>
        <w:t xml:space="preserve">A </w:t>
      </w:r>
      <w:r>
        <w:rPr>
          <w:b/>
          <w:bCs/>
          <w:color w:val="8186EF"/>
          <w:sz w:val="15"/>
          <w:szCs w:val="15"/>
        </w:rPr>
        <w:t xml:space="preserve"> (46) </w:t>
      </w:r>
      <w:r>
        <w:rPr>
          <w:u w:val="single"/>
          <w:sz w:val="19"/>
          <w:szCs w:val="19"/>
        </w:rPr>
        <w:t xml:space="preserve">           </w:t>
      </w:r>
      <w:r>
        <w:rPr>
          <w:sz w:val="19"/>
          <w:szCs w:val="19"/>
        </w:rPr>
        <w:t xml:space="preserve"> </w:t>
      </w:r>
      <w:r>
        <w:rPr>
          <w:sz w:val="19"/>
          <w:szCs w:val="19"/>
        </w:rPr>
        <w:t xml:space="preserve"> does not change net income or net receivables.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   credit   ·   write-off   ·   approach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946"/>
        <w:gridCol w:w="3150"/>
        <w:gridCol w:w="350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Allowance method (CECL) versus direct write-off method, Amman sales office 2025 (whole USD)</w:t>
            </w:r>
          </w:p>
        </w:tc>
      </w:tr>
      <w:tr>
        <w:tc>
          <w:tcPr>
            <w:tcW w:type="pct" w:w="1534"/>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40"/>
            <w:shd w:fill="353A7C" w:val="clear"/>
            <w:tcMar>
              <w:top w:type="dxa" w:w="50"/>
              <w:left w:type="dxa" w:w="110"/>
              <w:bottom w:type="dxa" w:w="50"/>
              <w:right w:type="dxa" w:w="110"/>
            </w:tcMar>
          </w:tcPr>
          <w:p>
            <w:pPr>
              <w:spacing w:before="30" w:after="30"/>
            </w:pPr>
            <w:r>
              <w:rPr>
                <w:b/>
                <w:bCs/>
                <w:color w:val="FFFFFF"/>
                <w:sz w:val="15"/>
                <w:szCs w:val="15"/>
              </w:rPr>
              <w:t xml:space="preserve">Allowance method (CECL)</w:t>
            </w:r>
          </w:p>
        </w:tc>
        <w:tc>
          <w:tcPr>
            <w:tcW w:type="pct" w:w="1825"/>
            <w:shd w:fill="353A7C" w:val="clear"/>
            <w:tcMar>
              <w:top w:type="dxa" w:w="50"/>
              <w:left w:type="dxa" w:w="110"/>
              <w:bottom w:type="dxa" w:w="50"/>
              <w:right w:type="dxa" w:w="110"/>
            </w:tcMar>
          </w:tcPr>
          <w:p>
            <w:pPr>
              <w:spacing w:before="30" w:after="30"/>
            </w:pPr>
            <w:r>
              <w:rPr>
                <w:b/>
                <w:bCs/>
                <w:color w:val="FFFFFF"/>
                <w:sz w:val="15"/>
                <w:szCs w:val="15"/>
              </w:rPr>
              <w:t xml:space="preserve">Direct write-off method</w:t>
            </w:r>
          </w:p>
        </w:tc>
      </w:tr>
      <w:tr>
        <w:tc>
          <w:tcPr>
            <w:tcW w:type="pct" w:w="1534"/>
            <w:tcMar>
              <w:top w:type="dxa" w:w="50"/>
              <w:left w:type="dxa" w:w="110"/>
              <w:bottom w:type="dxa" w:w="50"/>
              <w:right w:type="dxa" w:w="110"/>
            </w:tcMar>
          </w:tcPr>
          <w:p>
            <w:pPr>
              <w:spacing w:before="28" w:after="28"/>
            </w:pPr>
            <w:r>
              <w:rPr>
                <w:sz w:val="15"/>
                <w:szCs w:val="15"/>
              </w:rPr>
              <w:t xml:space="preserve">When is the expense recorded?</w:t>
            </w:r>
          </w:p>
        </w:tc>
        <w:tc>
          <w:tcPr>
            <w:tcW w:type="pct" w:w="1640"/>
            <w:tcMar>
              <w:top w:type="dxa" w:w="50"/>
              <w:left w:type="dxa" w:w="110"/>
              <w:bottom w:type="dxa" w:w="50"/>
              <w:right w:type="dxa" w:w="110"/>
            </w:tcMar>
          </w:tcPr>
          <w:p>
            <w:pPr>
              <w:spacing w:before="28" w:after="28"/>
            </w:pPr>
            <w:r>
              <w:rPr>
                <w:sz w:val="15"/>
                <w:szCs w:val="15"/>
              </w:rPr>
              <w:t xml:space="preserve">Each period, for expected losses (matching)</w:t>
            </w:r>
          </w:p>
        </w:tc>
        <w:tc>
          <w:tcPr>
            <w:tcW w:type="pct" w:w="1825"/>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1534"/>
            <w:shd w:fill="FBFAF6" w:val="clear"/>
            <w:tcMar>
              <w:top w:type="dxa" w:w="50"/>
              <w:left w:type="dxa" w:w="110"/>
              <w:bottom w:type="dxa" w:w="50"/>
              <w:right w:type="dxa" w:w="110"/>
            </w:tcMar>
          </w:tcPr>
          <w:p>
            <w:pPr>
              <w:spacing w:before="28" w:after="28"/>
            </w:pPr>
            <w:r>
              <w:rPr>
                <w:sz w:val="15"/>
                <w:szCs w:val="15"/>
              </w:rPr>
              <w:t xml:space="preserve">Expense in 2025 (Amman office)</w:t>
            </w:r>
          </w:p>
        </w:tc>
        <w:tc>
          <w:tcPr>
            <w:tcW w:type="pct" w:w="1640"/>
            <w:shd w:fill="FBFAF6" w:val="clear"/>
            <w:tcMar>
              <w:top w:type="dxa" w:w="50"/>
              <w:left w:type="dxa" w:w="110"/>
              <w:bottom w:type="dxa" w:w="50"/>
              <w:right w:type="dxa" w:w="110"/>
            </w:tcMar>
          </w:tcPr>
          <w:p>
            <w:pPr>
              <w:spacing w:before="28" w:after="28"/>
            </w:pPr>
            <w:r>
              <w:rPr>
                <w:sz w:val="15"/>
                <w:szCs w:val="15"/>
              </w:rPr>
              <w:t xml:space="preserve">28,000</w:t>
            </w:r>
          </w:p>
        </w:tc>
        <w:tc>
          <w:tcPr>
            <w:tcW w:type="pct" w:w="1825"/>
            <w:shd w:fill="FBFAF6" w:val="clear"/>
            <w:tcMar>
              <w:top w:type="dxa" w:w="50"/>
              <w:left w:type="dxa" w:w="110"/>
              <w:bottom w:type="dxa" w:w="50"/>
              <w:right w:type="dxa" w:w="110"/>
            </w:tcMar>
          </w:tcPr>
          <w:p>
            <w:pPr>
              <w:spacing w:before="28" w:after="28"/>
            </w:pPr>
            <w:r>
              <w:rPr>
                <w:sz w:val="15"/>
                <w:szCs w:val="15"/>
              </w:rPr>
              <w:t xml:space="preserve">26,000</w:t>
            </w:r>
          </w:p>
        </w:tc>
      </w:tr>
      <w:tr>
        <w:tc>
          <w:tcPr>
            <w:tcW w:type="pct" w:w="1534"/>
            <w:tcMar>
              <w:top w:type="dxa" w:w="50"/>
              <w:left w:type="dxa" w:w="110"/>
              <w:bottom w:type="dxa" w:w="50"/>
              <w:right w:type="dxa" w:w="110"/>
            </w:tcMar>
          </w:tcPr>
          <w:p>
            <w:pPr>
              <w:spacing w:before="28" w:after="28"/>
            </w:pPr>
            <w:r>
              <w:rPr>
                <w:sz w:val="15"/>
                <w:szCs w:val="15"/>
              </w:rPr>
              <w:t xml:space="preserve">Receivables on the balance sheet</w:t>
            </w:r>
          </w:p>
        </w:tc>
        <w:tc>
          <w:tcPr>
            <w:tcW w:type="pct" w:w="1640"/>
            <w:tcMar>
              <w:top w:type="dxa" w:w="50"/>
              <w:left w:type="dxa" w:w="110"/>
              <w:bottom w:type="dxa" w:w="50"/>
              <w:right w:type="dxa" w:w="110"/>
            </w:tcMar>
          </w:tcPr>
          <w:p>
            <w:pPr>
              <w:spacing w:before="28" w:after="28"/>
            </w:pPr>
            <w:r>
              <w:rPr>
                <w:sz w:val="15"/>
                <w:szCs w:val="15"/>
              </w:rPr>
              <w:t xml:space="preserve">Net: 626,000</w:t>
            </w:r>
          </w:p>
        </w:tc>
        <w:tc>
          <w:tcPr>
            <w:tcW w:type="pct" w:w="1825"/>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1534"/>
            <w:shd w:fill="FBFAF6" w:val="clear"/>
            <w:tcMar>
              <w:top w:type="dxa" w:w="50"/>
              <w:left w:type="dxa" w:w="110"/>
              <w:bottom w:type="dxa" w:w="50"/>
              <w:right w:type="dxa" w:w="110"/>
            </w:tcMar>
          </w:tcPr>
          <w:p>
            <w:pPr>
              <w:spacing w:before="28" w:after="28"/>
            </w:pPr>
            <w:r>
              <w:rPr>
                <w:sz w:val="15"/>
                <w:szCs w:val="15"/>
              </w:rPr>
              <w:t xml:space="preserve">Acceptable under U.S. GAAP?</w:t>
            </w:r>
          </w:p>
        </w:tc>
        <w:tc>
          <w:tcPr>
            <w:tcW w:type="pct" w:w="1640"/>
            <w:shd w:fill="FFFFFF" w:val="clear"/>
            <w:tcMar>
              <w:top w:type="dxa" w:w="50"/>
              <w:left w:type="dxa" w:w="110"/>
              <w:bottom w:type="dxa" w:w="50"/>
              <w:right w:type="dxa" w:w="110"/>
            </w:tcMar>
          </w:tcPr>
          <w:p>
            <w:pPr>
              <w:spacing w:before="46" w:after="46"/>
            </w:pPr>
            <w:r>
              <w:rPr>
                <w:b/>
                <w:bCs/>
                <w:color w:val="8186EF"/>
                <w:sz w:val="14"/>
                <w:szCs w:val="14"/>
              </w:rPr>
              <w:t xml:space="preserve">(49)</w:t>
            </w:r>
          </w:p>
        </w:tc>
        <w:tc>
          <w:tcPr>
            <w:tcW w:type="pct" w:w="1825"/>
            <w:shd w:fill="FBFAF6" w:val="clear"/>
            <w:tcMar>
              <w:top w:type="dxa" w:w="50"/>
              <w:left w:type="dxa" w:w="110"/>
              <w:bottom w:type="dxa" w:w="50"/>
              <w:right w:type="dxa" w:w="110"/>
            </w:tcMar>
          </w:tcPr>
          <w:p>
            <w:pPr>
              <w:spacing w:before="28" w:after="28"/>
            </w:pPr>
            <w:r>
              <w:rPr>
                <w:sz w:val="15"/>
                <w:szCs w:val="15"/>
              </w:rPr>
              <w:t xml:space="preserve">No, when bad debts are material; used for U.S.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Only when a customer's balance is written off   ·   cash discount   ·   Gross: 660,000 (overstated)   ·   Yes (CECL)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expected credit losses (CECL)   ·   aging schedule   ·   write-off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0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93"/>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07"/>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93"/>
            <w:tcMar>
              <w:top w:type="dxa" w:w="50"/>
              <w:left w:type="dxa" w:w="110"/>
              <w:bottom w:type="dxa" w:w="50"/>
              <w:right w:type="dxa" w:w="110"/>
            </w:tcMar>
          </w:tcPr>
          <w:p>
            <w:pPr>
              <w:spacing w:before="26" w:after="26"/>
            </w:pPr>
            <w:r>
              <w:rPr>
                <w:color w:val="232733"/>
                <w:sz w:val="16"/>
                <w:szCs w:val="16"/>
              </w:rPr>
              <w:t xml:space="preserve">recovery</w:t>
            </w:r>
          </w:p>
        </w:tc>
        <w:tc>
          <w:tcPr>
            <w:tcW w:type="pct" w:w="2507"/>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طريقة الشطب المباشر</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allowance for credit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presents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experience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supportable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contra-asset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simplified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schedule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61–90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significantly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 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doubtful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uncollectible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Only when a customer's balance is written 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recovery</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Gross: 660,000 (overstated)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Yes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current expected credit losses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aging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write-off</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 Trade receivables are measured at amortized cost, and the allowance is a contra-asset account. The balance sheet shows receivables minus the allowance: the amount the company expects to collect. A common method is the aging schedule. The company groups its receivables by how long they are past due and applies an expected loss rate to each group. The rates start from history and are adjusted for current conditions and forecasts. The total is the balance the allowance must have at the end of the year.</w:t>
      </w:r>
    </w:p>
    <w:p>
      <w:pPr>
        <w:spacing w:before="20" w:after="20"/>
        <w:ind w:left="240" w:hanging="240"/>
      </w:pPr>
      <w:r>
        <w:rPr>
          <w:b/>
          <w:bCs/>
          <w:color w:val="353A7C"/>
          <w:sz w:val="15"/>
          <w:szCs w:val="15"/>
        </w:rPr>
        <w:t xml:space="preserve">Summary 2   </w:t>
      </w:r>
      <w:r>
        <w:rPr>
          <w:color w:val="6B7280"/>
          <w:sz w:val="15"/>
          <w:szCs w:val="15"/>
        </w:rPr>
        <w:t xml:space="preserve">The allowance must end the year at $34,000. During the year, the allowance started at $30,000, Orontes wrote off $26,000 of bad receivables and recovered $2,000 that it had written off earlier. The journal entry is: debit Credit loss expense $28,000, credit Allowance for credit losses $28,000. Net receivables on the balance sheet are $660,000 − $34,000 = $626,000. When a customer's balance is clearly uncollectible, the company records a write-off: debit the allowance and credit accounts receivable.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 The direct method is used for U.S. tax returns. It is not GAAP when bad debts are material, because it records losses late and shows receivables at a gross amount. Older questions sometimes estimate the expense as a percentage of credit sales. This income-statement approach does not measure the expected losses on the ending receivables, so under CECL the aging (balance-sheet) approach is the better choice.</w:t>
      </w:r>
    </w:p>
    <w:p>
      <w:pPr>
        <w:spacing w:before="20" w:after="20"/>
        <w:ind w:left="240" w:hanging="240"/>
      </w:pPr>
      <w:r>
        <w:rPr>
          <w:b/>
          <w:bCs/>
          <w:color w:val="353A7C"/>
          <w:sz w:val="15"/>
          <w:szCs w:val="15"/>
        </w:rPr>
        <w:t xml:space="preserve">Summary 3   </w:t>
      </w:r>
      <w:r>
        <w:rPr>
          <w:color w:val="6B7280"/>
          <w:sz w:val="15"/>
          <w:szCs w:val="15"/>
        </w:rPr>
        <w:t xml:space="preserve">The first row is done. Complete the other rows and the total, then check your total against Barada's trial balance.</w:t>
      </w:r>
    </w:p>
    <w:p>
      <w:pPr>
        <w:spacing w:before="20" w:after="20"/>
        <w:ind w:left="240" w:hanging="240"/>
      </w:pPr>
      <w:r>
        <w:rPr>
          <w:b/>
          <w:bCs/>
          <w:color w:val="353A7C"/>
          <w:sz w:val="15"/>
          <w:szCs w:val="15"/>
        </w:rPr>
        <w:t xml:space="preserve">Summary 4   </w:t>
      </w:r>
      <w:r>
        <w:rPr>
          <w:color w:val="6B7280"/>
          <w:sz w:val="15"/>
          <w:szCs w:val="15"/>
        </w:rPr>
        <w:t xml:space="preserve">In 2025 the FASB added a practical expedient: when forecasting losses on current receivables, any company may assume that conditions at the balance sheet date will not change. Private companies may also use cash collected after year-end. It applies to annual periods beginning after December 15, 2025, so under the one-year rule it is not yet tested on the CMA exam. IFRS 9 also uses expected losses. For trade receivables it uses a simplified approach that always records lifetime losses, often with a provision matrix, which is very close to CECL. For other financial assets, IFRS 9 starts with 12-month expected losses and moves to lifetime losses only after credit risk increases significantly. CECL records lifetime losses from day one for all assets at amortized cost.</w:t>
      </w:r>
    </w:p>
    <w:p>
      <w:pPr>
        <w:spacing w:before="20" w:after="20"/>
        <w:ind w:left="240" w:hanging="240"/>
      </w:pPr>
      <w:r>
        <w:rPr>
          <w:b/>
          <w:bCs/>
          <w:color w:val="353A7C"/>
          <w:sz w:val="15"/>
          <w:szCs w:val="15"/>
        </w:rPr>
        <w:t xml:space="preserve">Summary 5   </w:t>
      </w:r>
      <w:r>
        <w:rPr>
          <w:color w:val="6B7280"/>
          <w:sz w:val="15"/>
          <w:szCs w:val="15"/>
        </w:rPr>
        <w:t xml:space="preserve">An allowance reduces an asset. A provision under IAS 37 is a liability. In a U.S. GAAP answer, always write allowance for credit losses, never provision for doubtful debts or reserve for bad debts.</w:t>
      </w:r>
    </w:p>
    <w:p>
      <w:pPr>
        <w:spacing w:before="20" w:after="20"/>
        <w:ind w:left="240" w:hanging="240"/>
      </w:pPr>
      <w:r>
        <w:rPr>
          <w:b/>
          <w:bCs/>
          <w:color w:val="353A7C"/>
          <w:sz w:val="15"/>
          <w:szCs w:val="15"/>
        </w:rPr>
        <w:t xml:space="preserve">Summary 6   </w:t>
      </w:r>
      <w:r>
        <w:rPr>
          <w:color w:val="6B7280"/>
          <w:sz w:val="15"/>
          <w:szCs w:val="15"/>
        </w:rPr>
        <w:t xml:space="preserve">The aging gives the required ENDING allowance, not the expense. Expense = required balance − unadjusted credit balance, or required balance + unadjusted debit balance. A write-off does not change net income or net receivables.</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Transferring receivables: sale or secured borrowing?</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company that needs 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customers pay can use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two ways. </w:t>
      </w:r>
      <w:r>
        <w:rPr>
          <w:sz w:val="19"/>
          <w:szCs w:val="19"/>
        </w:rPr>
        <w:t xml:space="preserve">It can use them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a loan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or it can transfer them to a finance company called a factor. </w:t>
      </w:r>
      <w:r>
        <w:rPr>
          <w:sz w:val="19"/>
          <w:szCs w:val="19"/>
        </w:rPr>
        <w:t xml:space="preserve">U.S. GAAP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transfer as a sale only if three conditions are all met. </w:t>
      </w:r>
      <w:r>
        <w:rPr>
          <w:sz w:val="19"/>
          <w:szCs w:val="19"/>
        </w:rPr>
        <w:t xml:space="preserve">Recourse is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right to collect from the seller if customers do not pay. </w:t>
      </w:r>
      <w:r>
        <w:rPr>
          <w:sz w:val="19"/>
          <w:szCs w:val="19"/>
        </w:rPr>
        <w:t xml:space="preserve">Recourse does not by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make the transfer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If the three conditions are met, a transfer with recourse is still a sale. </w:t>
      </w:r>
      <w:r>
        <w:rPr>
          <w:sz w:val="19"/>
          <w:szCs w:val="19"/>
        </w:rPr>
        <w:t xml:space="preserve">The seller then records a recourse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its fair value, which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loss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itself   ·   increases   ·   borrowing   ·   exchange   ·   before   ·   collateral   ·   treats   ·   factor's   ·   receivables   ·   pledging   ·   liability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factors its receivables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legal isolation   ·   the seller does not keep effective control   ·   credit loss expense</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receivables with a carrying amount of $500,000 to Gulf Factor Co. The factor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 fee of 3% ($15,000) and keeps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(due from factor) of 5% ($25,000) to cover returns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$460,000 in cash. </w:t>
      </w:r>
      <w:r>
        <w:rPr>
          <w:sz w:val="19"/>
          <w:szCs w:val="19"/>
        </w:rPr>
        <w:t xml:space="preserve">Sale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recourse: debit Cash $460,000, debit Due from factor $25,000, debit Loss on sale of receivables $15,000; credit Accounts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$500,000. </w:t>
      </w:r>
      <w:r>
        <w:rPr>
          <w:sz w:val="19"/>
          <w:szCs w:val="19"/>
        </w:rPr>
        <w:t xml:space="preserve">Sale with recourse (recourse liability $6,000): the same entry, but the loss is $21,000 and Orontes also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Recourse liability $6,000. </w:t>
      </w:r>
      <w:r>
        <w:rPr>
          <w:sz w:val="19"/>
          <w:szCs w:val="19"/>
        </w:rPr>
        <w:t xml:space="preserve">Secured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debit Cash $460,000, debit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expense $15,000; credit Liability to factor $475,000. </w:t>
      </w:r>
      <w:r>
        <w:rPr>
          <w:sz w:val="19"/>
          <w:szCs w:val="19"/>
        </w:rPr>
        <w:t xml:space="preserve">The receivables stay on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sheet, marked as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Loss on a sale = carrying amount − (cash + due from factor − recourse liability). </w:t>
      </w:r>
      <w:r>
        <w:rPr>
          <w:sz w:val="19"/>
          <w:szCs w:val="19"/>
        </w:rPr>
        <w:t xml:space="preserve">With recourse: $500,000 − ($460,000 + $25,000 − $6,000) = $21,000.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receives   ·   Recourse   ·   without   ·   holdback   ·   Interest   ·   receivable   ·   credits   ·   pledged   ·   transfers   ·   balance   ·   charges   ·   discounts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25–34</w:t>
      </w:r>
    </w:p>
    <w:p>
      <w:pPr>
        <w:spacing w:before="20" w:after="20" w:line="360" w:lineRule="auto"/>
        <w:ind w:left="200"/>
      </w:pPr>
      <w:r>
        <w:rPr>
          <w:sz w:val="19"/>
          <w:szCs w:val="19"/>
        </w:rPr>
        <w:t xml:space="preserve">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sheet effect is the main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companies care. </w:t>
      </w:r>
      <w:r>
        <w:rPr>
          <w:sz w:val="19"/>
          <w:szCs w:val="19"/>
        </w:rPr>
        <w:t xml:space="preserve">A sale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receivables and adds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or no debt, so ratios such as debt to equity look better. </w:t>
      </w:r>
      <w:r>
        <w:rPr>
          <w:sz w:val="19"/>
          <w:szCs w:val="19"/>
        </w:rPr>
        <w:t xml:space="preserve">A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borrowing keeps the receivables and adds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Lenders and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read the notes to see which receivables are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or transferred. </w:t>
      </w:r>
      <w:r>
        <w:rPr>
          <w:sz w:val="19"/>
          <w:szCs w:val="19"/>
        </w:rPr>
        <w:t xml:space="preserve">IFRS 9 asks first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the seller has transferred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all the risks and rewards of the receivables. </w:t>
      </w:r>
      <w:r>
        <w:rPr>
          <w:sz w:val="19"/>
          <w:szCs w:val="19"/>
        </w:rPr>
        <w:t xml:space="preserve">Factoring with substantial recourse usually keeps most of the risk with the seller, so under IFRS it often fails derecognition and is treated as borrowing. </w:t>
      </w:r>
      <w:r>
        <w:rPr>
          <w:sz w:val="19"/>
          <w:szCs w:val="19"/>
        </w:rPr>
        <w:t xml:space="preserve">Under U.S. GAAP the same transfer may qualify as a sale if the three ASC 860 conditions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   ·   secured   ·   whether   ·   analysts   ·   removes   ·   derecognition   ·   liability   ·   little   ·   substantially   ·   pledged   ·   balance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Recourse is not the test</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 not assume that every transfer with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is a borrowing. </w:t>
      </w:r>
      <w:r>
        <w:rPr>
          <w:sz w:val="19"/>
          <w:szCs w:val="19"/>
        </w:rPr>
        <w:t xml:space="preserve">Apply the three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The holdback is an asset (due from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not part of the loss. </w:t>
      </w:r>
      <w:r>
        <w:rPr>
          <w:sz w:val="19"/>
          <w:szCs w:val="19"/>
        </w:rPr>
        <w:t xml:space="preserve">Pledged receivables stay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derecognition   ·   recourse   ·   conditions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Recourse is not the test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Details (whole USD)</w:t>
            </w:r>
          </w:p>
        </w:tc>
      </w:tr>
      <w:tr>
        <w:tc>
          <w:tcPr>
            <w:tcW w:type="pct" w:w="2400"/>
            <w:tcMar>
              <w:top w:type="dxa" w:w="50"/>
              <w:left w:type="dxa" w:w="110"/>
              <w:bottom w:type="dxa" w:w="50"/>
              <w:right w:type="dxa" w:w="110"/>
            </w:tcMar>
          </w:tcPr>
          <w:p>
            <w:pPr>
              <w:spacing w:before="28" w:after="28"/>
            </w:pPr>
            <w:r>
              <w:rPr>
                <w:sz w:val="15"/>
                <w:szCs w:val="15"/>
              </w:rPr>
              <w:t xml:space="preserve">Aging</w:t>
            </w:r>
          </w:p>
        </w:tc>
        <w:tc>
          <w:tcPr>
            <w:tcW w:type="pct" w:w="2600"/>
            <w:tcMar>
              <w:top w:type="dxa" w:w="50"/>
              <w:left w:type="dxa" w:w="110"/>
              <w:bottom w:type="dxa" w:w="50"/>
              <w:right w:type="dxa" w:w="110"/>
            </w:tcMar>
          </w:tcPr>
          <w:p>
            <w:pPr>
              <w:spacing w:before="28" w:after="28"/>
            </w:pPr>
            <w:r>
              <w:rPr>
                <w:sz w:val="15"/>
                <w:szCs w:val="15"/>
              </w:rPr>
              <w:t xml:space="preserve">Current: 250,000 at an expected loss rate of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Aging</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(38) </w:t>
            </w:r>
            <w:r>
              <w:rPr>
                <w:u w:val="single"/>
                <w:sz w:val="15"/>
                <w:szCs w:val="15"/>
              </w:rPr>
              <w:t xml:space="preserve">              </w:t>
            </w:r>
            <w:r>
              <w:rPr>
                <w:sz w:val="15"/>
                <w:szCs w:val="15"/>
              </w:rPr>
              <w:t xml:space="preserve"> </w:t>
            </w:r>
            <w:r>
              <w:rPr>
                <w:sz w:val="15"/>
                <w:szCs w:val="15"/>
              </w:rPr>
              <w:t xml:space="preserve">: 90,000 at an expected loss rate of 10%</w:t>
            </w:r>
          </w:p>
        </w:tc>
      </w:tr>
      <w:tr>
        <w:tc>
          <w:tcPr>
            <w:tcW w:type="pct" w:w="2400"/>
            <w:tcMar>
              <w:top w:type="dxa" w:w="50"/>
              <w:left w:type="dxa" w:w="110"/>
              <w:bottom w:type="dxa" w:w="50"/>
              <w:right w:type="dxa" w:w="110"/>
            </w:tcMar>
          </w:tcPr>
          <w:p>
            <w:pPr>
              <w:spacing w:before="28" w:after="28"/>
            </w:pPr>
            <w:r>
              <w:rPr>
                <w:sz w:val="15"/>
                <w:szCs w:val="15"/>
              </w:rPr>
              <w:t xml:space="preserve">Aging</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(39) </w:t>
            </w:r>
            <w:r>
              <w:rPr>
                <w:u w:val="single"/>
                <w:sz w:val="15"/>
                <w:szCs w:val="15"/>
              </w:rPr>
              <w:t xml:space="preserve">              </w:t>
            </w:r>
            <w:r>
              <w:rPr>
                <w:sz w:val="15"/>
                <w:szCs w:val="15"/>
              </w:rPr>
              <w:t xml:space="preserve"> </w:t>
            </w:r>
            <w:r>
              <w:rPr>
                <w:sz w:val="15"/>
                <w:szCs w:val="15"/>
              </w:rPr>
              <w:t xml:space="preserve">: 40,000 at an expected loss rate of 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Allowance account</w:t>
            </w:r>
          </w:p>
        </w:tc>
        <w:tc>
          <w:tcPr>
            <w:tcW w:type="pct" w:w="2600"/>
            <w:shd w:fill="FBFAF6" w:val="clear"/>
            <w:tcMar>
              <w:top w:type="dxa" w:w="50"/>
              <w:left w:type="dxa" w:w="110"/>
              <w:bottom w:type="dxa" w:w="50"/>
              <w:right w:type="dxa" w:w="110"/>
            </w:tcMar>
          </w:tcPr>
          <w:p>
            <w:pPr>
              <w:spacing w:before="28" w:after="28"/>
            </w:pPr>
            <w:r>
              <w:rPr>
                <w:sz w:val="15"/>
                <w:szCs w:val="15"/>
              </w:rPr>
              <w:t xml:space="preserve">Beginning balance 18,000 (credit). </w:t>
            </w:r>
            <w:r>
              <w:rPr>
                <w:b/>
                <w:bCs/>
                <w:color w:val="8186EF"/>
                <w:sz w:val="14"/>
                <w:szCs w:val="14"/>
              </w:rPr>
              <w:t xml:space="preserve"> (40) </w:t>
            </w:r>
            <w:r>
              <w:rPr>
                <w:u w:val="single"/>
                <w:sz w:val="15"/>
                <w:szCs w:val="15"/>
              </w:rPr>
              <w:t xml:space="preserve">              </w:t>
            </w:r>
            <w:r>
              <w:rPr>
                <w:sz w:val="15"/>
                <w:szCs w:val="15"/>
              </w:rPr>
              <w:t xml:space="preserve"> </w:t>
            </w:r>
            <w:r>
              <w:rPr>
                <w:sz w:val="15"/>
                <w:szCs w:val="15"/>
              </w:rPr>
              <w:t xml:space="preserve"> during 2025: 24,000. Recoveries: 1,000.</w:t>
            </w:r>
          </w:p>
        </w:tc>
      </w:tr>
      <w:tr>
        <w:tc>
          <w:tcPr>
            <w:tcW w:type="pct" w:w="2400"/>
            <w:tcMar>
              <w:top w:type="dxa" w:w="50"/>
              <w:left w:type="dxa" w:w="110"/>
              <w:bottom w:type="dxa" w:w="50"/>
              <w:right w:type="dxa" w:w="110"/>
            </w:tcMar>
          </w:tcPr>
          <w:p>
            <w:pPr>
              <w:spacing w:before="28" w:after="28"/>
            </w:pPr>
            <w:r>
              <w:rPr>
                <w:sz w:val="15"/>
                <w:szCs w:val="15"/>
              </w:rPr>
              <w:t xml:space="preserve">Transfer T1</w:t>
            </w:r>
          </w:p>
        </w:tc>
        <w:tc>
          <w:tcPr>
            <w:tcW w:type="pct" w:w="2600"/>
            <w:tcMar>
              <w:top w:type="dxa" w:w="50"/>
              <w:left w:type="dxa" w:w="110"/>
              <w:bottom w:type="dxa" w:w="50"/>
              <w:right w:type="dxa" w:w="110"/>
            </w:tcMar>
          </w:tcPr>
          <w:p>
            <w:pPr>
              <w:spacing w:before="28" w:after="28"/>
            </w:pPr>
            <w:r>
              <w:rPr>
                <w:sz w:val="15"/>
                <w:szCs w:val="15"/>
              </w:rPr>
              <w:t xml:space="preserve">Receivables sold to a factor without recourse. The factor may resell them. Orontes has no right or duty to buy them back.</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Transfer T2</w:t>
            </w:r>
          </w:p>
        </w:tc>
        <w:tc>
          <w:tcPr>
            <w:tcW w:type="pct" w:w="2600"/>
            <w:shd w:fill="FBFAF6" w:val="clear"/>
            <w:tcMar>
              <w:top w:type="dxa" w:w="50"/>
              <w:left w:type="dxa" w:w="110"/>
              <w:bottom w:type="dxa" w:w="50"/>
              <w:right w:type="dxa" w:w="110"/>
            </w:tcMar>
          </w:tcPr>
          <w:p>
            <w:pPr>
              <w:spacing w:before="28" w:after="28"/>
            </w:pPr>
            <w:r>
              <w:rPr>
                <w:sz w:val="15"/>
                <w:szCs w:val="15"/>
              </w:rPr>
              <w:t xml:space="preserve">Receivables transferred with recourse. They are legally isolated from Orontes, the factor may pledge them, and Orontes cannot buy them back.</w:t>
            </w:r>
          </w:p>
        </w:tc>
      </w:tr>
      <w:tr>
        <w:tc>
          <w:tcPr>
            <w:tcW w:type="pct" w:w="2400"/>
            <w:tcMar>
              <w:top w:type="dxa" w:w="50"/>
              <w:left w:type="dxa" w:w="110"/>
              <w:bottom w:type="dxa" w:w="50"/>
              <w:right w:type="dxa" w:w="110"/>
            </w:tcMar>
          </w:tcPr>
          <w:p>
            <w:pPr>
              <w:spacing w:before="28" w:after="28"/>
            </w:pPr>
            <w:r>
              <w:rPr>
                <w:sz w:val="15"/>
                <w:szCs w:val="15"/>
              </w:rPr>
              <w:t xml:space="preserve">Transfer T3</w:t>
            </w:r>
          </w:p>
        </w:tc>
        <w:tc>
          <w:tcPr>
            <w:tcW w:type="pct" w:w="2600"/>
            <w:tcMar>
              <w:top w:type="dxa" w:w="50"/>
              <w:left w:type="dxa" w:w="110"/>
              <w:bottom w:type="dxa" w:w="50"/>
              <w:right w:type="dxa" w:w="110"/>
            </w:tcMar>
          </w:tcPr>
          <w:p>
            <w:pPr>
              <w:spacing w:before="28" w:after="28"/>
            </w:pPr>
            <w:r>
              <w:rPr>
                <w:sz w:val="15"/>
                <w:szCs w:val="15"/>
              </w:rPr>
              <w:t xml:space="preserve">Receivables transferred to a bank, but Orontes must repurchase them before they mature.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Transfer T4</w:t>
            </w:r>
          </w:p>
        </w:tc>
        <w:tc>
          <w:tcPr>
            <w:tcW w:type="pct" w:w="2600"/>
            <w:shd w:fill="FBFAF6" w:val="clear"/>
            <w:tcMar>
              <w:top w:type="dxa" w:w="50"/>
              <w:left w:type="dxa" w:w="110"/>
              <w:bottom w:type="dxa" w:w="50"/>
              <w:right w:type="dxa" w:w="110"/>
            </w:tcMar>
          </w:tcPr>
          <w:p>
            <w:pPr>
              <w:spacing w:before="28" w:after="28"/>
            </w:pPr>
            <w:r>
              <w:rPr>
                <w:sz w:val="15"/>
                <w:szCs w:val="15"/>
              </w:rPr>
              <w:t xml:space="preserve">Receivables pledged as collateral for a bank loan; Orontes still collects them.</w:t>
            </w:r>
          </w:p>
        </w:tc>
      </w:tr>
      <w:tr>
        <w:tc>
          <w:tcPr>
            <w:tcW w:type="pct" w:w="2400"/>
            <w:tcMar>
              <w:top w:type="dxa" w:w="50"/>
              <w:left w:type="dxa" w:w="110"/>
              <w:bottom w:type="dxa" w:w="50"/>
              <w:right w:type="dxa" w:w="110"/>
            </w:tcMar>
          </w:tcPr>
          <w:p>
            <w:pPr>
              <w:spacing w:before="28" w:after="28"/>
            </w:pPr>
            <w:r>
              <w:rPr>
                <w:sz w:val="15"/>
                <w:szCs w:val="15"/>
              </w:rPr>
              <w:t xml:space="preserve">Transfer T2 details</w:t>
            </w:r>
          </w:p>
        </w:tc>
        <w:tc>
          <w:tcPr>
            <w:tcW w:type="pct" w:w="2600"/>
            <w:tcMar>
              <w:top w:type="dxa" w:w="50"/>
              <w:left w:type="dxa" w:w="110"/>
              <w:bottom w:type="dxa" w:w="50"/>
              <w:right w:type="dxa" w:w="110"/>
            </w:tcMar>
          </w:tcPr>
          <w:p>
            <w:pPr>
              <w:spacing w:before="28" w:after="28"/>
            </w:pPr>
            <w:r>
              <w:rPr>
                <w:sz w:val="15"/>
                <w:szCs w:val="15"/>
              </w:rPr>
              <w:t xml:space="preserve">Carrying amount 200,000; factor's fee 2%; holdback 4%; fair value of the recourse obligation 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Write-offs   ·   Over 60 days past due   ·   1–60 days past due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1–60 days past due</w:t>
            </w:r>
          </w:p>
        </w:tc>
        <w:tc>
          <w:tcPr>
            <w:tcW w:type="pct" w:w="2400"/>
            <w:tcMar>
              <w:top w:type="dxa" w:w="50"/>
              <w:left w:type="dxa" w:w="110"/>
              <w:bottom w:type="dxa" w:w="50"/>
              <w:right w:type="dxa" w:w="110"/>
            </w:tcMar>
          </w:tcPr>
          <w:p>
            <w:pPr>
              <w:spacing w:before="28" w:after="28"/>
            </w:pPr>
            <w:r>
              <w:rPr>
                <w:sz w:val="15"/>
                <w:szCs w:val="15"/>
              </w:rPr>
              <w:t xml:space="preserve">80,000 × 8% = 6,400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Over 60 days past due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(41)</w:t>
            </w:r>
          </w:p>
        </w:tc>
      </w:tr>
      <w:tr>
        <w:tc>
          <w:tcPr>
            <w:tcW w:type="pct" w:w="2600"/>
            <w:tcMar>
              <w:top w:type="dxa" w:w="50"/>
              <w:left w:type="dxa" w:w="110"/>
              <w:bottom w:type="dxa" w:w="50"/>
              <w:right w:type="dxa" w:w="110"/>
            </w:tcMar>
          </w:tcPr>
          <w:p>
            <w:pPr>
              <w:spacing w:before="28" w:after="28"/>
            </w:pPr>
            <w:r>
              <w:rPr>
                <w:sz w:val="15"/>
                <w:szCs w:val="15"/>
              </w:rPr>
              <w:t xml:space="preserve">Required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 × 25% = 10,000   ·   3,600 + 6,400 + 10,000 = 20,000   ·   current expected credit losses (CECL)</w:t>
            </w:r>
          </w:p>
        </w:tc>
      </w:tr>
    </w:tbl>
    <w:p/>
    <w:p>
      <w:pPr>
        <w:spacing w:before="44" w:after="10"/>
      </w:pPr>
      <w:r>
        <w:rPr>
          <w:b/>
          <w:bCs/>
          <w:color w:val="353A7C"/>
          <w:sz w:val="18"/>
          <w:szCs w:val="18"/>
        </w:rPr>
        <w:t xml:space="preserve">Transfer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factor   ·   T4</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   ·   aging schedule   ·   recourse liability   ·   secured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recourse</w:t>
            </w:r>
          </w:p>
        </w:tc>
        <w:tc>
          <w:tcPr>
            <w:tcW w:type="pct" w:w="2600"/>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00"/>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600"/>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control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السيطرة الفعلية</w:t>
            </w:r>
          </w:p>
        </w:tc>
      </w:tr>
      <w:tr>
        <w:tc>
          <w:tcPr>
            <w:tcW w:type="pct" w:w="2400"/>
            <w:tcMar>
              <w:top w:type="dxa" w:w="50"/>
              <w:left w:type="dxa" w:w="110"/>
              <w:bottom w:type="dxa" w:w="50"/>
              <w:right w:type="dxa" w:w="110"/>
            </w:tcMar>
          </w:tcPr>
          <w:p>
            <w:pPr>
              <w:spacing w:before="26" w:after="26"/>
            </w:pPr>
            <w:r>
              <w:rPr>
                <w:color w:val="232733"/>
                <w:sz w:val="16"/>
                <w:szCs w:val="16"/>
              </w:rPr>
              <w:t xml:space="preserve">legal isolation</w:t>
            </w:r>
          </w:p>
        </w:tc>
        <w:tc>
          <w:tcPr>
            <w:tcW w:type="pct" w:w="2600"/>
            <w:tcMar>
              <w:top w:type="dxa" w:w="50"/>
              <w:left w:type="dxa" w:w="110"/>
              <w:bottom w:type="dxa" w:w="50"/>
              <w:right w:type="dxa" w:w="110"/>
            </w:tcMar>
          </w:tcPr>
          <w:p>
            <w:pPr>
              <w:spacing w:before="26" w:after="26"/>
            </w:pPr>
            <w:r>
              <w:rPr>
                <w:color w:val="232733"/>
                <w:sz w:val="16"/>
                <w:szCs w:val="16"/>
              </w:rPr>
              <w:t xml:space="preserve">العزل القانوني</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Transferring receivables: sale or secured borrowing?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before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reason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collateral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removes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pledging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secured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factor's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itself</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analysts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pledged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legal isolation</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 seller does not keep effective control</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holdback</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Over 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Write-offs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40,000 × 25%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3,600 + 6,400 + 10,000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T1</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T4</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recourse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secured borrowing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pledged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that needs cash before its customers pay can use its receivables in two ways. It can use them as collateral for a loan (pledging), or it can transfer them to a finance company called a factor. U.S. GAAP treats a transfer as a sale only if three conditions are all met. Recourse is the factor's right to collect from the seller if customers do not pay. Recourse does not by itself make the transfer a borrowing. If the three conditions are met, a transfer with recourse is still a sale. The seller then records a recourse liability at its fair value, which increases the loss on the sale.</w:t>
      </w:r>
    </w:p>
    <w:p>
      <w:pPr>
        <w:spacing w:before="20" w:after="20"/>
        <w:ind w:left="240" w:hanging="240"/>
      </w:pPr>
      <w:r>
        <w:rPr>
          <w:b/>
          <w:bCs/>
          <w:color w:val="353A7C"/>
          <w:sz w:val="15"/>
          <w:szCs w:val="15"/>
        </w:rPr>
        <w:t xml:space="preserve">Summary 2   </w:t>
      </w:r>
      <w:r>
        <w:rPr>
          <w:color w:val="6B7280"/>
          <w:sz w:val="15"/>
          <w:szCs w:val="15"/>
        </w:rPr>
        <w:t xml:space="preserve">Orontes transfers receivables with a carrying amount of $500,000 to Gulf Factor Co. The factor charges a fee of 3% ($15,000) and keeps a holdback (due from factor) of 5% ($25,000) to cover returns and discounts. Orontes receives $460,000 in cash. Sale without recourse: debit Cash $460,000, debit Due from factor $25,000, debit Loss on sale of receivables $15,000; credit Accounts receivable $500,000. Sale with recourse (recourse liability $6,000): the same entry, but the loss is $21,000 and Orontes also credits Recourse liability $6,000. Secured borrowing: debit Cash $460,000, debit Interest expense $15,000; credit Liability to factor $475,000. The receivables stay on the balance sheet, marked as pledged. Loss on a sale = carrying amount − (cash + due from factor − recourse liability). With recourse: $500,000 − ($460,000 + $25,000 − $6,000) = $21,000.</w:t>
      </w:r>
    </w:p>
    <w:p>
      <w:pPr>
        <w:spacing w:before="20" w:after="20"/>
        <w:ind w:left="240" w:hanging="240"/>
      </w:pPr>
      <w:r>
        <w:rPr>
          <w:b/>
          <w:bCs/>
          <w:color w:val="353A7C"/>
          <w:sz w:val="15"/>
          <w:szCs w:val="15"/>
        </w:rPr>
        <w:t xml:space="preserve">Summary 3   </w:t>
      </w:r>
      <w:r>
        <w:rPr>
          <w:color w:val="6B7280"/>
          <w:sz w:val="15"/>
          <w:szCs w:val="15"/>
        </w:rPr>
        <w:t xml:space="preserve">The balance sheet effect is the main reason companies care. A sale removes the receivables and adds little or no debt, so ratios such as debt to equity look better. A secured borrowing keeps the receivables and adds a liability. Lenders and analysts read the notes to see which receivables are pledged or transferred. IFRS 9 asks first whether the seller has transferred substantially all the risks and rewards of the receivables. Factoring with substantial recourse usually keeps most of the risk with the seller, so under IFRS it often fails derecognition and is treated as borrowing. Under U.S. GAAP the same transfer may qualify as a sale if the three ASC 860 conditions are met.</w:t>
      </w:r>
    </w:p>
    <w:p>
      <w:pPr>
        <w:spacing w:before="20" w:after="20"/>
        <w:ind w:left="240" w:hanging="240"/>
      </w:pPr>
      <w:r>
        <w:rPr>
          <w:b/>
          <w:bCs/>
          <w:color w:val="353A7C"/>
          <w:sz w:val="15"/>
          <w:szCs w:val="15"/>
        </w:rPr>
        <w:t xml:space="preserve">Summary 4   </w:t>
      </w:r>
      <w:r>
        <w:rPr>
          <w:color w:val="6B7280"/>
          <w:sz w:val="15"/>
          <w:szCs w:val="15"/>
        </w:rPr>
        <w:t xml:space="preserve">Do not assume that every transfer with recourse is a borrowing. Apply the three conditions. The holdback is an asset (due from factor), not part of the loss. Pledged receivables stay on the balance sheet.</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Which goods belong in inventory?</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flow assumptions   ·   Inventory errors   ·   FOB destination</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Inventory means goods held for sale in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course of business, goods in production, and materials that will be used in production.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 has one inventory account.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Orontes has three: raw materials, work in process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goods. </w:t>
      </w:r>
      <w:r>
        <w:rPr>
          <w:sz w:val="19"/>
          <w:szCs w:val="19"/>
        </w:rPr>
        <w:t xml:space="preserve">The basic rule is simple: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that the company controls on the balance sheet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are. </w:t>
      </w:r>
      <w:r>
        <w:rPr>
          <w:sz w:val="19"/>
          <w:szCs w:val="19"/>
        </w:rPr>
        <w:t xml:space="preserve">Control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follows legal title. </w:t>
      </w:r>
      <w:r>
        <w:rPr>
          <w:sz w:val="19"/>
          <w:szCs w:val="19"/>
        </w:rPr>
        <w:t xml:space="preserve">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need care. </w:t>
      </w:r>
      <w:r>
        <w:rPr>
          <w:sz w:val="19"/>
          <w:szCs w:val="19"/>
        </w:rPr>
        <w:t xml:space="preserve">The shipping 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who controls goods that are on a truck or a ship 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Under FOB shipping point, control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the buyer when the goods leave the seller, so the buyer includes them. </w:t>
      </w:r>
      <w:r>
        <w:rPr>
          <w:sz w:val="19"/>
          <w:szCs w:val="19"/>
        </w:rPr>
        <w:t xml:space="preserve">Under FOB destination, the seller keeps control until the goods arrive, so the seller includes them. </w:t>
      </w:r>
      <w:r>
        <w:rPr>
          <w:sz w:val="19"/>
          <w:szCs w:val="19"/>
        </w:rPr>
        <w:t xml:space="preserve">In a consignment, the consignor (the owner) gives goods to a consignee, who sells them for a commission.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wherever   ·   finished   ·   include   ·   decides   ·   retailer   ·   Wholesale   ·   ordinary   ·   usually   ·   year-end   ·   passes   ·   manufacturer   ·   Control   ·   situations</w:t>
            </w:r>
          </w:p>
        </w:tc>
      </w:tr>
    </w:tbl>
    <w:p/>
    <w:p>
      <w:pPr>
        <w:spacing w:before="44" w:after="14"/>
      </w:pPr>
      <w:r>
        <w:rPr>
          <w:b/>
          <w:bCs/>
          <w:color w:val="353A7C"/>
          <w:sz w:val="18"/>
          <w:szCs w:val="18"/>
        </w:rPr>
        <w:t xml:space="preserve">Summary 2</w:t>
      </w:r>
      <w:r>
        <w:rPr>
          <w:color w:val="6B7280"/>
          <w:sz w:val="16"/>
          <w:szCs w:val="16"/>
        </w:rPr>
        <w:t xml:space="preserve">      gaps 15–24</w:t>
      </w:r>
    </w:p>
    <w:p>
      <w:pPr>
        <w:spacing w:before="20" w:after="20" w:line="360" w:lineRule="auto"/>
        <w:ind w:left="200"/>
      </w:pPr>
      <w:r>
        <w:rPr>
          <w:sz w:val="19"/>
          <w:szCs w:val="19"/>
        </w:rPr>
        <w:t xml:space="preserve">The goods stay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inventory.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never includes them, even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they are in its shop. </w:t>
      </w:r>
      <w:r>
        <w:rPr>
          <w:sz w:val="19"/>
          <w:szCs w:val="19"/>
        </w:rPr>
        <w:t xml:space="preserve">Goods held for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Goods in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that belong to another company must be taken out of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count. </w:t>
      </w:r>
      <w:r>
        <w:rPr>
          <w:sz w:val="19"/>
          <w:szCs w:val="19"/>
        </w:rPr>
        <w:t xml:space="preserve">Goods the company owns that are held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else must be added. </w:t>
      </w:r>
      <w:r>
        <w:rPr>
          <w:sz w:val="19"/>
          <w:szCs w:val="19"/>
        </w:rPr>
        <w:t xml:space="preserve">Use it for every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item in an exam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Two special cases appear in later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When customers have a right of return, the seller records revenue net of expected returns and a separate asset for the goods it expects to get back. </w:t>
      </w:r>
      <w:r>
        <w:rPr>
          <w:sz w:val="19"/>
          <w:szCs w:val="19"/>
        </w:rPr>
        <w:t xml:space="preserve">In a bill-and-hold sale, the seller keeps the goods in its inventory unless strict conditions show that the buyer already controls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physical   ·   somewhere   ·   question   ·   others   ·   chapters   ·   consigned   ·   though   ·   year-end   ·   warehouse   ·   consignee   ·   consignor's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FOB flip</w:t>
            </w:r>
          </w:p>
        </w:tc>
      </w:tr>
    </w:tbl>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FOB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point: the BUYER includes goods in transit. </w:t>
      </w:r>
      <w:r>
        <w:rPr>
          <w:sz w:val="19"/>
          <w:szCs w:val="19"/>
        </w:rPr>
        <w:t xml:space="preserve">FOB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the SELLER includes them. </w:t>
      </w:r>
      <w:r>
        <w:rPr>
          <w:sz w:val="19"/>
          <w:szCs w:val="19"/>
        </w:rPr>
        <w:t xml:space="preserve">Many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reverse these. </w:t>
      </w:r>
      <w:r>
        <w:rPr>
          <w:sz w:val="19"/>
          <w:szCs w:val="19"/>
        </w:rPr>
        <w:t xml:space="preserve">The consignee never includes consigned goods, even when they are on its own shelves.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candidates   ·   destination   ·   shipping   ·   expects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FOB is not the Incoterm you know</w:t>
            </w:r>
          </w:p>
        </w:tc>
      </w:tr>
    </w:tbl>
    <w:p/>
    <w:p>
      <w:pPr>
        <w:spacing w:before="44" w:after="14"/>
      </w:pPr>
      <w:r>
        <w:rPr>
          <w:b/>
          <w:bCs/>
          <w:color w:val="353A7C"/>
          <w:sz w:val="18"/>
          <w:szCs w:val="18"/>
        </w:rPr>
        <w:t xml:space="preserve">Summary 4</w:t>
      </w:r>
      <w:r>
        <w:rPr>
          <w:color w:val="6B7280"/>
          <w:sz w:val="16"/>
          <w:szCs w:val="16"/>
        </w:rPr>
        <w:t xml:space="preserve">      gaps 28–31</w:t>
      </w:r>
    </w:p>
    <w:p>
      <w:pPr>
        <w:spacing w:before="20" w:after="20" w:line="360" w:lineRule="auto"/>
        <w:ind w:left="200"/>
      </w:pPr>
      <w:r>
        <w:rPr>
          <w:sz w:val="19"/>
          <w:szCs w:val="19"/>
        </w:rPr>
        <w:t xml:space="preserve">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trade, FOB (free on board) is an Incoterm about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goods onto a ship. </w:t>
      </w:r>
      <w:r>
        <w:rPr>
          <w:sz w:val="19"/>
          <w:szCs w:val="19"/>
        </w:rPr>
        <w:t xml:space="preserve">In U.S. exam questions, FOB shipping point and FOB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are simple shipping terms that decide who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goods in transit, by truck, rail or sea. </w:t>
      </w:r>
      <w:r>
        <w:rPr>
          <w:sz w:val="19"/>
          <w:szCs w:val="19"/>
        </w:rPr>
        <w:t xml:space="preserve">Do not bring Incoterm rules into these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consignee   ·   loading   ·   destination   ·   international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consignment   ·   inventory   ·   consignee   ·   consignor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FOB shipping point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count</w:t>
            </w:r>
          </w:p>
        </w:tc>
        <w:tc>
          <w:tcPr>
            <w:tcW w:type="pct" w:w="2600"/>
            <w:tcMar>
              <w:top w:type="dxa" w:w="50"/>
              <w:left w:type="dxa" w:w="110"/>
              <w:bottom w:type="dxa" w:w="50"/>
              <w:right w:type="dxa" w:w="110"/>
            </w:tcMar>
          </w:tcPr>
          <w:p>
            <w:pPr>
              <w:spacing w:before="26" w:after="26"/>
            </w:pPr>
            <w:r>
              <w:rPr>
                <w:color w:val="232733"/>
                <w:sz w:val="16"/>
                <w:szCs w:val="16"/>
              </w:rPr>
              <w:t xml:space="preserve">الجرد الفعلي</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Which goods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flow 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 errors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ordinary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retailer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Wholesale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manufacturer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chapters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wherever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situations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loading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consignor's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consignor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though</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consignee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 The basic rule is simple: include the goods that the company controls on the balance sheet date, wherever they are. Control usually follows legal title. Three situations need care. The shipping term decides who controls goods that are on a truck or a ship at year-end.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before="20" w:after="20"/>
        <w:ind w:left="240" w:hanging="240"/>
      </w:pPr>
      <w:r>
        <w:rPr>
          <w:b/>
          <w:bCs/>
          <w:color w:val="353A7C"/>
          <w:sz w:val="15"/>
          <w:szCs w:val="15"/>
        </w:rPr>
        <w:t xml:space="preserve">Summary 2   </w:t>
      </w:r>
      <w:r>
        <w:rPr>
          <w:color w:val="6B7280"/>
          <w:sz w:val="15"/>
          <w:szCs w:val="15"/>
        </w:rPr>
        <w:t xml:space="preserve">The goods stay in the consignor's inventory. The consignee never includes them, even though they are in its shop. Goods held for others. Goods in the warehouse that belong to another company must be taken out of the physical count. Goods the company owns that are held somewhere else must be added. Use it for every year-end item in an exam question. Two special cases appear in later chapters. When customers have a right of return, the seller records revenue net of expected returns and a separate asset for the goods it expects to get back. In a bill-and-hold sale, the seller keeps the goods in its inventory unless strict conditions show that the buyer already controls them.</w:t>
      </w:r>
    </w:p>
    <w:p>
      <w:pPr>
        <w:spacing w:before="20" w:after="20"/>
        <w:ind w:left="240" w:hanging="240"/>
      </w:pPr>
      <w:r>
        <w:rPr>
          <w:b/>
          <w:bCs/>
          <w:color w:val="353A7C"/>
          <w:sz w:val="15"/>
          <w:szCs w:val="15"/>
        </w:rPr>
        <w:t xml:space="preserve">Summary 3   </w:t>
      </w:r>
      <w:r>
        <w:rPr>
          <w:color w:val="6B7280"/>
          <w:sz w:val="15"/>
          <w:szCs w:val="15"/>
        </w:rPr>
        <w:t xml:space="preserve">FOB shipping point: the BUYER includes goods in transit. FOB destination: the SELLER includes them. Many candidates reverse these. The consignee never includes consigned goods, even when they are on its own shelves.</w:t>
      </w:r>
    </w:p>
    <w:p>
      <w:pPr>
        <w:spacing w:before="20" w:after="20"/>
        <w:ind w:left="240" w:hanging="240"/>
      </w:pPr>
      <w:r>
        <w:rPr>
          <w:b/>
          <w:bCs/>
          <w:color w:val="353A7C"/>
          <w:sz w:val="15"/>
          <w:szCs w:val="15"/>
        </w:rPr>
        <w:t xml:space="preserve">Summary 4   </w:t>
      </w:r>
      <w:r>
        <w:rPr>
          <w:color w:val="6B7280"/>
          <w:sz w:val="15"/>
          <w:szCs w:val="15"/>
        </w:rPr>
        <w:t xml:space="preserve">In international trade, FOB (free on board) is an Incoterm about loading goods onto a ship. In U.S. exam questions, FOB shipping point and FOB destination are simple shipping terms that decide who controls goods in transit, by truck, rail or sea. Do not bring Incoterm rules into these questions.</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Which costs belong in inventory?</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Inventory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w:t>
      </w:r>
      <w:r>
        <w:rPr>
          <w:sz w:val="19"/>
          <w:szCs w:val="19"/>
        </w:rPr>
        <w:t xml:space="preserve">Cost means all the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bring the goods to their present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location. </w:t>
      </w:r>
      <w:r>
        <w:rPr>
          <w:sz w:val="19"/>
          <w:szCs w:val="19"/>
        </w:rPr>
        <w:t xml:space="preserve">These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they stay in inventory as an asset, and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of goods sold when the goods are sold. </w:t>
      </w:r>
      <w:r>
        <w:rPr>
          <w:sz w:val="19"/>
          <w:szCs w:val="19"/>
        </w:rPr>
        <w:t xml:space="preserve">Other costs are period costs: they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period in which they occur. </w:t>
      </w:r>
      <w:r>
        <w:rPr>
          <w:sz w:val="19"/>
          <w:szCs w:val="19"/>
        </w:rPr>
        <w:t xml:space="preserve">For goods that are bought, cost includes the purchase price,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import duties,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taxes and handling, less trade discounts and any purchase discount taken for early payment. </w:t>
      </w:r>
      <w:r>
        <w:rPr>
          <w:sz w:val="19"/>
          <w:szCs w:val="19"/>
        </w:rPr>
        <w:t xml:space="preserve">For goods that are made, cost also includes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labor and production overhead. </w:t>
      </w:r>
      <w:r>
        <w:rPr>
          <w:sz w:val="19"/>
          <w:szCs w:val="19"/>
        </w:rPr>
        <w:t xml:space="preserve">Fixed production overhead needs care. </w:t>
      </w:r>
      <w:r>
        <w:rPr>
          <w:sz w:val="19"/>
          <w:szCs w:val="19"/>
        </w:rPr>
        <w:t xml:space="preserve">It is allocated to units on the basis of 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output the plant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average over several periods. </w:t>
      </w:r>
      <w:r>
        <w:rPr>
          <w:sz w:val="19"/>
          <w:szCs w:val="19"/>
        </w:rPr>
        <w:t xml:space="preserve">If output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fixed overhead that is not allocated is an expense of the period. </w:t>
      </w:r>
      <w:r>
        <w:rPr>
          <w:sz w:val="19"/>
          <w:szCs w:val="19"/>
        </w:rPr>
        <w:t xml:space="preserve">It is not added to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inventoriable   ·   needed   ·   freight-in   ·   expects   ·   direct   ·   recorded   ·   condition   ·   become   ·   capacity   ·   unusually   ·   freight-out   ·   expenses   ·   non-refundable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In the same way,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waste (unusual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idle time or extra freight) is an expense, not inventory cost. </w:t>
      </w:r>
      <w:r>
        <w:rPr>
          <w:sz w:val="19"/>
          <w:szCs w:val="19"/>
        </w:rPr>
        <w:t xml:space="preserve">Period costs include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customers, sales commissions, advertising, general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costs, and the storage of finished goods. </w:t>
      </w:r>
      <w:r>
        <w:rPr>
          <w:sz w:val="19"/>
          <w:szCs w:val="19"/>
        </w:rPr>
        <w:t xml:space="preserve">Interest on inventory that is produced routinely is also a period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spoilage   ·   administrative   ·   freight-out   ·   include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of imported glass bottles</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glass bottles for its Amman plant.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$20,000, and Orontes pays within the discount period, so it takes a 2% discount.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imports   ·   average   ·   invoice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cost of imported glass bottles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Inventory cost?</w:t>
            </w:r>
          </w:p>
        </w:tc>
      </w:tr>
      <w:tr>
        <w:tc>
          <w:tcPr>
            <w:tcW w:type="pct" w:w="2200"/>
            <w:tcMar>
              <w:top w:type="dxa" w:w="50"/>
              <w:left w:type="dxa" w:w="110"/>
              <w:bottom w:type="dxa" w:w="50"/>
              <w:right w:type="dxa" w:w="110"/>
            </w:tcMar>
          </w:tcPr>
          <w:p>
            <w:pPr>
              <w:spacing w:before="28" w:after="28"/>
            </w:pPr>
            <w:r>
              <w:rPr>
                <w:sz w:val="15"/>
                <w:szCs w:val="15"/>
              </w:rPr>
              <w:t xml:space="preserve">Invoice price</w:t>
            </w:r>
          </w:p>
        </w:tc>
        <w:tc>
          <w:tcPr>
            <w:tcW w:type="pct" w:w="758"/>
            <w:tcMar>
              <w:top w:type="dxa" w:w="50"/>
              <w:left w:type="dxa" w:w="110"/>
              <w:bottom w:type="dxa" w:w="50"/>
              <w:right w:type="dxa" w:w="110"/>
            </w:tcMar>
          </w:tcPr>
          <w:p>
            <w:pPr>
              <w:spacing w:before="28" w:after="28"/>
            </w:pPr>
            <w:r>
              <w:rPr>
                <w:sz w:val="15"/>
                <w:szCs w:val="15"/>
              </w:rPr>
              <w:t xml:space="preserve">20,000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Purchase discount taken</w:t>
            </w:r>
          </w:p>
        </w:tc>
        <w:tc>
          <w:tcPr>
            <w:tcW w:type="pct" w:w="758"/>
            <w:shd w:fill="FBFAF6" w:val="clear"/>
            <w:tcMar>
              <w:top w:type="dxa" w:w="50"/>
              <w:left w:type="dxa" w:w="110"/>
              <w:bottom w:type="dxa" w:w="50"/>
              <w:right w:type="dxa" w:w="110"/>
            </w:tcMar>
          </w:tcPr>
          <w:p>
            <w:pPr>
              <w:spacing w:before="28" w:after="28"/>
            </w:pPr>
            <w:r>
              <w:rPr>
                <w:sz w:val="15"/>
                <w:szCs w:val="15"/>
              </w:rPr>
              <w:t xml:space="preserve">(400)</w:t>
            </w:r>
          </w:p>
        </w:tc>
        <w:tc>
          <w:tcPr>
            <w:tcW w:type="pct" w:w="2042"/>
            <w:shd w:fill="FBFAF6" w:val="clear"/>
            <w:tcMar>
              <w:top w:type="dxa" w:w="50"/>
              <w:left w:type="dxa" w:w="110"/>
              <w:bottom w:type="dxa" w:w="50"/>
              <w:right w:type="dxa" w:w="110"/>
            </w:tcMar>
          </w:tcPr>
          <w:p>
            <w:pPr>
              <w:spacing w:before="28" w:after="28"/>
            </w:pPr>
            <w:r>
              <w:rPr>
                <w:sz w:val="15"/>
                <w:szCs w:val="15"/>
              </w:rPr>
              <w:t xml:space="preserve">Yes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cost)</w:t>
            </w:r>
          </w:p>
        </w:tc>
      </w:tr>
      <w:tr>
        <w:tc>
          <w:tcPr>
            <w:tcW w:type="pct" w:w="2200"/>
            <w:tcMar>
              <w:top w:type="dxa" w:w="50"/>
              <w:left w:type="dxa" w:w="110"/>
              <w:bottom w:type="dxa" w:w="50"/>
              <w:right w:type="dxa" w:w="110"/>
            </w:tcMar>
          </w:tcPr>
          <w:p>
            <w:pPr>
              <w:spacing w:before="28" w:after="28"/>
            </w:pPr>
            <w:r>
              <w:rPr>
                <w:sz w:val="15"/>
                <w:szCs w:val="15"/>
              </w:rPr>
              <w:t xml:space="preserve">Freight-in from the port to Amman</w:t>
            </w:r>
          </w:p>
        </w:tc>
        <w:tc>
          <w:tcPr>
            <w:tcW w:type="pct" w:w="758"/>
            <w:tcMar>
              <w:top w:type="dxa" w:w="50"/>
              <w:left w:type="dxa" w:w="110"/>
              <w:bottom w:type="dxa" w:w="50"/>
              <w:right w:type="dxa" w:w="110"/>
            </w:tcMar>
          </w:tcPr>
          <w:p>
            <w:pPr>
              <w:spacing w:before="28" w:after="28"/>
            </w:pPr>
            <w:r>
              <w:rPr>
                <w:sz w:val="15"/>
                <w:szCs w:val="15"/>
              </w:rPr>
              <w:t xml:space="preserve">1,200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Import duty (not refundable)</w:t>
            </w:r>
          </w:p>
        </w:tc>
        <w:tc>
          <w:tcPr>
            <w:tcW w:type="pct" w:w="758"/>
            <w:shd w:fill="FBFAF6" w:val="clear"/>
            <w:tcMar>
              <w:top w:type="dxa" w:w="50"/>
              <w:left w:type="dxa" w:w="110"/>
              <w:bottom w:type="dxa" w:w="50"/>
              <w:right w:type="dxa" w:w="110"/>
            </w:tcMar>
          </w:tcPr>
          <w:p>
            <w:pPr>
              <w:spacing w:before="28" w:after="28"/>
            </w:pPr>
            <w:r>
              <w:rPr>
                <w:sz w:val="15"/>
                <w:szCs w:val="15"/>
              </w:rPr>
              <w:t xml:space="preserve">900</w:t>
            </w:r>
          </w:p>
        </w:tc>
        <w:tc>
          <w:tcPr>
            <w:tcW w:type="pct" w:w="2042"/>
            <w:shd w:fill="FBFAF6" w:val="clear"/>
            <w:tcMar>
              <w:top w:type="dxa" w:w="50"/>
              <w:left w:type="dxa" w:w="110"/>
              <w:bottom w:type="dxa" w:w="50"/>
              <w:right w:type="dxa" w:w="110"/>
            </w:tcMar>
          </w:tcPr>
          <w:p>
            <w:pPr>
              <w:spacing w:before="28" w:after="28"/>
            </w:pPr>
            <w:r>
              <w:rPr>
                <w:sz w:val="15"/>
                <w:szCs w:val="15"/>
              </w:rPr>
              <w:t xml:space="preserve">Yes</w:t>
            </w:r>
          </w:p>
        </w:tc>
      </w:tr>
      <w:tr>
        <w:tc>
          <w:tcPr>
            <w:tcW w:type="pct" w:w="2200"/>
            <w:tcMar>
              <w:top w:type="dxa" w:w="50"/>
              <w:left w:type="dxa" w:w="110"/>
              <w:bottom w:type="dxa" w:w="50"/>
              <w:right w:type="dxa" w:w="110"/>
            </w:tcMar>
          </w:tcPr>
          <w:p>
            <w:pPr>
              <w:spacing w:before="28" w:after="28"/>
            </w:pPr>
            <w:r>
              <w:rPr>
                <w:sz w:val="15"/>
                <w:szCs w:val="15"/>
              </w:rPr>
              <w:t xml:space="preserve">Insurance while the bottles are in transit</w:t>
            </w:r>
          </w:p>
        </w:tc>
        <w:tc>
          <w:tcPr>
            <w:tcW w:type="pct" w:w="758"/>
            <w:tcMar>
              <w:top w:type="dxa" w:w="50"/>
              <w:left w:type="dxa" w:w="110"/>
              <w:bottom w:type="dxa" w:w="50"/>
              <w:right w:type="dxa" w:w="110"/>
            </w:tcMar>
          </w:tcPr>
          <w:p>
            <w:pPr>
              <w:spacing w:before="28" w:after="28"/>
            </w:pPr>
            <w:r>
              <w:rPr>
                <w:sz w:val="15"/>
                <w:szCs w:val="15"/>
              </w:rPr>
              <w:t xml:space="preserve">300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Freight-out when filled bottles go to customers</w:t>
            </w:r>
          </w:p>
        </w:tc>
        <w:tc>
          <w:tcPr>
            <w:tcW w:type="pct" w:w="758"/>
            <w:shd w:fill="FBFAF6" w:val="clear"/>
            <w:tcMar>
              <w:top w:type="dxa" w:w="50"/>
              <w:left w:type="dxa" w:w="110"/>
              <w:bottom w:type="dxa" w:w="50"/>
              <w:right w:type="dxa" w:w="110"/>
            </w:tcMar>
          </w:tcPr>
          <w:p>
            <w:pPr>
              <w:spacing w:before="28" w:after="28"/>
            </w:pPr>
            <w:r>
              <w:rPr>
                <w:sz w:val="15"/>
                <w:szCs w:val="15"/>
              </w:rPr>
              <w:t xml:space="preserve">700</w:t>
            </w:r>
          </w:p>
        </w:tc>
        <w:tc>
          <w:tcPr>
            <w:tcW w:type="pct" w:w="2042"/>
            <w:shd w:fill="FBFAF6" w:val="clear"/>
            <w:tcMar>
              <w:top w:type="dxa" w:w="50"/>
              <w:left w:type="dxa" w:w="110"/>
              <w:bottom w:type="dxa" w:w="50"/>
              <w:right w:type="dxa" w:w="110"/>
            </w:tcMar>
          </w:tcPr>
          <w:p>
            <w:pPr>
              <w:spacing w:before="28" w:after="28"/>
            </w:pPr>
            <w:r>
              <w:rPr>
                <w:sz w:val="15"/>
                <w:szCs w:val="15"/>
              </w:rPr>
              <w:t xml:space="preserve">No: selling expense</w:t>
            </w:r>
          </w:p>
        </w:tc>
      </w:tr>
      <w:tr>
        <w:tc>
          <w:tcPr>
            <w:tcW w:type="pct" w:w="2200"/>
            <w:tcMar>
              <w:top w:type="dxa" w:w="50"/>
              <w:left w:type="dxa" w:w="110"/>
              <w:bottom w:type="dxa" w:w="50"/>
              <w:right w:type="dxa" w:w="110"/>
            </w:tcMar>
          </w:tcPr>
          <w:p>
            <w:pPr>
              <w:spacing w:before="28" w:after="28"/>
            </w:pPr>
            <w:r>
              <w:rPr>
                <w:sz w:val="15"/>
                <w:szCs w:val="15"/>
              </w:rPr>
              <w:t xml:space="preserve">Storage of finished olive oil</w:t>
            </w:r>
          </w:p>
        </w:tc>
        <w:tc>
          <w:tcPr>
            <w:tcW w:type="pct" w:w="758"/>
            <w:tcMar>
              <w:top w:type="dxa" w:w="50"/>
              <w:left w:type="dxa" w:w="110"/>
              <w:bottom w:type="dxa" w:w="50"/>
              <w:right w:type="dxa" w:w="110"/>
            </w:tcMar>
          </w:tcPr>
          <w:p>
            <w:pPr>
              <w:spacing w:before="28" w:after="28"/>
            </w:pPr>
            <w:r>
              <w:rPr>
                <w:sz w:val="15"/>
                <w:szCs w:val="15"/>
              </w:rPr>
              <w:t xml:space="preserve">250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of the bottles in inventory</w:t>
            </w:r>
          </w:p>
        </w:tc>
        <w:tc>
          <w:tcPr>
            <w:tcW w:type="pct" w:w="758"/>
            <w:shd w:fill="FBFAF6" w:val="clear"/>
            <w:tcMar>
              <w:top w:type="dxa" w:w="50"/>
              <w:left w:type="dxa" w:w="110"/>
              <w:bottom w:type="dxa" w:w="50"/>
              <w:right w:type="dxa" w:w="110"/>
            </w:tcMar>
          </w:tcPr>
          <w:p>
            <w:pPr>
              <w:spacing w:before="28" w:after="28"/>
            </w:pPr>
            <w:r>
              <w:rPr>
                <w:sz w:val="15"/>
                <w:szCs w:val="15"/>
              </w:rPr>
              <w:t xml:space="preserve">22,000</w:t>
            </w:r>
          </w:p>
        </w:tc>
        <w:tc>
          <w:tcPr>
            <w:tcW w:type="pct" w:w="2042"/>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consignor   ·   No: period cost   ·   reduces</w:t>
            </w:r>
          </w:p>
        </w:tc>
      </w:tr>
    </w:tbl>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The two costs at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of the table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after the goods are ready for use. </w:t>
      </w:r>
      <w:r>
        <w:rPr>
          <w:sz w:val="19"/>
          <w:szCs w:val="19"/>
        </w:rPr>
        <w:t xml:space="preserve">They do not bring the bottles to their present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location, so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IAS 2 uses the same idea of cost and lists the same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abnormal waste, storage,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overheads and selling costs. </w:t>
      </w:r>
      <w:r>
        <w:rPr>
          <w:sz w:val="19"/>
          <w:szCs w:val="19"/>
        </w:rPr>
        <w:t xml:space="preserve">The big IFRS difference is in the next section: IAS 2 does not allow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condition   ·   administrative   ·   exclusions   ·   include   ·   bottom   ·   happen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waste   ·   purchase discount   ·   freight-in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freight-in</w:t>
            </w:r>
          </w:p>
        </w:tc>
        <w:tc>
          <w:tcPr>
            <w:tcW w:type="pct" w:w="2600"/>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waste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Which costs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inventoriable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bottom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freight-in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non-refundable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condition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exclusions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unusually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freight-in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purchase 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spoilage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abnormal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freight-out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 For goods that are made, cost also includes direct labor and production overhead. Fixed production overhead needs care. It is allocated to units on the basis of normal capacity: the output the plant expects on average over several periods. If output is unusually low, the fixed overhead that is not allocated is an expense of the period. It is not added to inventory.</w:t>
      </w:r>
    </w:p>
    <w:p>
      <w:pPr>
        <w:spacing w:before="20" w:after="20"/>
        <w:ind w:left="240" w:hanging="240"/>
      </w:pPr>
      <w:r>
        <w:rPr>
          <w:b/>
          <w:bCs/>
          <w:color w:val="353A7C"/>
          <w:sz w:val="15"/>
          <w:szCs w:val="15"/>
        </w:rPr>
        <w:t xml:space="preserve">Summary 2   </w:t>
      </w:r>
      <w:r>
        <w:rPr>
          <w:color w:val="6B7280"/>
          <w:sz w:val="15"/>
          <w:szCs w:val="15"/>
        </w:rPr>
        <w:t xml:space="preserve">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before="20" w:after="20"/>
        <w:ind w:left="240" w:hanging="240"/>
      </w:pPr>
      <w:r>
        <w:rPr>
          <w:b/>
          <w:bCs/>
          <w:color w:val="353A7C"/>
          <w:sz w:val="15"/>
          <w:szCs w:val="15"/>
        </w:rPr>
        <w:t xml:space="preserve">Summary 3   </w:t>
      </w:r>
      <w:r>
        <w:rPr>
          <w:color w:val="6B7280"/>
          <w:sz w:val="15"/>
          <w:szCs w:val="15"/>
        </w:rPr>
        <w:t xml:space="preserve">Orontes imports glass bottles for its Amman plant. The invoice is $20,000, and Orontes pays within the discount period, so it takes a 2% discount.</w:t>
      </w:r>
    </w:p>
    <w:p>
      <w:pPr>
        <w:spacing w:before="20" w:after="20"/>
        <w:ind w:left="240" w:hanging="240"/>
      </w:pPr>
      <w:r>
        <w:rPr>
          <w:b/>
          <w:bCs/>
          <w:color w:val="353A7C"/>
          <w:sz w:val="15"/>
          <w:szCs w:val="15"/>
        </w:rPr>
        <w:t xml:space="preserve">Summary 4   </w:t>
      </w:r>
      <w:r>
        <w:rPr>
          <w:color w:val="6B7280"/>
          <w:sz w:val="15"/>
          <w:szCs w:val="15"/>
        </w:rPr>
        <w:t xml:space="preserve">The two costs at the bottom of the table happen after the goods are ready for use. They do not bring the bottles to their present condition and location, so they are expenses. IAS 2 uses the same idea of cost and lists the same exclusions: abnormal waste, storage, administrative overheads and selling costs. The big IFRS difference is in the next section: IAS 2 does not allow LIFO.</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Cost flow assumptions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Unit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When a company sells some units and keeps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decide which costs go to cost of goods sold and which stay in ending inventory. </w:t>
      </w:r>
      <w:r>
        <w:rPr>
          <w:sz w:val="19"/>
          <w:szCs w:val="19"/>
        </w:rPr>
        <w:t xml:space="preserve">This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a cost flow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does not need to match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flow of the goods. </w:t>
      </w:r>
      <w:r>
        <w:rPr>
          <w:sz w:val="19"/>
          <w:szCs w:val="19"/>
        </w:rPr>
        <w:t xml:space="preserve">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tracks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of each item. </w:t>
      </w:r>
      <w:r>
        <w:rPr>
          <w:sz w:val="19"/>
          <w:szCs w:val="19"/>
        </w:rPr>
        <w:t xml:space="preserve">It suits unique,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items, such as cars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FIFO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first-out) sends the oldest costs to cost of goods sold. </w:t>
      </w:r>
      <w:r>
        <w:rPr>
          <w:sz w:val="19"/>
          <w:szCs w:val="19"/>
        </w:rPr>
        <w:t xml:space="preserve">Ending inventory holds the newest costs. </w:t>
      </w:r>
      <w:r>
        <w:rPr>
          <w:sz w:val="19"/>
          <w:szCs w:val="19"/>
        </w:rPr>
        <w:t xml:space="preserve">LIFO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first-out) sends the newest costs to cost of goods sold. </w:t>
      </w:r>
      <w:r>
        <w:rPr>
          <w:sz w:val="19"/>
          <w:szCs w:val="19"/>
        </w:rPr>
        <w:t xml:space="preserve">Ending inventory holds the oldest costs.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divides the cost of goods available by the units available and uses this one unit cost for both cost of goods sold and ending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   expensive   ·   first-in   ·   change   ·   Weighted-average   ·   last-in   ·   decision   ·   physical   ·   November   ·   others   ·   jewelry   ·   identification   ·   assumption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olive oil: three methods, one set of facts</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Orontes sells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olive oil in cases of twelve bottles.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rose during 2025. </w:t>
      </w:r>
      <w:r>
        <w:rPr>
          <w:sz w:val="19"/>
          <w:szCs w:val="19"/>
        </w:rPr>
        <w:t xml:space="preserve">Orontes began the year with 1,000 cases at $40. </w:t>
      </w:r>
      <w:r>
        <w:rPr>
          <w:sz w:val="19"/>
          <w:szCs w:val="19"/>
        </w:rPr>
        <w:t xml:space="preserve">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2,000 cases at $44, then 3,000 at $48, then 2,000 at $50. </w:t>
      </w:r>
      <w:r>
        <w:rPr>
          <w:sz w:val="19"/>
          <w:szCs w:val="19"/>
        </w:rPr>
        <w:t xml:space="preserve">It sold 6,000 cases at $70, so 2,000 cases are left. </w:t>
      </w:r>
      <w:r>
        <w:rPr>
          <w:sz w:val="19"/>
          <w:szCs w:val="19"/>
        </w:rPr>
        <w:t xml:space="preserve">The company uses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system. </w:t>
      </w:r>
      <w:r>
        <w:rPr>
          <w:sz w:val="19"/>
          <w:szCs w:val="19"/>
        </w:rPr>
        <w:t xml:space="preserve">Goods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8,000 cases costing $372,000.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premium   ·   Weighted-average   ·   Prices   ·   bought   ·   periodic</w:t>
            </w:r>
          </w:p>
        </w:tc>
      </w:tr>
    </w:tbl>
    <w:p/>
    <w:p>
      <w:pPr>
        <w:spacing w:before="44" w:after="10"/>
      </w:pPr>
      <w:r>
        <w:rPr>
          <w:b/>
          <w:bCs/>
          <w:color w:val="353A7C"/>
          <w:sz w:val="18"/>
          <w:szCs w:val="18"/>
        </w:rPr>
        <w:t xml:space="preserve">Orontes olive oil: three methods, one set of facts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   freight-in</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In each row, ending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plus cost of goods sold equals the cost of goods available. </w:t>
      </w:r>
      <w:r>
        <w:rPr>
          <w:sz w:val="19"/>
          <w:szCs w:val="19"/>
        </w:rPr>
        <w:t xml:space="preserve">Only the split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different   ·   inventory</w:t>
            </w:r>
          </w:p>
        </w:tc>
      </w:tr>
    </w:tbl>
    <w:p/>
    <w:p>
      <w:pPr>
        <w:pageBreakBefore w:val="true"/>
        <w:spacing w:after="0"/>
      </w:pPr>
      <w:r>
        <w:rPr>
          <w:sz w:val="2"/>
        </w:rPr>
        <w:t xml:space="preserve"> </w:t>
      </w:r>
    </w:p>
    <w:p>
      <w:pPr>
        <w:spacing w:before="44" w:after="10"/>
      </w:pPr>
      <w:r>
        <w:rPr>
          <w:b/>
          <w:bCs/>
          <w:color w:val="353A7C"/>
          <w:sz w:val="18"/>
          <w:szCs w:val="18"/>
        </w:rPr>
        <w:t xml:space="preserve">Olive oil: periodic versus perpetual results (whole USD)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(weighted / moving)   ·   goods available for sale</w:t>
            </w:r>
          </w:p>
        </w:tc>
      </w:tr>
    </w:tbl>
    <w:p/>
    <w:p>
      <w:pPr>
        <w:spacing w:before="44" w:after="14"/>
      </w:pPr>
      <w:r>
        <w:rPr>
          <w:b/>
          <w:bCs/>
          <w:color w:val="353A7C"/>
          <w:sz w:val="18"/>
          <w:szCs w:val="18"/>
        </w:rPr>
        <w:t xml:space="preserve">Summary 4</w:t>
      </w:r>
      <w:r>
        <w:rPr>
          <w:color w:val="6B7280"/>
          <w:sz w:val="16"/>
          <w:szCs w:val="16"/>
        </w:rPr>
        <w:t xml:space="preserve">      gaps 22–29</w:t>
      </w:r>
    </w:p>
    <w:p>
      <w:pPr>
        <w:spacing w:before="20" w:after="20" w:line="360" w:lineRule="auto"/>
        <w:ind w:left="200"/>
      </w:pPr>
      <w:r>
        <w:rPr>
          <w:sz w:val="19"/>
          <w:szCs w:val="19"/>
        </w:rPr>
        <w:t xml:space="preserve">In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inventory system, the company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the goods at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and calculates cost of goods sold for the whole period. </w:t>
      </w:r>
      <w:r>
        <w:rPr>
          <w:sz w:val="19"/>
          <w:szCs w:val="19"/>
        </w:rPr>
        <w:t xml:space="preserve">In a perpetual inventory system, it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inventory and cost of goods sold after every purchase and every sale. </w:t>
      </w:r>
      <w:r>
        <w:rPr>
          <w:sz w:val="19"/>
          <w:szCs w:val="19"/>
        </w:rPr>
        <w:t xml:space="preserve">The average method in a perpetual system is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average: the company calculates a new average after each purchase. </w:t>
      </w:r>
      <w:r>
        <w:rPr>
          <w:sz w:val="19"/>
          <w:szCs w:val="19"/>
        </w:rPr>
        <w:t xml:space="preserve">FIFO gives the same result in both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because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units are always sold first. </w:t>
      </w:r>
      <w:r>
        <w:rPr>
          <w:sz w:val="19"/>
          <w:szCs w:val="19"/>
        </w:rPr>
        <w:t xml:space="preserve">LIFO and the average method do not: under a perpetual system, each sale can only use the costs that exist on the date of the sale. </w:t>
      </w:r>
      <w:r>
        <w:rPr>
          <w:sz w:val="19"/>
          <w:szCs w:val="19"/>
        </w:rPr>
        <w:t xml:space="preserve">The sales took place in April, August and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periodic   ·   oldest   ·   perpetual   ·   updates   ·   November   ·   systems   ·   counts   ·   moving   ·   year-end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Periodic LIFO for Dubai pastry trays</w:t>
            </w:r>
          </w:p>
        </w:tc>
      </w:tr>
    </w:tbl>
    <w:p/>
    <w:p>
      <w:pPr>
        <w:spacing w:before="44" w:after="14"/>
      </w:pPr>
      <w:r>
        <w:rPr>
          <w:b/>
          <w:bCs/>
          <w:color w:val="353A7C"/>
          <w:sz w:val="18"/>
          <w:szCs w:val="18"/>
        </w:rPr>
        <w:t xml:space="preserve">Summary 5</w:t>
      </w:r>
      <w:r>
        <w:rPr>
          <w:color w:val="6B7280"/>
          <w:sz w:val="16"/>
          <w:szCs w:val="16"/>
        </w:rPr>
        <w:t xml:space="preserve">      gaps 30–35</w:t>
      </w:r>
    </w:p>
    <w:p>
      <w:pPr>
        <w:spacing w:before="20" w:after="20" w:line="360" w:lineRule="auto"/>
        <w:ind w:left="200"/>
      </w:pPr>
      <w:r>
        <w:rPr>
          <w:sz w:val="19"/>
          <w:szCs w:val="19"/>
        </w:rPr>
        <w:t xml:space="preserve">The Dubai plant had 3,000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pastry trays available in 2025,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$68,000. </w:t>
      </w:r>
      <w:r>
        <w:rPr>
          <w:sz w:val="19"/>
          <w:szCs w:val="19"/>
        </w:rPr>
        <w:t xml:space="preserve">It sold 2,200 trays.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 dashed boxes below using periodic LIFO. </w:t>
      </w:r>
      <w:r>
        <w:rPr>
          <w:sz w:val="19"/>
          <w:szCs w:val="19"/>
        </w:rPr>
        <w:t xml:space="preserve">Then check that cost of goods sold plus ending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equals the cost of goods available. </w:t>
      </w:r>
      <w:r>
        <w:rPr>
          <w:sz w:val="19"/>
          <w:szCs w:val="19"/>
        </w:rPr>
        <w:t xml:space="preserve">IAS 2 allows FIFO and the weighted average, and it requires specific identification for items that are not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It does not allow LIFO. </w:t>
      </w:r>
      <w:r>
        <w:rPr>
          <w:sz w:val="19"/>
          <w:szCs w:val="19"/>
        </w:rPr>
        <w:t xml:space="preserve">You will compare the two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again.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perpetual   ·   frozen   ·   inventory   ·   Complete   ·   interchangeable   ·   frameworks   ·   costing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Talking about time and order</w:t>
            </w:r>
          </w:p>
        </w:tc>
      </w:tr>
    </w:tbl>
    <w:p/>
    <w:p>
      <w:pPr>
        <w:spacing w:before="20" w:after="20" w:line="360" w:lineRule="auto"/>
        <w:ind w:left="200"/>
      </w:pPr>
      <w:r>
        <w:rPr>
          <w:sz w:val="19"/>
          <w:szCs w:val="19"/>
        </w:rPr>
        <w:t xml:space="preserve">Under LIFO, the company adds a layer when it buys more than it sells. A company can use LIFO even if it ships its oldest bottles first.</w:t>
      </w:r>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moving average   ·   LIFO conformity rule   ·   LIFO (last-in, first-out)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596"/>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r>
        <w:tc>
          <w:tcPr>
            <w:tcW w:type="pct" w:w="2404"/>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596"/>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4"/>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596"/>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404"/>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596"/>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4"/>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596"/>
            <w:tcMar>
              <w:top w:type="dxa" w:w="50"/>
              <w:left w:type="dxa" w:w="110"/>
              <w:bottom w:type="dxa" w:w="50"/>
              <w:right w:type="dxa" w:w="110"/>
            </w:tcMar>
          </w:tcPr>
          <w:p>
            <w:pPr>
              <w:spacing w:before="26" w:after="26"/>
            </w:pPr>
            <w:r>
              <w:rPr>
                <w:color w:val="232733"/>
                <w:sz w:val="16"/>
                <w:szCs w:val="16"/>
              </w:rPr>
              <w:t xml:space="preserve">البضاعة المتاحة للبيع</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Cost flow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Average (weighted / 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updates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jewelry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oldest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first-in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November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last-in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frozen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interchangeable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specific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LIFO</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LIFO (last-in, first-out)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moving average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 It suits unique, expensive items, such as cars or jewelry. FIFO (first-in, first-out) sends the oldest costs to cost of goods sold. Ending inventory holds the newest costs. LIFO (last-in, first-out) sends the newest costs to cost of goods sold. Ending inventory holds the oldest costs. Weighted-average cost divides the cost of goods available by the units available and uses this one unit cost for both cost of goods sold and ending inventory.</w:t>
      </w:r>
    </w:p>
    <w:p>
      <w:pPr>
        <w:spacing w:before="20" w:after="20"/>
        <w:ind w:left="240" w:hanging="240"/>
      </w:pPr>
      <w:r>
        <w:rPr>
          <w:b/>
          <w:bCs/>
          <w:color w:val="353A7C"/>
          <w:sz w:val="15"/>
          <w:szCs w:val="15"/>
        </w:rPr>
        <w:t xml:space="preserve">Summary 2   </w:t>
      </w:r>
      <w:r>
        <w:rPr>
          <w:color w:val="6B7280"/>
          <w:sz w:val="15"/>
          <w:szCs w:val="15"/>
        </w:rPr>
        <w:t xml:space="preserve">Orontes sells premium olive oil in cases of twelve bottles. Prices rose during 2025. Orontes began the year with 1,000 cases at $40. It bought 2,000 cases at $44, then 3,000 at $48, then 2,000 at $50. It sold 6,000 cases at $70, so 2,000 cases are left. The company uses a periodic system. Goods available: 8,000 cases costing $372,000.</w:t>
      </w:r>
    </w:p>
    <w:p>
      <w:pPr>
        <w:spacing w:before="20" w:after="20"/>
        <w:ind w:left="240" w:hanging="240"/>
      </w:pPr>
      <w:r>
        <w:rPr>
          <w:b/>
          <w:bCs/>
          <w:color w:val="353A7C"/>
          <w:sz w:val="15"/>
          <w:szCs w:val="15"/>
        </w:rPr>
        <w:t xml:space="preserve">Summary 3   </w:t>
      </w:r>
      <w:r>
        <w:rPr>
          <w:color w:val="6B7280"/>
          <w:sz w:val="15"/>
          <w:szCs w:val="15"/>
        </w:rPr>
        <w:t xml:space="preserve">In each row, ending inventory plus cost of goods sold equals the cost of goods available. Only the split is different.</w:t>
      </w:r>
    </w:p>
    <w:p>
      <w:pPr>
        <w:spacing w:before="20" w:after="20"/>
        <w:ind w:left="240" w:hanging="240"/>
      </w:pPr>
      <w:r>
        <w:rPr>
          <w:b/>
          <w:bCs/>
          <w:color w:val="353A7C"/>
          <w:sz w:val="15"/>
          <w:szCs w:val="15"/>
        </w:rPr>
        <w:t xml:space="preserve">Summary 4   </w:t>
      </w:r>
      <w:r>
        <w:rPr>
          <w:color w:val="6B7280"/>
          <w:sz w:val="15"/>
          <w:szCs w:val="15"/>
        </w:rPr>
        <w:t xml:space="preserve">In a periodic inventory system, the company counts the goods at year-end and calculates cost of goods sold for the whole period. In a perpetual inventory system, it updates inventory and cost of goods sold after every purchase and every sale. The average method in a perpetual system is the moving average: the company calculates a new average after each purchase. FIFO gives the same result in both systems, because the oldest units are always sold first. LIFO and the average method do not: under a perpetual system, each sale can only use the costs that exist on the date of the sale. The sales took place in April, August and November.</w:t>
      </w:r>
    </w:p>
    <w:p>
      <w:pPr>
        <w:spacing w:before="20" w:after="20"/>
        <w:ind w:left="240" w:hanging="240"/>
      </w:pPr>
      <w:r>
        <w:rPr>
          <w:b/>
          <w:bCs/>
          <w:color w:val="353A7C"/>
          <w:sz w:val="15"/>
          <w:szCs w:val="15"/>
        </w:rPr>
        <w:t xml:space="preserve">Summary 5   </w:t>
      </w:r>
      <w:r>
        <w:rPr>
          <w:color w:val="6B7280"/>
          <w:sz w:val="15"/>
          <w:szCs w:val="15"/>
        </w:rPr>
        <w:t xml:space="preserve">The Dubai plant had 3,000 frozen pastry trays available in 2025, costing $68,000. It sold 2,200 trays. Complete the dashed boxes below using periodic LIFO. Then check that cost of goods sold plus ending inventory equals the cost of goods available. IAS 2 allows FIFO and the weighted average, and it requires specific identification for items that are not interchangeable. It does not allow LIFO. You will compare the two frameworks again.</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Effects on income, taxes and assets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prices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methods give 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results. </w:t>
      </w:r>
      <w:r>
        <w:rPr>
          <w:sz w:val="19"/>
          <w:szCs w:val="19"/>
        </w:rPr>
        <w:t xml:space="preserve">FIFO puts the old,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into cost of goods sold. </w:t>
      </w:r>
      <w:r>
        <w:rPr>
          <w:sz w:val="19"/>
          <w:szCs w:val="19"/>
        </w:rPr>
        <w:t xml:space="preserve">So FIFO gives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goods sold, the highest gross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highest income tax and the highest ending inventory. </w:t>
      </w:r>
      <w:r>
        <w:rPr>
          <w:sz w:val="19"/>
          <w:szCs w:val="19"/>
        </w:rPr>
        <w:t xml:space="preserve">LIFO gives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average falls in between. </w:t>
      </w:r>
      <w:r>
        <w:rPr>
          <w:sz w:val="19"/>
          <w:szCs w:val="19"/>
        </w:rPr>
        <w:t xml:space="preserve">When prices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these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reverse. </w:t>
      </w:r>
      <w:r>
        <w:rPr>
          <w:sz w:val="19"/>
          <w:szCs w:val="19"/>
        </w:rPr>
        <w:t xml:space="preserve">Each method has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LIFO matches current costs with current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its income is closer to current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reality, but its balance sheet shows old costs. </w:t>
      </w:r>
      <w:r>
        <w:rPr>
          <w:sz w:val="19"/>
          <w:szCs w:val="19"/>
        </w:rPr>
        <w:t xml:space="preserve">FIFO shows ending inventory close to current cost, but its income includes gains from holding inventory while prices rise. </w:t>
      </w:r>
      <w:r>
        <w:rPr>
          <w:sz w:val="19"/>
          <w:szCs w:val="19"/>
        </w:rPr>
        <w:t xml:space="preserve">Companies that use LIFO must help readers compare them with FIFO companies. </w:t>
      </w:r>
      <w:r>
        <w:rPr>
          <w:sz w:val="19"/>
          <w:szCs w:val="19"/>
        </w:rPr>
        <w:t xml:space="preserve">The LIFO reserve is the difference between FIFO (or current cost) inventory and LIFO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falling   ·   economic   ·   opposite   ·   cheaper   ·   lowest   ·   strength   ·   profit   ·   relationships   ·   rising   ·   weighted   ·   holding   ·   revenues   ·   different</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For Orontes, the LIFO reserve at the end of 2025 is $100,000 − $84,000 = $16,000. </w:t>
      </w: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convert LIFO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FIFO with two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FIFO inventory equals LIFO inventory plus the LIFO reserve. </w:t>
      </w:r>
      <w:r>
        <w:rPr>
          <w:sz w:val="19"/>
          <w:szCs w:val="19"/>
        </w:rPr>
        <w:t xml:space="preserve">FIFO cost of goods sold equals LIFO cost of goods sold minus the increase in the LIFO reserve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year.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year with no reserve, so the increase is $16,000, and FIFO cost of goods sold is $288,000 − $16,000 = $272,000. </w:t>
      </w:r>
      <w:r>
        <w:rPr>
          <w:sz w:val="19"/>
          <w:szCs w:val="19"/>
        </w:rPr>
        <w:t xml:space="preserve">At an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tax rate of 25%, LIFO saved $4,000 of tax this year. </w:t>
      </w:r>
      <w:r>
        <w:rPr>
          <w:sz w:val="19"/>
          <w:szCs w:val="19"/>
        </w:rPr>
        <w:t xml:space="preserve">If a LIFO company sells more units than it buys, old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layers flow into cost of goods sold.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rises for one year. </w:t>
      </w:r>
      <w:r>
        <w:rPr>
          <w:sz w:val="19"/>
          <w:szCs w:val="19"/>
        </w:rPr>
        <w:t xml:space="preserve">This is not a lasting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the company should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if it 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This is a U.S. tax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started   ·   results   ·   low-cost   ·   illustrative   ·   liquidation   ·   analyst   ·   during   ·   material   ·   improvement   ·   Income   ·   relationships   ·   disclose</w:t>
            </w:r>
          </w:p>
        </w:tc>
      </w:tr>
    </w:tbl>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A company that uses LIFO for its tax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must also use LIFO in its financial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This is why U.S. companies that want the tax benefit of LIFO also report lower LIFO profits to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low-cost   ·   return   ·   statements   ·   investors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Signs and directions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To get FIFO cost of goods sold,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increase in the LIFO reserve from LIFO cost of goods sold. </w:t>
      </w:r>
      <w:r>
        <w:rPr>
          <w:sz w:val="19"/>
          <w:szCs w:val="19"/>
        </w:rPr>
        <w:t xml:space="preserve">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prices, LIFO gives LOWER income and LOWER taxes, not higher. </w:t>
      </w:r>
      <w:r>
        <w:rPr>
          <w:sz w:val="19"/>
          <w:szCs w:val="19"/>
        </w:rPr>
        <w:t xml:space="preserve">A LIFO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raises income once. </w:t>
      </w:r>
      <w:r>
        <w:rPr>
          <w:sz w:val="19"/>
          <w:szCs w:val="19"/>
        </w:rPr>
        <w:t xml:space="preserve">Do not treat it as a better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Periodic and perpetual LIFO give different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SUBTRACT   ·   holding   ·   rising   ·   liquidation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does not mean reserve</w:t>
            </w:r>
          </w:p>
        </w:tc>
      </w:tr>
    </w:tbl>
    <w:p/>
    <w:p>
      <w:pPr>
        <w:spacing w:before="44" w:after="14"/>
      </w:pPr>
      <w:r>
        <w:rPr>
          <w:b/>
          <w:bCs/>
          <w:color w:val="353A7C"/>
          <w:sz w:val="18"/>
          <w:szCs w:val="18"/>
        </w:rPr>
        <w:t xml:space="preserve">Summary 5</w:t>
      </w:r>
      <w:r>
        <w:rPr>
          <w:color w:val="6B7280"/>
          <w:sz w:val="16"/>
          <w:szCs w:val="16"/>
        </w:rPr>
        <w:t xml:space="preserve">      gaps 31–32</w:t>
      </w:r>
    </w:p>
    <w:p>
      <w:pPr>
        <w:spacing w:before="20" w:after="20" w:line="360" w:lineRule="auto"/>
        <w:ind w:left="200"/>
      </w:pPr>
      <w:r>
        <w:rPr>
          <w:sz w:val="19"/>
          <w:szCs w:val="19"/>
        </w:rPr>
        <w:t xml:space="preserve">The LIFO reserve is not an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reserve. </w:t>
      </w:r>
      <w:r>
        <w:rPr>
          <w:sz w:val="19"/>
          <w:szCs w:val="19"/>
        </w:rPr>
        <w:t xml:space="preserve">It is only the difference between two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amounts. </w:t>
      </w:r>
      <w:r>
        <w:rPr>
          <w:sz w:val="19"/>
          <w:szCs w:val="19"/>
        </w:rPr>
        <w:t xml:space="preserve">It is sometimes called the LIFO allowance or revaluation to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inventory   ·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LIFO conformity rule   ·   LIFO reserve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LIFO reserve</w:t>
            </w:r>
          </w:p>
        </w:tc>
        <w:tc>
          <w:tcPr>
            <w:tcW w:type="pct" w:w="2600"/>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r>
        <w:tc>
          <w:tcPr>
            <w:tcW w:type="pct" w:w="2400"/>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Effects on income, taxes and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illustrative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low-cost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cheaper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weighted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falling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strength</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liquidation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analyst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LIFO 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LIFO conformity rule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relationships reverse. Each method has a strength. LIFO matches current costs with current revenues, so its income is closer to current economic reality, but its balance sheet shows old costs. FIFO shows ending inventory close to current cost, but its income includes gains from holding inventory while prices rise. Companies that use LIFO must help readers compare them with FIFO companies. The LIFO reserve is the difference between FIFO (or current cost) inventory and LIFO inventory.</w:t>
      </w:r>
    </w:p>
    <w:p>
      <w:pPr>
        <w:spacing w:before="20" w:after="20"/>
        <w:ind w:left="240" w:hanging="240"/>
      </w:pPr>
      <w:r>
        <w:rPr>
          <w:b/>
          <w:bCs/>
          <w:color w:val="353A7C"/>
          <w:sz w:val="15"/>
          <w:szCs w:val="15"/>
        </w:rPr>
        <w:t xml:space="preserve">Summary 2   </w:t>
      </w:r>
      <w:r>
        <w:rPr>
          <w:color w:val="6B7280"/>
          <w:sz w:val="15"/>
          <w:szCs w:val="15"/>
        </w:rPr>
        <w:t xml:space="preserve">For Orontes, the LIFO reserve at the end of 2025 is $100,000 − $84,000 = $16,000. An analyst can convert LIFO results to FIFO with two relationships. FIFO inventory equals LIFO inventory plus the LIFO reserve. FIFO cost of goods sold equals LIFO cost of goods sold minus the increase in the LIFO reserve during the year. Orontes started the year with no reserve, so the increase is $16,000, and FIFO cost of goods sold is $288,000 − $16,000 = $272,000. At an illustrative tax rate of 25%, LIFO saved $4,000 of tax this year. If a LIFO company sells more units than it buys, old low-cost layers flow into cost of goods sold. Income rises for one year. This is not a lasting improvement, and the company should disclose it if it is material. This is a U.S. tax rule.</w:t>
      </w:r>
    </w:p>
    <w:p>
      <w:pPr>
        <w:spacing w:before="20" w:after="20"/>
        <w:ind w:left="240" w:hanging="240"/>
      </w:pPr>
      <w:r>
        <w:rPr>
          <w:b/>
          <w:bCs/>
          <w:color w:val="353A7C"/>
          <w:sz w:val="15"/>
          <w:szCs w:val="15"/>
        </w:rPr>
        <w:t xml:space="preserve">Summary 3   </w:t>
      </w:r>
      <w:r>
        <w:rPr>
          <w:color w:val="6B7280"/>
          <w:sz w:val="15"/>
          <w:szCs w:val="15"/>
        </w:rPr>
        <w:t xml:space="preserve">A company that uses LIFO for its tax return must also use LIFO in its financial statements. This is why U.S. companies that want the tax benefit of LIFO also report lower LIFO profits to investors.</w:t>
      </w:r>
    </w:p>
    <w:p>
      <w:pPr>
        <w:spacing w:before="20" w:after="20"/>
        <w:ind w:left="240" w:hanging="240"/>
      </w:pPr>
      <w:r>
        <w:rPr>
          <w:b/>
          <w:bCs/>
          <w:color w:val="353A7C"/>
          <w:sz w:val="15"/>
          <w:szCs w:val="15"/>
        </w:rPr>
        <w:t xml:space="preserve">Summary 4   </w:t>
      </w:r>
      <w:r>
        <w:rPr>
          <w:color w:val="6B7280"/>
          <w:sz w:val="15"/>
          <w:szCs w:val="15"/>
        </w:rPr>
        <w:t xml:space="preserve">To get FIFO cost of goods sold, SUBTRACT the increase in the LIFO reserve from LIFO cost of goods sold. In rising prices, LIFO gives LOWER income and LOWER taxes, not higher. A LIFO liquidation raises income once. Do not treat it as a better business. Periodic and perpetual LIFO give different answers.</w:t>
      </w:r>
    </w:p>
    <w:p>
      <w:pPr>
        <w:spacing w:before="20" w:after="20"/>
        <w:ind w:left="240" w:hanging="240"/>
      </w:pPr>
      <w:r>
        <w:rPr>
          <w:b/>
          <w:bCs/>
          <w:color w:val="353A7C"/>
          <w:sz w:val="15"/>
          <w:szCs w:val="15"/>
        </w:rPr>
        <w:t xml:space="preserve">Summary 5   </w:t>
      </w:r>
      <w:r>
        <w:rPr>
          <w:color w:val="6B7280"/>
          <w:sz w:val="15"/>
          <w:szCs w:val="15"/>
        </w:rPr>
        <w:t xml:space="preserve">The LIFO reserve is not an equity reserve. It is only the difference between two inventory amounts. It is sometimes called the LIFO allowance or revaluation to LIFO.</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Inventory errors</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Cost of goods sold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count: beginning inventory plus purchases minus ending inventory. </w:t>
      </w:r>
      <w:r>
        <w:rPr>
          <w:sz w:val="19"/>
          <w:szCs w:val="19"/>
        </w:rPr>
        <w:t xml:space="preserve">If ending inventory is wrong, cost of goods sold is wrong in the same year. </w:t>
      </w:r>
      <w:r>
        <w:rPr>
          <w:sz w:val="19"/>
          <w:szCs w:val="19"/>
        </w:rPr>
        <w:t xml:space="preserve">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this year's ending inventory is next year's beginning inventory, the error moves into the next year too. </w:t>
      </w:r>
      <w:r>
        <w:rPr>
          <w:sz w:val="19"/>
          <w:szCs w:val="19"/>
        </w:rPr>
        <w:t xml:space="preserve">At the end of 2025,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counted some goods twice, so ending inventory was overstated by 40 (USD 000). </w:t>
      </w:r>
      <w:r>
        <w:rPr>
          <w:sz w:val="19"/>
          <w:szCs w:val="19"/>
        </w:rPr>
        <w:t xml:space="preserve">Cost of goods sold was understated by 40, so pretax income was overstated by 40. </w:t>
      </w:r>
      <w:r>
        <w:rPr>
          <w:sz w:val="19"/>
          <w:szCs w:val="19"/>
        </w:rPr>
        <w:t xml:space="preserve">In 2026, beginning inventory was too high, so cost of goods sold was overstated and pretax income was understated by 40. </w:t>
      </w:r>
      <w:r>
        <w:rPr>
          <w:sz w:val="19"/>
          <w:szCs w:val="19"/>
        </w:rPr>
        <w:t xml:space="preserve">Over the two years, the two errors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earnings are overstated at the end of 2025 but correct at the end of 2026. </w:t>
      </w:r>
      <w:r>
        <w:rPr>
          <w:sz w:val="19"/>
          <w:szCs w:val="19"/>
        </w:rPr>
        <w:t xml:space="preserve">This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tax effect: at a 25% tax rate, net income was overstated by only 30 in the first year. </w:t>
      </w:r>
      <w:r>
        <w:rPr>
          <w:sz w:val="19"/>
          <w:szCs w:val="19"/>
        </w:rPr>
        <w:t xml:space="preserve">Errors in purchases work in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w:t>
      </w:r>
      <w:r>
        <w:rPr>
          <w:sz w:val="19"/>
          <w:szCs w:val="19"/>
        </w:rPr>
        <w:t xml:space="preserve">Row 3 is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exam item: when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left out of both purchases and the count, cost of goods sold and income are still correct, but inventory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payable are both understated.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   ·   because   ·   inventory   ·   Retained   ·   cancel   ·   Orontes   ·   Remember   ·   accounts   ·   classic   ·   similar   ·   counterbalancing   ·   depends</w:t>
            </w:r>
          </w:p>
        </w:tc>
      </w:tr>
    </w:tbl>
    <w:p/>
    <w:p>
      <w:pPr>
        <w:spacing w:before="44" w:after="10"/>
      </w:pPr>
      <w:r>
        <w:rPr>
          <w:b/>
          <w:bCs/>
          <w:color w:val="353A7C"/>
          <w:sz w:val="18"/>
          <w:szCs w:val="18"/>
        </w:rPr>
        <w:t xml:space="preserve">Effects of four common inventory errors (O = overstated, U = understated)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Ending inventory overstated   ·   2. Ending inventory understated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If a company finds an error from a prior year, it corrects the error by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prior-year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with an adjustment to beginning retained earnings (ASC 250). </w:t>
      </w:r>
      <w:r>
        <w:rPr>
          <w:sz w:val="19"/>
          <w:szCs w:val="19"/>
        </w:rPr>
        <w:t xml:space="preserve">If the error has already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retained earnings need no adjustment, but the prior-year income figures shown for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are still restated.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restating   ·   statements   ·   consignment   ·   counterbalanced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 and under-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tells you the direction. </w:t>
      </w:r>
      <w:r>
        <w:rPr>
          <w:sz w:val="19"/>
          <w:szCs w:val="19"/>
        </w:rPr>
        <w:t xml:space="preserve">Net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overstated by 40 (the size of the error), not overstated to 940. </w:t>
      </w:r>
      <w:r>
        <w:rPr>
          <w:sz w:val="19"/>
          <w:szCs w:val="19"/>
        </w:rPr>
        <w:t xml:space="preserve">In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find the direction for the first year, then reverse it for the second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question   ·   prefix   ·   correct</w:t>
            </w:r>
          </w:p>
        </w:tc>
      </w:tr>
    </w:tbl>
    <w:p/>
    <w:p>
      <w:pPr>
        <w:spacing w:before="44" w:after="10"/>
      </w:pPr>
      <w:r>
        <w:rPr>
          <w:b/>
          <w:bCs/>
          <w:color w:val="353A7C"/>
          <w:sz w:val="18"/>
          <w:szCs w:val="18"/>
        </w:rPr>
        <w:t xml:space="preserve">Over- and under-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 1   ·   M3   ·   counterbalancing error   ·   M2   ·   M1   ·   Sep 21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COGS, line 2: 1,200 × $22</w:t>
            </w:r>
          </w:p>
        </w:tc>
        <w:tc>
          <w:tcPr>
            <w:tcW w:type="pct" w:w="2600"/>
            <w:tcMar>
              <w:top w:type="dxa" w:w="50"/>
              <w:left w:type="dxa" w:w="110"/>
              <w:bottom w:type="dxa" w:w="50"/>
              <w:right w:type="dxa" w:w="110"/>
            </w:tcMar>
          </w:tcPr>
          <w:p>
            <w:pPr>
              <w:spacing w:before="28" w:after="28"/>
            </w:pPr>
            <w:r>
              <w:rPr>
                <w:sz w:val="15"/>
                <w:szCs w:val="15"/>
              </w:rPr>
              <w:t xml:space="preserve">$26,400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inventory, line 1: 300 × $22</w:t>
            </w:r>
          </w:p>
        </w:tc>
        <w:tc>
          <w:tcPr>
            <w:tcW w:type="pct" w:w="2600"/>
            <w:shd w:fill="FBFAF6" w:val="clear"/>
            <w:tcMar>
              <w:top w:type="dxa" w:w="50"/>
              <w:left w:type="dxa" w:w="110"/>
              <w:bottom w:type="dxa" w:w="50"/>
              <w:right w:type="dxa" w:w="110"/>
            </w:tcMar>
          </w:tcPr>
          <w:p>
            <w:pPr>
              <w:spacing w:before="28" w:after="28"/>
            </w:pPr>
            <w:r>
              <w:rPr>
                <w:sz w:val="15"/>
                <w:szCs w:val="15"/>
              </w:rPr>
              <w:t xml:space="preserve">$6,600</w:t>
            </w:r>
          </w:p>
        </w:tc>
      </w:tr>
      <w:tr>
        <w:tc>
          <w:tcPr>
            <w:tcW w:type="pct" w:w="2400"/>
            <w:tcMar>
              <w:top w:type="dxa" w:w="50"/>
              <w:left w:type="dxa" w:w="110"/>
              <w:bottom w:type="dxa" w:w="50"/>
              <w:right w:type="dxa" w:w="110"/>
            </w:tcMar>
          </w:tcPr>
          <w:p>
            <w:pPr>
              <w:spacing w:before="28" w:after="28"/>
            </w:pPr>
            <w:r>
              <w:rPr>
                <w:sz w:val="15"/>
                <w:szCs w:val="15"/>
              </w:rPr>
              <w:t xml:space="preserve">Ending inventory, line 2: 500 × $20</w:t>
            </w:r>
          </w:p>
        </w:tc>
        <w:tc>
          <w:tcPr>
            <w:tcW w:type="pct" w:w="2600"/>
            <w:tcMar>
              <w:top w:type="dxa" w:w="50"/>
              <w:left w:type="dxa" w:w="110"/>
              <w:bottom w:type="dxa" w:w="50"/>
              <w:right w:type="dxa" w:w="110"/>
            </w:tcMar>
          </w:tcPr>
          <w:p>
            <w:pPr>
              <w:spacing w:before="28" w:after="28"/>
            </w:pPr>
            <w:r>
              <w:rPr>
                <w:sz w:val="15"/>
                <w:szCs w:val="15"/>
              </w:rPr>
              <w:t xml:space="preserve">$10,000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COGS</w:t>
            </w:r>
          </w:p>
        </w:tc>
        <w:tc>
          <w:tcPr>
            <w:tcW w:type="pct" w:w="2600"/>
            <w:shd w:fill="FBFAF6" w:val="clear"/>
            <w:tcMar>
              <w:top w:type="dxa" w:w="50"/>
              <w:left w:type="dxa" w:w="110"/>
              <w:bottom w:type="dxa" w:w="50"/>
              <w:right w:type="dxa" w:w="110"/>
            </w:tcMar>
          </w:tcPr>
          <w:p>
            <w:pPr>
              <w:spacing w:before="28" w:after="28"/>
            </w:pPr>
            <w:r>
              <w:rPr>
                <w:sz w:val="15"/>
                <w:szCs w:val="15"/>
              </w:rPr>
              <w:t xml:space="preserve">$25,000 + $26,400 = $51,400</w:t>
            </w:r>
          </w:p>
        </w:tc>
      </w:tr>
      <w:tr>
        <w:tc>
          <w:tcPr>
            <w:tcW w:type="pct" w:w="2400"/>
            <w:tcMar>
              <w:top w:type="dxa" w:w="50"/>
              <w:left w:type="dxa" w:w="110"/>
              <w:bottom w:type="dxa" w:w="50"/>
              <w:right w:type="dxa" w:w="110"/>
            </w:tcMar>
          </w:tcPr>
          <w:p>
            <w:pPr>
              <w:spacing w:before="28" w:after="28"/>
            </w:pPr>
            <w:r>
              <w:rPr>
                <w:sz w:val="15"/>
                <w:szCs w:val="15"/>
              </w:rPr>
              <w:t xml:space="preserve">Total ending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Check</w:t>
            </w:r>
          </w:p>
        </w:tc>
        <w:tc>
          <w:tcPr>
            <w:tcW w:type="pct" w:w="2600"/>
            <w:shd w:fill="FBFAF6" w:val="clear"/>
            <w:tcMar>
              <w:top w:type="dxa" w:w="50"/>
              <w:left w:type="dxa" w:w="110"/>
              <w:bottom w:type="dxa" w:w="50"/>
              <w:right w:type="dxa" w:w="110"/>
            </w:tcMar>
          </w:tcPr>
          <w:p>
            <w:pPr>
              <w:spacing w:before="28" w:after="28"/>
            </w:pPr>
            <w:r>
              <w:rPr>
                <w:sz w:val="15"/>
                <w:szCs w:val="15"/>
              </w:rPr>
              <w:t xml:space="preserve">$51,400 + $16,600 = $68,000, the cost of goods </w:t>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$6,600 + $10,000 = $16,600   ·   available   ·   freight-out</w:t>
            </w:r>
          </w:p>
        </w:tc>
      </w:tr>
    </w:tbl>
    <w:p/>
    <w:p>
      <w:pPr>
        <w:pageBreakBefore w:val="true"/>
        <w:spacing w:after="0"/>
      </w:pPr>
      <w:r>
        <w:rPr>
          <w:sz w:val="2"/>
        </w:rPr>
        <w:t xml:space="preserve"> </w:t>
      </w:r>
    </w:p>
    <w:p>
      <w:pPr>
        <w:spacing w:before="44" w:after="10"/>
      </w:pPr>
      <w:r>
        <w:rPr>
          <w:b/>
          <w:bCs/>
          <w:color w:val="353A7C"/>
          <w:sz w:val="18"/>
          <w:szCs w:val="18"/>
        </w:rPr>
        <w:t xml:space="preserve">Memo item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M4 (at a Doha consignee)   ·   M2 (FOB destination, sold)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تكلفة البضاعة المباعة   ·   cost of goods sold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Inventory errors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prefix</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cancel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Retained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Jan 1</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counterbalancing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Sep 21</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Remember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M1</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M2</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M3</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$6,600 + $10,000 = $16,600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1. Ending inventory overstated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M2 (FOB destination,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restating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M4 (at a Doha 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counterbalanced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cost of goods sold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 At the end of 2025, Orontes counted some goods twice, so ending inventory was overstated by 40 (USD 000). Cost of goods sold was understated by 40, so pretax income was overstated by 40. In 2026, beginning inventory was too high, so cost of goods sold was overstated and pretax income was understated by 40. Over the two years, the two errors cancel. Retained earnings are overstated at the end of 2025 but correct at the end of 2026. This is a counterbalancing error. Remember the tax effect: at a 25% tax rate, net income was overstated by only 30 in the first year. Errors in purchases work in a similar way. Row 3 is a classic exam item: when a purchase is left out of both purchases and the count, cost of goods sold and income are still correct, but inventory and accounts payable are both understated.</w:t>
      </w:r>
    </w:p>
    <w:p>
      <w:pPr>
        <w:spacing w:before="20" w:after="20"/>
        <w:ind w:left="240" w:hanging="240"/>
      </w:pPr>
      <w:r>
        <w:rPr>
          <w:b/>
          <w:bCs/>
          <w:color w:val="353A7C"/>
          <w:sz w:val="15"/>
          <w:szCs w:val="15"/>
        </w:rPr>
        <w:t xml:space="preserve">Summary 2   </w:t>
      </w:r>
      <w:r>
        <w:rPr>
          <w:color w:val="6B7280"/>
          <w:sz w:val="15"/>
          <w:szCs w:val="15"/>
        </w:rPr>
        <w:t xml:space="preserve">If a company finds an error from a prior year, it corrects the error by restating the prior-year statements, with an adjustment to beginning retained earnings (ASC 250). If the error has already counterbalanced, retained earnings need no adjustment, but the prior-year income figures shown for comparison are still restated.</w:t>
      </w:r>
    </w:p>
    <w:p>
      <w:pPr>
        <w:spacing w:before="20" w:after="20"/>
        <w:ind w:left="240" w:hanging="240"/>
      </w:pPr>
      <w:r>
        <w:rPr>
          <w:b/>
          <w:bCs/>
          <w:color w:val="353A7C"/>
          <w:sz w:val="15"/>
          <w:szCs w:val="15"/>
        </w:rPr>
        <w:t xml:space="preserve">Summary 3   </w:t>
      </w:r>
      <w:r>
        <w:rPr>
          <w:color w:val="6B7280"/>
          <w:sz w:val="15"/>
          <w:szCs w:val="15"/>
        </w:rPr>
        <w:t xml:space="preserve">The prefix tells you the direction. Net income is overstated by 40 (the size of the error), not overstated to 940. In a question, find the direction for the first year, then reverse it for the second year.</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Which test applies?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Advantages and disadvantages of the methods   ·   Which test applies?   ·   net realizable value (NRV)</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At 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date, the company checks whether the cost of its inventory is still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Inventory measured by FIFO,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or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uses the lower of cost and net realizable value (LCNRV). </w:t>
      </w:r>
      <w:r>
        <w:rPr>
          <w:sz w:val="19"/>
          <w:szCs w:val="19"/>
        </w:rPr>
        <w:t xml:space="preserve">Inventory measured by LIFO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inventory method uses the lower of cost 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(LCM) (Section 8.2). </w:t>
      </w:r>
      <w:r>
        <w:rPr>
          <w:sz w:val="19"/>
          <w:szCs w:val="19"/>
        </w:rPr>
        <w:t xml:space="preserve">Net realizable value (NRV)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selling price in the ordinary course of business, minus the costs to complete, sell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goods. </w:t>
      </w:r>
      <w:r>
        <w:rPr>
          <w:sz w:val="19"/>
          <w:szCs w:val="19"/>
        </w:rPr>
        <w:t xml:space="preserve">If NRV is below cost, the company records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NRV. </w:t>
      </w:r>
      <w:r>
        <w:rPr>
          <w:sz w:val="19"/>
          <w:szCs w:val="19"/>
        </w:rPr>
        <w:t xml:space="preserve">The loss goes to income, usually inside cost of goods sold, or as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if it is large.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estimated   ·   market   ·   write-down   ·   balance   ·   transport   ·   identification   ·   average   ·   recoverable   ·   separate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LCNRV for Orontes olive oil</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In, Orontes used FIFO for olive oil. </w:t>
      </w:r>
      <w:r>
        <w:rPr>
          <w:sz w:val="19"/>
          <w:szCs w:val="19"/>
        </w:rPr>
        <w:t xml:space="preserve">Its ending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 2,000 cases at $50. </w:t>
      </w:r>
      <w:r>
        <w:rPr>
          <w:sz w:val="19"/>
          <w:szCs w:val="19"/>
        </w:rPr>
        <w:t xml:space="preserve">In late December, a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cut prices. </w:t>
      </w:r>
      <w:r>
        <w:rPr>
          <w:sz w:val="19"/>
          <w:szCs w:val="19"/>
        </w:rPr>
        <w:t xml:space="preserve">Orontes now expects to sell each case for $54, with $6 of selling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recognized   ·   delivery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LCNRV for Orontes olive oil at December 31, 2025 (whole USD)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olive oil,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per case</w:t>
            </w:r>
          </w:p>
        </w:tc>
        <w:tc>
          <w:tcPr>
            <w:tcW w:type="pct" w:w="24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New estimated selling price per case</w:t>
            </w:r>
          </w:p>
        </w:tc>
        <w:tc>
          <w:tcPr>
            <w:tcW w:type="pct" w:w="2400"/>
            <w:tcMar>
              <w:top w:type="dxa" w:w="50"/>
              <w:left w:type="dxa" w:w="110"/>
              <w:bottom w:type="dxa" w:w="50"/>
              <w:right w:type="dxa" w:w="110"/>
            </w:tcMar>
          </w:tcPr>
          <w:p>
            <w:pPr>
              <w:spacing w:before="28" w:after="28"/>
            </w:pPr>
            <w:r>
              <w:rPr>
                <w:sz w:val="15"/>
                <w:szCs w:val="15"/>
              </w:rPr>
              <w:t xml:space="preserve">$54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Costs to sell and deliver per case</w:t>
            </w:r>
          </w:p>
        </w:tc>
        <w:tc>
          <w:tcPr>
            <w:tcW w:type="pct" w:w="2400"/>
            <w:shd w:fill="FBFAF6" w:val="clear"/>
            <w:tcMar>
              <w:top w:type="dxa" w:w="50"/>
              <w:left w:type="dxa" w:w="110"/>
              <w:bottom w:type="dxa" w:w="50"/>
              <w:right w:type="dxa" w:w="110"/>
            </w:tcMar>
          </w:tcPr>
          <w:p>
            <w:pPr>
              <w:spacing w:before="28" w:after="28"/>
            </w:pPr>
            <w:r>
              <w:rPr>
                <w:sz w:val="15"/>
                <w:szCs w:val="15"/>
              </w:rPr>
              <w:t xml:space="preserve">$6</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$48</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$96,000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Write-down (loss in income)</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at cost   ·   Olive oil cases on hand (FIFO layer from Chapter 7)   ·   Inventory at LCNRV   ·   lower of cost or market (LCM)   ·   NRV per case</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of $4,000 is a loss of 2025. </w:t>
      </w:r>
      <w:r>
        <w:rPr>
          <w:sz w:val="19"/>
          <w:szCs w:val="19"/>
        </w:rPr>
        <w:t xml:space="preserve">The new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$48 a case, is now the cost basis of these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amount   ·   inventories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NRV has no profit deduction</w:t>
            </w:r>
          </w:p>
        </w:tc>
      </w:tr>
    </w:tbl>
    <w:p/>
    <w:p>
      <w:pPr>
        <w:spacing w:before="44" w:after="14"/>
      </w:pPr>
      <w:r>
        <w:rPr>
          <w:b/>
          <w:bCs/>
          <w:color w:val="353A7C"/>
          <w:sz w:val="18"/>
          <w:szCs w:val="18"/>
        </w:rPr>
        <w:t xml:space="preserve">Summary 4</w:t>
      </w:r>
      <w:r>
        <w:rPr>
          <w:color w:val="6B7280"/>
          <w:sz w:val="16"/>
          <w:szCs w:val="16"/>
        </w:rPr>
        <w:t xml:space="preserve">      gaps 22–26</w:t>
      </w:r>
    </w:p>
    <w:p>
      <w:pPr>
        <w:spacing w:before="20" w:after="20" w:line="360" w:lineRule="auto"/>
        <w:ind w:left="200"/>
      </w:pPr>
      <w:r>
        <w:rPr>
          <w:sz w:val="19"/>
          <w:szCs w:val="19"/>
        </w:rPr>
        <w:t xml:space="preserve">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recognized in an interim quarter is the only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may be recovered in a later quarter of the same fiscal year. </w:t>
      </w:r>
      <w:r>
        <w:rPr>
          <w:sz w:val="19"/>
          <w:szCs w:val="19"/>
        </w:rPr>
        <w:t xml:space="preserve">NRV =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price − costs to complete, sell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Do NOT deduct a normal profit; that only defines the LCM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Check the method first: FIFO or average → LCNRV; LIFO or retail → LCM.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exception   ·   selling   ·   transport   ·   original</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reverses   ·   requires   ·   reversal   ·   markdown   ·   inventories   ·   write-down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lower of cost and net realizable value (LCNRV)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5"/>
        <w:gridCol w:w="48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2"/>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28"/>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72"/>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28"/>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72"/>
            <w:tcMar>
              <w:top w:type="dxa" w:w="50"/>
              <w:left w:type="dxa" w:w="110"/>
              <w:bottom w:type="dxa" w:w="50"/>
              <w:right w:type="dxa" w:w="110"/>
            </w:tcMar>
          </w:tcPr>
          <w:p>
            <w:pPr>
              <w:spacing w:before="26" w:after="26"/>
            </w:pPr>
            <w:r>
              <w:rPr>
                <w:color w:val="232733"/>
                <w:sz w:val="16"/>
                <w:szCs w:val="16"/>
              </w:rPr>
              <w:t xml:space="preserve">write-down</w:t>
            </w:r>
          </w:p>
        </w:tc>
        <w:tc>
          <w:tcPr>
            <w:tcW w:type="pct" w:w="2528"/>
            <w:tcMar>
              <w:top w:type="dxa" w:w="50"/>
              <w:left w:type="dxa" w:w="110"/>
              <w:bottom w:type="dxa" w:w="50"/>
              <w:right w:type="dxa" w:w="110"/>
            </w:tcMar>
          </w:tcPr>
          <w:p>
            <w:pPr>
              <w:spacing w:before="26" w:after="26"/>
            </w:pPr>
            <w:r>
              <w:rPr>
                <w:color w:val="232733"/>
                <w:sz w:val="16"/>
                <w:szCs w:val="16"/>
              </w:rPr>
              <w:t xml:space="preserve">تخفيض القيمة</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Which test applies?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 test applies?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 at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Advantages and disadvantages of the methods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 at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transport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reverses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Olive oil cases on hand (FIFO layer from Chapter 7)</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lower of cost and net realizable value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NRV per case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write-down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balance sheet date, the company checks whether the cost of its inventory is still recoverable. Inventory measured by FIFO, average cost or specific identification uses the lower of cost and net realizable value (LCNRV). Inventory measured by LIFO or the retail inventory method uses the lower of cost or market (LCM) (Section 8.2). Net realizable value (NRV) is the estimated selling price in the ordinary course of business, minus the costs to complete, sell and transport the goods. If NRV is below cost, the company records a write-down to NRV. The loss goes to income, usually inside cost of goods sold, or as a separate line if it is large.</w:t>
      </w:r>
    </w:p>
    <w:p>
      <w:pPr>
        <w:spacing w:before="20" w:after="20"/>
        <w:ind w:left="240" w:hanging="240"/>
      </w:pPr>
      <w:r>
        <w:rPr>
          <w:b/>
          <w:bCs/>
          <w:color w:val="353A7C"/>
          <w:sz w:val="15"/>
          <w:szCs w:val="15"/>
        </w:rPr>
        <w:t xml:space="preserve">Summary 2   </w:t>
      </w:r>
      <w:r>
        <w:rPr>
          <w:color w:val="6B7280"/>
          <w:sz w:val="15"/>
          <w:szCs w:val="15"/>
        </w:rPr>
        <w:t xml:space="preserve">In, Orontes used FIFO for olive oil. Its ending inventory was 2,000 cases at $50. In late December, a large competitor cut prices. Orontes now expects to sell each case for $54, with $6 of selling and delivery costs.</w:t>
      </w:r>
    </w:p>
    <w:p>
      <w:pPr>
        <w:spacing w:before="20" w:after="20"/>
        <w:ind w:left="240" w:hanging="240"/>
      </w:pPr>
      <w:r>
        <w:rPr>
          <w:b/>
          <w:bCs/>
          <w:color w:val="353A7C"/>
          <w:sz w:val="15"/>
          <w:szCs w:val="15"/>
        </w:rPr>
        <w:t xml:space="preserve">Summary 3   </w:t>
      </w:r>
      <w:r>
        <w:rPr>
          <w:color w:val="6B7280"/>
          <w:sz w:val="15"/>
          <w:szCs w:val="15"/>
        </w:rPr>
        <w:t xml:space="preserve">The write-down of $4,000 is a loss of 2025. The new amount, $48 a case, is now the cost basis of these cases.</w:t>
      </w:r>
    </w:p>
    <w:p>
      <w:pPr>
        <w:spacing w:before="20" w:after="20"/>
        <w:ind w:left="240" w:hanging="240"/>
      </w:pPr>
      <w:r>
        <w:rPr>
          <w:b/>
          <w:bCs/>
          <w:color w:val="353A7C"/>
          <w:sz w:val="15"/>
          <w:szCs w:val="15"/>
        </w:rPr>
        <w:t xml:space="preserve">Summary 4   </w:t>
      </w:r>
      <w:r>
        <w:rPr>
          <w:color w:val="6B7280"/>
          <w:sz w:val="15"/>
          <w:szCs w:val="15"/>
        </w:rPr>
        <w:t xml:space="preserve">A write-down recognized in an interim quarter is the only exception: it may be recovered in a later quarter of the same fiscal year. NRV = selling price − costs to complete, sell and transport. Do NOT deduct a normal profit; that only defines the LCM floor. Check the method first: FIFO or average → LCNRV; LIFO or retail → LCM.</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Lower of cost or market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Under LCM, market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with replacement cost: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to buy or make the item again. </w:t>
      </w:r>
      <w:r>
        <w:rPr>
          <w:sz w:val="19"/>
          <w:szCs w:val="19"/>
        </w:rPr>
        <w:t xml:space="preserve">But market has two limits. </w:t>
      </w:r>
      <w:r>
        <w:rPr>
          <w:sz w:val="19"/>
          <w:szCs w:val="19"/>
        </w:rPr>
        <w:t xml:space="preserve">It cannot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a ceiling equal to NRV, and it cannot be lower than a floor equal to NRV minus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margin.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has two steps. </w:t>
      </w:r>
      <w:r>
        <w:rPr>
          <w:sz w:val="19"/>
          <w:szCs w:val="19"/>
        </w:rPr>
        <w:t xml:space="preserve">First, find market: take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replacement cost, the ceiling and the floor. </w:t>
      </w:r>
      <w:r>
        <w:rPr>
          <w:sz w:val="19"/>
          <w:szCs w:val="19"/>
        </w:rPr>
        <w:t xml:space="preserve">Second,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market with cost and take the lower. </w:t>
      </w:r>
      <w:r>
        <w:rPr>
          <w:sz w:val="19"/>
          <w:szCs w:val="19"/>
        </w:rPr>
        <w:t xml:space="preserve">Why the limits? The ceiling stops the company from carrying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above what it can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floor stops an excessive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would create an abnormally high profit when the goods are sold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middle   ·   dollars   ·   inventory   ·   write-down   ·   procedure   ·   normal   ·   compare   ·   starts   ·   recover   ·   higher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LCM, item by item</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Values are per case in whole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For each line, market is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three limits, and LCM is the lower of cost and market.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dollars   ·   directly   ·   middle</w:t>
            </w:r>
          </w:p>
        </w:tc>
      </w:tr>
    </w:tbl>
    <w:p/>
    <w:p>
      <w:pPr>
        <w:spacing w:before="44" w:after="10"/>
      </w:pPr>
      <w:r>
        <w:rPr>
          <w:b/>
          <w:bCs/>
          <w:color w:val="353A7C"/>
          <w:sz w:val="18"/>
          <w:szCs w:val="18"/>
        </w:rPr>
        <w:t xml:space="preserve">LCM, item by item, for four Orontes product lines measured under LIFO (whole USD per case)</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shrinkage   ·   Tahini   ·   Chickpeas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15–22</w:t>
      </w:r>
    </w:p>
    <w:p>
      <w:pPr>
        <w:spacing w:before="20" w:after="20" w:line="360" w:lineRule="auto"/>
        <w:ind w:left="200"/>
      </w:pPr>
      <w:r>
        <w:rPr>
          <w:sz w:val="19"/>
          <w:szCs w:val="19"/>
        </w:rPr>
        <w:t xml:space="preserve">The item-by-item basis gives a total write-down of $4,500. </w:t>
      </w:r>
      <w:r>
        <w:rPr>
          <w:sz w:val="19"/>
          <w:szCs w:val="19"/>
        </w:rPr>
        <w:t xml:space="preserve">A company may also apply LCM by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or to the total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it does so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On the total basis, total market ($121,500)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with total cost ($122,000), and the write-down is only $500,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gains on some items offset losses on others. </w:t>
      </w:r>
      <w:r>
        <w:rPr>
          <w:sz w:val="19"/>
          <w:szCs w:val="19"/>
        </w:rPr>
        <w:t xml:space="preserve">The item-by-item basis is the most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One more rule: if a company has a firm,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purchase commitment at a price above the current market, it records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loss now, in the current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non-cancellable   ·   inventory   ·   compared   ·   expected   ·   because   ·   consistently   ·   conservative   ·   item-by-item   ·   category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Find market first</w:t>
            </w:r>
          </w:p>
        </w:tc>
      </w:tr>
    </w:tbl>
    <w:p/>
    <w:p>
      <w:pPr>
        <w:spacing w:before="44" w:after="14"/>
      </w:pPr>
      <w:r>
        <w:rPr>
          <w:b/>
          <w:bCs/>
          <w:color w:val="353A7C"/>
          <w:sz w:val="18"/>
          <w:szCs w:val="18"/>
        </w:rPr>
        <w:t xml:space="preserve">Summary 4</w:t>
      </w:r>
      <w:r>
        <w:rPr>
          <w:color w:val="6B7280"/>
          <w:sz w:val="16"/>
          <w:szCs w:val="16"/>
        </w:rPr>
        <w:t xml:space="preserve">      gaps 23–26</w:t>
      </w:r>
    </w:p>
    <w:p>
      <w:pPr>
        <w:spacing w:before="20" w:after="20" w:line="360" w:lineRule="auto"/>
        <w:ind w:left="200"/>
      </w:pPr>
      <w:r>
        <w:rPr>
          <w:sz w:val="19"/>
          <w:szCs w:val="19"/>
        </w:rPr>
        <w:t xml:space="preserve">Do not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replacement cost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with cost. </w:t>
      </w:r>
      <w:r>
        <w:rPr>
          <w:sz w:val="19"/>
          <w:szCs w:val="19"/>
        </w:rPr>
        <w:t xml:space="preserve">First limit it by the ceiling and the floor. </w:t>
      </w:r>
      <w:r>
        <w:rPr>
          <w:sz w:val="19"/>
          <w:szCs w:val="19"/>
        </w:rPr>
        <w:t xml:space="preserve">When replacement cost is below the floor, market is the floor. </w:t>
      </w:r>
      <w:r>
        <w:rPr>
          <w:sz w:val="19"/>
          <w:szCs w:val="19"/>
        </w:rPr>
        <w:t xml:space="preserve">When it is above the ceiling, market is the ceiling. </w:t>
      </w:r>
      <w:r>
        <w:rPr>
          <w:sz w:val="19"/>
          <w:szCs w:val="19"/>
        </w:rPr>
        <w:t xml:space="preserve">Read the basis in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item by item, by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or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directly   ·   abnormally   ·   question   ·   category   ·   compare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lower of cost or market (LCM)   ·   item-by-item basis   ·   net realizable value (NRV)</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0"/>
        <w:gridCol w:w="46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9"/>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1"/>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replacement cost</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599"/>
            <w:tcMar>
              <w:top w:type="dxa" w:w="50"/>
              <w:left w:type="dxa" w:w="110"/>
              <w:bottom w:type="dxa" w:w="50"/>
              <w:right w:type="dxa" w:w="110"/>
            </w:tcMar>
          </w:tcPr>
          <w:p>
            <w:pPr>
              <w:spacing w:before="26" w:after="26"/>
            </w:pPr>
            <w:r>
              <w:rPr>
                <w:color w:val="232733"/>
                <w:sz w:val="16"/>
                <w:szCs w:val="16"/>
              </w:rPr>
              <w:t xml:space="preserve">ceiling</w:t>
            </w:r>
          </w:p>
        </w:tc>
        <w:tc>
          <w:tcPr>
            <w:tcW w:type="pct" w:w="2401"/>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floor</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599"/>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1"/>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item-by-item basis</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أساس كل صنف على حدة</w:t>
            </w:r>
          </w:p>
        </w:tc>
      </w:tr>
      <w:tr>
        <w:tc>
          <w:tcPr>
            <w:tcW w:type="pct" w:w="2599"/>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1"/>
            <w:tcMar>
              <w:top w:type="dxa" w:w="50"/>
              <w:left w:type="dxa" w:w="110"/>
              <w:bottom w:type="dxa" w:w="50"/>
              <w:right w:type="dxa" w:w="110"/>
            </w:tcMar>
          </w:tcPr>
          <w:p>
            <w:pPr>
              <w:spacing w:before="26" w:after="26"/>
            </w:pPr>
            <w:r>
              <w:rPr>
                <w:color w:val="232733"/>
                <w:sz w:val="16"/>
                <w:szCs w:val="16"/>
              </w:rPr>
              <w:t xml:space="preserve">التزام شراء</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Lower of cost or market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consistently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conservative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non-cancellable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compare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dollars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lower of cost or market (LCM)</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Chickpeas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item-by-item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category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LCM, market starts with replacement cost: the current cost to buy or make the item again. But market has two limits. It cannot be higher than a ceiling equal to NRV, and it cannot be lower than a floor equal to NRV minus a normal profit margin. The procedure has two steps. First, find market: take the middle value of replacement cost, the ceiling and the floor. Second, compare market with cost and take the lower. Why the limits? The ceiling stops the company from carrying inventory above what it can recover. The floor stops an excessive write-down that would create an abnormally high profit when the goods are sold later.</w:t>
      </w:r>
    </w:p>
    <w:p>
      <w:pPr>
        <w:spacing w:before="20" w:after="20"/>
        <w:ind w:left="240" w:hanging="240"/>
      </w:pPr>
      <w:r>
        <w:rPr>
          <w:b/>
          <w:bCs/>
          <w:color w:val="353A7C"/>
          <w:sz w:val="15"/>
          <w:szCs w:val="15"/>
        </w:rPr>
        <w:t xml:space="preserve">Summary 2   </w:t>
      </w:r>
      <w:r>
        <w:rPr>
          <w:color w:val="6B7280"/>
          <w:sz w:val="15"/>
          <w:szCs w:val="15"/>
        </w:rPr>
        <w:t xml:space="preserve">Values are per case in whole dollars. For each line, market is the middle of the three limits, and LCM is the lower of cost and market.</w:t>
      </w:r>
    </w:p>
    <w:p>
      <w:pPr>
        <w:spacing w:before="20" w:after="20"/>
        <w:ind w:left="240" w:hanging="240"/>
      </w:pPr>
      <w:r>
        <w:rPr>
          <w:b/>
          <w:bCs/>
          <w:color w:val="353A7C"/>
          <w:sz w:val="15"/>
          <w:szCs w:val="15"/>
        </w:rPr>
        <w:t xml:space="preserve">Summary 3   </w:t>
      </w:r>
      <w:r>
        <w:rPr>
          <w:color w:val="6B7280"/>
          <w:sz w:val="15"/>
          <w:szCs w:val="15"/>
        </w:rPr>
        <w:t xml:space="preserve">The item-by-item basis gives a total write-down of $4,500. A company may also apply LCM by category or to the total inventory, if it does so consistently. On the total basis, total market ($121,500) is compared with total cost ($122,000), and the write-down is only $500, because gains on some items offset losses on others. The item-by-item basis is the most conservative. One more rule: if a company has a firm, non-cancellable purchase commitment at a price above the current market, it records the expected loss now, in the current period.</w:t>
      </w:r>
    </w:p>
    <w:p>
      <w:pPr>
        <w:spacing w:before="20" w:after="20"/>
        <w:ind w:left="240" w:hanging="240"/>
      </w:pPr>
      <w:r>
        <w:rPr>
          <w:b/>
          <w:bCs/>
          <w:color w:val="353A7C"/>
          <w:sz w:val="15"/>
          <w:szCs w:val="15"/>
        </w:rPr>
        <w:t xml:space="preserve">Summary 4   </w:t>
      </w:r>
      <w:r>
        <w:rPr>
          <w:color w:val="6B7280"/>
          <w:sz w:val="15"/>
          <w:szCs w:val="15"/>
        </w:rPr>
        <w:t xml:space="preserve">Do not compare replacement cost directly with cost. First limit it by the ceiling and the floor. When replacement cost is below the floor, market is the floor. When it is above the ceiling, market is the ceiling. Read the basis in the question: item by item, by category or total.</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retail inventory method and the gross profit method</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Retailers sell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items. </w:t>
      </w:r>
      <w:r>
        <w:rPr>
          <w:sz w:val="19"/>
          <w:szCs w:val="19"/>
        </w:rPr>
        <w:t xml:space="preserve">They know the selling price of every item on the shelf, but tracking the cost of 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retail inventory method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ending inventory at cost from retail prices. </w:t>
      </w:r>
      <w:r>
        <w:rPr>
          <w:sz w:val="19"/>
          <w:szCs w:val="19"/>
        </w:rPr>
        <w:t xml:space="preserve">It uses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ratio: goods available at cost divided by goods available at retail. </w:t>
      </w:r>
      <w:r>
        <w:rPr>
          <w:sz w:val="19"/>
          <w:szCs w:val="19"/>
        </w:rPr>
        <w:t xml:space="preserve">Retail prices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raises the selling price above the original retail price.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lowers it.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retail method includes net markups in the ratio but leaves out net markdowns. </w:t>
      </w:r>
      <w:r>
        <w:rPr>
          <w:sz w:val="19"/>
          <w:szCs w:val="19"/>
        </w:rPr>
        <w:t xml:space="preserve">This gives a lower ratio and a lower ending inventory, which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LCM. </w:t>
      </w:r>
      <w:r>
        <w:rPr>
          <w:sz w:val="19"/>
          <w:szCs w:val="19"/>
        </w:rPr>
        <w:t xml:space="preserve">The average-cost retail method includes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approximates   ·   thousands   ·   markup   ·   cost-to-retail   ·   change   ·   conventional   ·   estimates   ·   markdown   ·   expensive   ·   destroyed</w:t>
            </w:r>
          </w:p>
        </w:tc>
      </w:tr>
    </w:tbl>
    <w:p/>
    <w:p>
      <w:pPr>
        <w:spacing w:before="44" w:after="10"/>
      </w:pPr>
      <w:r>
        <w:rPr>
          <w:b/>
          <w:bCs/>
          <w:color w:val="353A7C"/>
          <w:sz w:val="18"/>
          <w:szCs w:val="18"/>
        </w:rPr>
        <w:t xml:space="preserve">Item — Cost column</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sales   ·   Net markups   ·   cost-to-retail ratio   ·   Purchase discounts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Farm Shops, Amman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runs a group of farm shops in Amman. </w:t>
      </w:r>
      <w:r>
        <w:rPr>
          <w:sz w:val="19"/>
          <w:szCs w:val="19"/>
        </w:rPr>
        <w:t xml:space="preserve">They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U.S. GAAP with the rest of the company. </w:t>
      </w:r>
      <w:r>
        <w:rPr>
          <w:sz w:val="19"/>
          <w:szCs w:val="19"/>
        </w:rPr>
        <w:t xml:space="preserve">The conventional ratio is 0.60, so ending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is $25,200.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ratio is 0.62, which gives $26,040. </w:t>
      </w:r>
      <w:r>
        <w:rPr>
          <w:sz w:val="19"/>
          <w:szCs w:val="19"/>
        </w:rPr>
        <w:t xml:space="preserve">Cost of goods sold under the conventional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$186,000 − $25,200 = $160,800.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method   ·   average-cost   ·   floor   ·   report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Dubai shop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17–28</w:t>
      </w:r>
    </w:p>
    <w:p>
      <w:pPr>
        <w:spacing w:before="20" w:after="20" w:line="360" w:lineRule="auto"/>
        <w:ind w:left="200"/>
      </w:pPr>
      <w:r>
        <w:rPr>
          <w:sz w:val="19"/>
          <w:szCs w:val="19"/>
        </w:rPr>
        <w:t xml:space="preserve">Complete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boxes using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retail method. </w:t>
      </w:r>
      <w:r>
        <w:rPr>
          <w:sz w:val="19"/>
          <w:szCs w:val="19"/>
        </w:rPr>
        <w:t xml:space="preserve">A LIFO retail method also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beginning inventory out of the ratio, includes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adds a new layer each year at that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ratio. </w:t>
      </w:r>
      <w:r>
        <w:rPr>
          <w:sz w:val="19"/>
          <w:szCs w:val="19"/>
        </w:rPr>
        <w:t xml:space="preserve">The exam tests it less often. </w:t>
      </w:r>
      <w:r>
        <w:rPr>
          <w:sz w:val="19"/>
          <w:szCs w:val="19"/>
        </w:rPr>
        <w:t xml:space="preserve">The gross profit method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ending inventory from the usual gross profit rate. </w:t>
      </w:r>
      <w:r>
        <w:rPr>
          <w:sz w:val="19"/>
          <w:szCs w:val="19"/>
        </w:rPr>
        <w:t xml:space="preserve">It is used for interim reports, to check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count, and to estimate inventory lost in a fire or a theft. </w:t>
      </w:r>
      <w:r>
        <w:rPr>
          <w:sz w:val="19"/>
          <w:szCs w:val="19"/>
        </w:rPr>
        <w:t xml:space="preserve">It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annual financial statements. </w:t>
      </w:r>
      <w:r>
        <w:rPr>
          <w:sz w:val="19"/>
          <w:szCs w:val="19"/>
        </w:rPr>
        <w:t xml:space="preserve">A fire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of the Orontes warehouse in Jebel Ali. </w:t>
      </w:r>
      <w:r>
        <w:rPr>
          <w:sz w:val="19"/>
          <w:szCs w:val="19"/>
        </w:rPr>
        <w:t xml:space="preserve">Beginning inventory was $80,000,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were $300,000 and net sales were $400,000. </w:t>
      </w:r>
      <w:r>
        <w:rPr>
          <w:sz w:val="19"/>
          <w:szCs w:val="19"/>
        </w:rPr>
        <w:t xml:space="preserve">The usual gross profit rate is 30% of sales. </w:t>
      </w:r>
      <w:r>
        <w:rPr>
          <w:sz w:val="19"/>
          <w:szCs w:val="19"/>
        </w:rPr>
        <w:t xml:space="preserve">Estimated cost of goods sold is $280,000, so estimated inventory at the date of the fire is $380,000 − $280,000 = $100,000. </w:t>
      </w:r>
      <w:r>
        <w:rPr>
          <w:sz w:val="19"/>
          <w:szCs w:val="19"/>
        </w:rPr>
        <w:t xml:space="preserve">Goods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$12,000 were saved, so the estimated fire loss is $88,000.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destroyed   ·   exists   ·   shrinkage   ·   costing   ·   leaves   ·   physical   ·   markdowns   ·   acceptable   ·   year's   ·   estimates   ·   conventional   ·   dashed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Markup on cost is not a margin on sales</w:t>
            </w:r>
          </w:p>
        </w:tc>
      </w:tr>
    </w:tbl>
    <w:p/>
    <w:p>
      <w:pPr>
        <w:spacing w:before="44" w:after="14"/>
      </w:pPr>
      <w:r>
        <w:rPr>
          <w:b/>
          <w:bCs/>
          <w:color w:val="353A7C"/>
          <w:sz w:val="18"/>
          <w:szCs w:val="18"/>
        </w:rPr>
        <w:t xml:space="preserve">Summary 4</w:t>
      </w:r>
      <w:r>
        <w:rPr>
          <w:color w:val="6B7280"/>
          <w:sz w:val="16"/>
          <w:szCs w:val="16"/>
        </w:rPr>
        <w:t xml:space="preserve">      gaps 29–33</w:t>
      </w:r>
    </w:p>
    <w:p>
      <w:pPr>
        <w:spacing w:before="20" w:after="20" w:line="360" w:lineRule="auto"/>
        <w:ind w:left="200"/>
      </w:pPr>
      <w:r>
        <w:rPr>
          <w:sz w:val="19"/>
          <w:szCs w:val="19"/>
        </w:rPr>
        <w:t xml:space="preserve">If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gives a markup on cost,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gross profit rate on sales = markup ÷ (1 + markup). </w:t>
      </w:r>
      <w:r>
        <w:rPr>
          <w:sz w:val="19"/>
          <w:szCs w:val="19"/>
        </w:rPr>
        <w:t xml:space="preserve">For example, a markup of one half on cost is a gross profit rate of one third on sales.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retail: markups IN the ratio,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OUT. </w:t>
      </w:r>
      <w:r>
        <w:rPr>
          <w:sz w:val="19"/>
          <w:szCs w:val="19"/>
        </w:rPr>
        <w:t xml:space="preserve">Freight-in goes in the cost column only; normal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deducted from retail after the ratio.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shrinkage   ·   available   ·   convert   ·   markdowns   ·   Conventional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floor   ·   markdown   ·   shrinkage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r>
        <w:tc>
          <w:tcPr>
            <w:tcW w:type="pct" w:w="2400"/>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مجمل الربح</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retail inventory method and the gross profit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leaves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cost-to-retail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markup</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approximates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 discounts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Net markups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Net sales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convert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Conventional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average-cost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retail inventory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dashed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markdown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shrinkage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 Retail prices change during the year. A markup raises the selling price above the original retail price. A markdown lowers it. The conventional retail method includes net markups in the ratio but leaves out net markdowns. This gives a lower ratio and a lower ending inventory, which approximates LCM. The average-cost retail method includes both.</w:t>
      </w:r>
    </w:p>
    <w:p>
      <w:pPr>
        <w:spacing w:before="20" w:after="20"/>
        <w:ind w:left="240" w:hanging="240"/>
      </w:pPr>
      <w:r>
        <w:rPr>
          <w:b/>
          <w:bCs/>
          <w:color w:val="353A7C"/>
          <w:sz w:val="15"/>
          <w:szCs w:val="15"/>
        </w:rPr>
        <w:t xml:space="preserve">Summary 2   </w:t>
      </w:r>
      <w:r>
        <w:rPr>
          <w:color w:val="6B7280"/>
          <w:sz w:val="15"/>
          <w:szCs w:val="15"/>
        </w:rPr>
        <w:t xml:space="preserve">Orontes runs a group of farm shops in Amman. They report under U.S. GAAP with the rest of the company. The conventional ratio is 0.60, so ending inventory at cost is $25,200. The average-cost ratio is 0.62, which gives $26,040. Cost of goods sold under the conventional method is $186,000 − $25,200 = $160,800.</w:t>
      </w:r>
    </w:p>
    <w:p>
      <w:pPr>
        <w:spacing w:before="20" w:after="20"/>
        <w:ind w:left="240" w:hanging="240"/>
      </w:pPr>
      <w:r>
        <w:rPr>
          <w:b/>
          <w:bCs/>
          <w:color w:val="353A7C"/>
          <w:sz w:val="15"/>
          <w:szCs w:val="15"/>
        </w:rPr>
        <w:t xml:space="preserve">Summary 3   </w:t>
      </w:r>
      <w:r>
        <w:rPr>
          <w:color w:val="6B7280"/>
          <w:sz w:val="15"/>
          <w:szCs w:val="15"/>
        </w:rPr>
        <w:t xml:space="preserve">Complete the dashed boxes using the conventional retail method. A LIFO retail method also exists. It leaves beginning inventory out of the ratio, includes markdowns, and adds a new layer each year at that year's ratio. The exam tests it less often. The gross profit method estimates ending inventory from the usual gross profit rate. It is used for interim reports, to check a physical count, and to estimate inventory lost in a fire or a theft. It is not acceptable for annual financial statements. A fire destroyed part of the Orontes warehouse in Jebel Ali. Beginning inventory was $80,000, purchases were $300,000 and net sales were $400,000. The usual gross profit rate is 30% of sales. Estimated cost of goods sold is $280,000, so estimated inventory at the date of the fire is $380,000 − $280,000 = $100,000. Goods costing $12,000 were saved, so the estimated fire loss is $88,000.</w:t>
      </w:r>
    </w:p>
    <w:p>
      <w:pPr>
        <w:spacing w:before="20" w:after="20"/>
        <w:ind w:left="240" w:hanging="240"/>
      </w:pPr>
      <w:r>
        <w:rPr>
          <w:b/>
          <w:bCs/>
          <w:color w:val="353A7C"/>
          <w:sz w:val="15"/>
          <w:szCs w:val="15"/>
        </w:rPr>
        <w:t xml:space="preserve">Summary 4   </w:t>
      </w:r>
      <w:r>
        <w:rPr>
          <w:color w:val="6B7280"/>
          <w:sz w:val="15"/>
          <w:szCs w:val="15"/>
        </w:rPr>
        <w:t xml:space="preserve">If the question gives a markup on cost, convert it: gross profit rate on sales = markup ÷ (1 + markup). For example, a markup of one half on cost is a gross profit rate of one third on sales. Conventional retail: markups IN the ratio, markdowns OUT. Freight-in goes in the cost column only; normal shrinkage is deducted from retail after the ratio.</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Advantages and disadvantages of the methods</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No method is best in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 some goals and weak on others.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situation   ·   weighted   ·   strong</w:t>
            </w:r>
          </w:p>
        </w:tc>
      </w:tr>
    </w:tbl>
    <w:p/>
    <w:p>
      <w:pPr>
        <w:spacing w:before="44" w:after="10"/>
      </w:pPr>
      <w:r>
        <w:rPr>
          <w:b/>
          <w:bCs/>
          <w:color w:val="353A7C"/>
          <w:sz w:val="18"/>
          <w:szCs w:val="18"/>
        </w:rPr>
        <w:t xml:space="preserve">Advantages and disadvantages of the inventory methods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the two   ·   Cost of records   ·   Balance sheet (inventory)</w:t>
            </w:r>
          </w:p>
        </w:tc>
      </w:tr>
    </w:tbl>
    <w:p/>
    <w:p>
      <w:pPr>
        <w:spacing w:before="44" w:after="14"/>
      </w:pPr>
      <w:r>
        <w:rPr>
          <w:b/>
          <w:bCs/>
          <w:color w:val="353A7C"/>
          <w:sz w:val="18"/>
          <w:szCs w:val="18"/>
        </w:rPr>
        <w:t xml:space="preserve">Summary 2</w:t>
      </w:r>
      <w:r>
        <w:rPr>
          <w:color w:val="6B7280"/>
          <w:sz w:val="16"/>
          <w:szCs w:val="16"/>
        </w:rPr>
        <w:t xml:space="preserve">      gaps 5–13</w:t>
      </w:r>
    </w:p>
    <w:p>
      <w:pPr>
        <w:spacing w:before="20" w:after="20" w:line="360" w:lineRule="auto"/>
        <w:ind w:left="200"/>
      </w:pPr>
      <w:r>
        <w:rPr>
          <w:sz w:val="19"/>
          <w:szCs w:val="19"/>
        </w:rPr>
        <w:t xml:space="preserve">The weighted average and specific identification have their own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weighted average is simple,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price changes and is hard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its results are neither fully current on the balance sheet nor on the income statement. </w:t>
      </w:r>
      <w:r>
        <w:rPr>
          <w:sz w:val="19"/>
          <w:szCs w:val="19"/>
        </w:rPr>
        <w:t xml:space="preserve">Specific identification gives exact matching for unique items, but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items it is costly and lets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choose which costs to report. </w:t>
      </w:r>
      <w:r>
        <w:rPr>
          <w:sz w:val="19"/>
          <w:szCs w:val="19"/>
        </w:rPr>
        <w:t xml:space="preserve">The main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between the 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LIFO gives a more realistic income statement when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change, but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FIFO gives a realistic balance sheet, but its income includes holding gains. </w:t>
      </w:r>
      <w:r>
        <w:rPr>
          <w:sz w:val="19"/>
          <w:szCs w:val="19"/>
        </w:rPr>
        <w:t xml:space="preserve">The weighted average sits between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   ·   management   ·   statements   ·   strengths   ·   identical   ·   out-of-date   ·   ceiling   ·   manipulate   ·   smooths   ·   prices</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Advantages and disadvantages of the methods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identical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strong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 sheet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trade-off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 of records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smooths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out-of-date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 method is best in every situation. Each one is strong on some goals and weak on others.</w:t>
      </w:r>
    </w:p>
    <w:p>
      <w:pPr>
        <w:spacing w:before="20" w:after="20"/>
        <w:ind w:left="240" w:hanging="240"/>
      </w:pPr>
      <w:r>
        <w:rPr>
          <w:b/>
          <w:bCs/>
          <w:color w:val="353A7C"/>
          <w:sz w:val="15"/>
          <w:szCs w:val="15"/>
        </w:rPr>
        <w:t xml:space="preserve">Summary 2   </w:t>
      </w:r>
      <w:r>
        <w:rPr>
          <w:color w:val="6B7280"/>
          <w:sz w:val="15"/>
          <w:szCs w:val="15"/>
        </w:rPr>
        <w:t xml:space="preserve">The weighted average and specific identification have their own strengths. The weighted average is simple, smooths price changes and is hard to manipulate, but its results are neither fully current on the balance sheet nor on the income statement.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 FIFO gives a realistic balance sheet, but its income includes holding gains. The weighted average sits between them.</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Recommending a method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Level 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may give you a set of facts and ask you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method.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check the facts that can rule a method out. </w:t>
      </w:r>
      <w:r>
        <w:rPr>
          <w:sz w:val="19"/>
          <w:szCs w:val="19"/>
        </w:rPr>
        <w:t xml:space="preserve">If the company, or its parent,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under IFRS, LIFO is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items are identical and sold in large volumes,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costly and open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If the company wants the U.S. tax benefit of LIFO, it must also report LIFO profits to investors, and it must avoid liquidating old layers.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reports   ·   recommend   ·   possible   ·   manipulation   ·   conformity   ·   question   ·   identification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recommendation for Orontes</w:t>
            </w:r>
          </w:p>
        </w:tc>
      </w:tr>
    </w:tbl>
    <w:p/>
    <w:p>
      <w:pPr>
        <w:spacing w:before="44" w:after="14"/>
      </w:pPr>
      <w:r>
        <w:rPr>
          <w:b/>
          <w:bCs/>
          <w:color w:val="353A7C"/>
          <w:sz w:val="18"/>
          <w:szCs w:val="18"/>
        </w:rPr>
        <w:t xml:space="preserve">Summary 2</w:t>
      </w:r>
      <w:r>
        <w:rPr>
          <w:color w:val="6B7280"/>
          <w:sz w:val="16"/>
          <w:szCs w:val="16"/>
        </w:rPr>
        <w:t xml:space="preserve">      gaps 8–17</w:t>
      </w:r>
    </w:p>
    <w:p>
      <w:pPr>
        <w:spacing w:before="20" w:after="20" w:line="360" w:lineRule="auto"/>
        <w:ind w:left="200"/>
      </w:pPr>
      <w:r>
        <w:rPr>
          <w:sz w:val="19"/>
          <w:szCs w:val="19"/>
        </w:rPr>
        <w:t xml:space="preserve">Orontes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under U.S. GAAP, and olive oil prices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finance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wants lower taxes but also a balance sheet that lenders trust. </w:t>
      </w:r>
      <w:r>
        <w:rPr>
          <w:sz w:val="19"/>
          <w:szCs w:val="19"/>
        </w:rPr>
        <w:t xml:space="preserve">Olive oil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identical product that Orontes ships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LIFO would lower taxes while prices rise,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would lower reported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too, and the balance sheet would show old costs. </w:t>
      </w:r>
      <w:r>
        <w:rPr>
          <w:sz w:val="19"/>
          <w:szCs w:val="19"/>
        </w:rPr>
        <w:t xml:space="preserve">FIFO matches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flow and gives lenders a 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but taxes are higher.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if the tax saving is the priority, LIFO, with clear disclosure of the LIFO reserve; if lender relations and the balance sheet matter more, FIFO. </w:t>
      </w:r>
      <w:r>
        <w:rPr>
          <w:sz w:val="19"/>
          <w:szCs w:val="19"/>
        </w:rPr>
        <w:t xml:space="preserve">The answer depends on the stated priority, and a good exam answer names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director   ·   reports   ·   profits   ·   oldest-first   ·   identical   ·   inventory   ·   perishable   ·   conformity   ·   physical   ·   Recommendation   ·   rising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Recommendations need reasons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In a case-based question,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earns credit only if it follows from the facts given. </w:t>
      </w:r>
      <w:r>
        <w:rPr>
          <w:sz w:val="19"/>
          <w:szCs w:val="19"/>
        </w:rPr>
        <w:t xml:space="preserve">Check IFRS, taxes, price trends,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flow and the cost of records before you choose.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profits   ·   physical</w:t>
            </w:r>
          </w:p>
        </w:tc>
      </w:tr>
    </w:tbl>
    <w:p/>
    <w:p>
      <w:pPr>
        <w:pageBreakBefore w:val="true"/>
        <w:spacing w:after="0"/>
      </w:pPr>
      <w:r>
        <w:rPr>
          <w:sz w:val="2"/>
        </w:rPr>
        <w:t xml:space="preserve"> </w:t>
      </w:r>
    </w:p>
    <w:p>
      <w:pPr>
        <w:spacing w:before="44" w:after="10"/>
      </w:pPr>
      <w:r>
        <w:rPr>
          <w:b/>
          <w:bCs/>
          <w:color w:val="353A7C"/>
          <w:sz w:val="18"/>
          <w:szCs w:val="18"/>
        </w:rPr>
        <w:t xml:space="preserve">Recommendations need reasons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mix   ·   Olive-oil soap   ·   cost-to-retail ratio   ·   Pomegranate molasses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Goods available at retail</w:t>
            </w:r>
          </w:p>
        </w:tc>
        <w:tc>
          <w:tcPr>
            <w:tcW w:type="pct" w:w="2400"/>
            <w:tcMar>
              <w:top w:type="dxa" w:w="50"/>
              <w:left w:type="dxa" w:w="110"/>
              <w:bottom w:type="dxa" w:w="50"/>
              <w:right w:type="dxa" w:w="110"/>
            </w:tcMar>
          </w:tcPr>
          <w:p>
            <w:pPr>
              <w:spacing w:before="28" w:after="28"/>
            </w:pPr>
            <w:r>
              <w:rPr>
                <w:sz w:val="15"/>
                <w:szCs w:val="15"/>
              </w:rPr>
              <w:t xml:space="preserve">150,000 − 6,000 = 144,000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Conventional ratio</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cost</w:t>
            </w:r>
          </w:p>
        </w:tc>
        <w:tc>
          <w:tcPr>
            <w:tcW w:type="pct" w:w="2400"/>
            <w:shd w:fill="FBFAF6" w:val="clear"/>
            <w:tcMar>
              <w:top w:type="dxa" w:w="50"/>
              <w:left w:type="dxa" w:w="110"/>
              <w:bottom w:type="dxa" w:w="50"/>
              <w:right w:type="dxa" w:w="110"/>
            </w:tcMar>
          </w:tcPr>
          <w:p>
            <w:pPr>
              <w:spacing w:before="28" w:after="28"/>
            </w:pPr>
            <w:r>
              <w:rPr>
                <w:sz w:val="15"/>
                <w:szCs w:val="15"/>
              </w:rPr>
              <w:t xml:space="preserve">24,000 × 0.60 = $14,400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150,000 − 6,000 = 144,000   ·   90,000 ÷ 150,000 = 0.60   ·   144,000 − 120,000 = 24,000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Product line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Pomegranate molasses</w:t>
            </w:r>
          </w:p>
        </w:tc>
        <w:tc>
          <w:tcPr>
            <w:tcW w:type="pct" w:w="2600"/>
            <w:tcMar>
              <w:top w:type="dxa" w:w="50"/>
              <w:left w:type="dxa" w:w="110"/>
              <w:bottom w:type="dxa" w:w="50"/>
              <w:right w:type="dxa" w:w="110"/>
            </w:tcMar>
          </w:tcPr>
          <w:p>
            <w:pPr>
              <w:spacing w:before="28" w:after="28"/>
            </w:pPr>
            <w:r>
              <w:rPr>
                <w:sz w:val="15"/>
                <w:szCs w:val="15"/>
              </w:rPr>
              <w:t xml:space="preserve">LCM (market with ceiling and floor)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Rose water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Za'atar mix</w:t>
            </w:r>
          </w:p>
        </w:tc>
        <w:tc>
          <w:tcPr>
            <w:tcW w:type="pct" w:w="2600"/>
            <w:tcMar>
              <w:top w:type="dxa" w:w="50"/>
              <w:left w:type="dxa" w:w="110"/>
              <w:bottom w:type="dxa" w:w="50"/>
              <w:right w:type="dxa" w:w="110"/>
            </w:tcMar>
          </w:tcPr>
          <w:p>
            <w:pPr>
              <w:spacing w:before="28" w:after="28"/>
            </w:pPr>
            <w:r>
              <w:rPr>
                <w:sz w:val="15"/>
                <w:szCs w:val="15"/>
              </w:rPr>
              <w:t xml:space="preserve">LCNRV</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Frozen kibbeh</w:t>
            </w:r>
          </w:p>
        </w:tc>
        <w:tc>
          <w:tcPr>
            <w:tcW w:type="pct" w:w="2600"/>
            <w:shd w:fill="FBFAF6" w:val="clear"/>
            <w:tcMar>
              <w:top w:type="dxa" w:w="50"/>
              <w:left w:type="dxa" w:w="110"/>
              <w:bottom w:type="dxa" w:w="50"/>
              <w:right w:type="dxa" w:w="110"/>
            </w:tcMar>
          </w:tcPr>
          <w:p>
            <w:pPr>
              <w:spacing w:before="28" w:after="28"/>
            </w:pPr>
            <w:r>
              <w:rPr>
                <w:sz w:val="15"/>
                <w:szCs w:val="15"/>
              </w:rPr>
              <w:t xml:space="preserve">LCNRV</w:t>
            </w:r>
          </w:p>
        </w:tc>
      </w:tr>
      <w:tr>
        <w:tc>
          <w:tcPr>
            <w:tcW w:type="pct" w:w="2400"/>
            <w:tcMar>
              <w:top w:type="dxa" w:w="50"/>
              <w:left w:type="dxa" w:w="110"/>
              <w:bottom w:type="dxa" w:w="50"/>
              <w:right w:type="dxa" w:w="110"/>
            </w:tcMar>
          </w:tcPr>
          <w:p>
            <w:pPr>
              <w:spacing w:before="28" w:after="28"/>
            </w:pPr>
            <w:r>
              <w:rPr>
                <w:sz w:val="15"/>
                <w:szCs w:val="15"/>
              </w:rPr>
              <w:t xml:space="preserve">Olive-oil soap</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LCM (market with ceiling and floor)   ·   purchase commitment   ·   LCNRV</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Recommending a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Pomegranate molasses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Za'atar 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Olive-oil soap</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144,000 − 120,000 = 24,000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perishable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90,000 ÷ 150,000 = 0.60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oldest-first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LCM (market with ceiling and 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conformity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LCNRV</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Level C question may give you a set of facts and ask you to recommend a method. Always check the facts that can rule a method out. If the company, or its parent, reports under IFRS, LIFO is not possible. If items are identical and sold in large volumes, specific identification is costly and open to manipulation. If the company wants the U.S. tax benefit of LIFO, it must also report LIFO profits to investors, and it must avoid liquidating old layers.</w:t>
      </w:r>
    </w:p>
    <w:p>
      <w:pPr>
        <w:spacing w:before="20" w:after="20"/>
        <w:ind w:left="240" w:hanging="240"/>
      </w:pPr>
      <w:r>
        <w:rPr>
          <w:b/>
          <w:bCs/>
          <w:color w:val="353A7C"/>
          <w:sz w:val="15"/>
          <w:szCs w:val="15"/>
        </w:rPr>
        <w:t xml:space="preserve">Summary 2   </w:t>
      </w:r>
      <w:r>
        <w:rPr>
          <w:color w:val="6B7280"/>
          <w:sz w:val="15"/>
          <w:szCs w:val="15"/>
        </w:rPr>
        <w:t xml:space="preserve">Orontes reports under U.S. GAAP, and olive oil prices are rising.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 FIFO matches the physical flow and gives lenders a current inventory amount, but taxes are higher. Recommendation: if the tax saving is the priority, LIFO, with clear disclosure of the LIFO reserve; if lender relations and the balance sheet matter more, FIFO. The answer depends on the stated priority, and a good exam answer names it.</w:t>
      </w:r>
    </w:p>
    <w:p>
      <w:pPr>
        <w:spacing w:before="20" w:after="20"/>
        <w:ind w:left="240" w:hanging="240"/>
      </w:pPr>
      <w:r>
        <w:rPr>
          <w:b/>
          <w:bCs/>
          <w:color w:val="353A7C"/>
          <w:sz w:val="15"/>
          <w:szCs w:val="15"/>
        </w:rPr>
        <w:t xml:space="preserve">Summary 3   </w:t>
      </w:r>
      <w:r>
        <w:rPr>
          <w:color w:val="6B7280"/>
          <w:sz w:val="15"/>
          <w:szCs w:val="15"/>
        </w:rPr>
        <w:t xml:space="preserve">In a case-based question, a recommendation earns credit only if it follows from the facts given. Check IFRS, taxes, price trends, the physical flow and the cost of records before you choose.</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Three categories of debt securities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securities and the equity method   ·   other comprehensive income (OCI)   ·   Measuring debt securities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debt security gives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right to interest and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like a bond. </w:t>
      </w:r>
      <w:r>
        <w:rPr>
          <w:sz w:val="19"/>
          <w:szCs w:val="19"/>
        </w:rPr>
        <w:t xml:space="preserve">An equity security gives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interest, like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common stock. </w:t>
      </w:r>
      <w:r>
        <w:rPr>
          <w:sz w:val="19"/>
          <w:szCs w:val="19"/>
        </w:rPr>
        <w:t xml:space="preserve">Section 9.4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equity securities. </w:t>
      </w:r>
      <w:r>
        <w:rPr>
          <w:sz w:val="19"/>
          <w:szCs w:val="19"/>
        </w:rPr>
        <w:t xml:space="preserve">When a company buys a debt security,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into one of three categories, and it reassesses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each reporting date. </w:t>
      </w:r>
      <w:r>
        <w:rPr>
          <w:sz w:val="19"/>
          <w:szCs w:val="19"/>
        </w:rPr>
        <w:t xml:space="preserve">The category depends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intent and ability, not on the type of bond.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securities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held mainly to sell in the near term.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(HTM) securities are securities the company has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intent and the ability to hold until they mature. </w:t>
      </w:r>
      <w:r>
        <w:rPr>
          <w:sz w:val="19"/>
          <w:szCs w:val="19"/>
        </w:rPr>
        <w:t xml:space="preserve">Available-for-sale (AFS) securities are all other debt securities. </w:t>
      </w:r>
      <w:r>
        <w:rPr>
          <w:sz w:val="19"/>
          <w:szCs w:val="19"/>
        </w:rPr>
        <w:t xml:space="preserve">HTM is a strict category. </w:t>
      </w:r>
      <w:r>
        <w:rPr>
          <w:sz w:val="19"/>
          <w:szCs w:val="19"/>
        </w:rPr>
        <w:t xml:space="preserve">If the company would sell the bond when interest rates change or when it needs cash, it does not have the intent to hold it. </w:t>
      </w:r>
      <w:r>
        <w:rPr>
          <w:sz w:val="19"/>
          <w:szCs w:val="19"/>
        </w:rPr>
        <w:t xml:space="preserve">And if it sells or transfers HTM securities for other reasons, it taints the whole HTM portfolio, which raises doubt about its intent for all its other HTM securities.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classification   ·   ownership   ·   holder   ·   current   ·   covers   ·   positive   ·   Held-to-maturity   ·   bought   ·   management's   ·   shares   ·   classifies   ·   Trading   ·   repayment</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allows a few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such as a sale after the issuer's credit quality falls sharply, or a sale very close to maturity. </w:t>
      </w:r>
      <w:r>
        <w:rPr>
          <w:sz w:val="19"/>
          <w:szCs w:val="19"/>
        </w:rPr>
        <w:t xml:space="preserve">A company may also elect the fair value option for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when it first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it. </w:t>
      </w:r>
      <w:r>
        <w:rPr>
          <w:sz w:val="19"/>
          <w:szCs w:val="19"/>
        </w:rPr>
        <w:t xml:space="preserve">The election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all changes in fair value then go to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security   ·   recognizes   ·   exceptions   ·   standard   ·   maturity   ·   irrevocable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Intent decides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The same bond can be trading, AFS or HTM. </w:t>
      </w:r>
      <w:r>
        <w:rPr>
          <w:sz w:val="19"/>
          <w:szCs w:val="19"/>
        </w:rPr>
        <w:t xml:space="preserve">Read the facts about intent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might sell when rates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cannot use HTM. </w:t>
      </w:r>
      <w:r>
        <w:rPr>
          <w:sz w:val="19"/>
          <w:szCs w:val="19"/>
        </w:rPr>
        <w:t xml:space="preserve">Equity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never trading, AFS or HTM under current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securities   ·   ability   ·   standard   ·   change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(HTM) securities   ·   fair value option   ·   available-for-sale (AFS) securities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400"/>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option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خيار القيمة العادلة</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Three categories of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debt 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Held-to-maturity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securities and the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positive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exceptions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ownership</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security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Trading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available-for-sale (AFS)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held-to-maturity (HTM) securities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debt security gives its holder a right to interest and to repayment, like a bond. An equity security gives an ownership interest, like shares of common stock. Section 9.4 covers equity securities. When a company buys a debt security, it classifies it into one of three categories, and it reassesses the classification at each reporting date. The category depends on management's intent and ability, not on the type of bond. Trading securities are bought and held mainly to sell in the near term. Held-to-maturity (HTM) securities are securities the company has the positive intent and the ability to hold until they mature. Available-for-sale (AFS) securities are all other debt securities. HTM is a strict category.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w:t>
      </w:r>
    </w:p>
    <w:p>
      <w:pPr>
        <w:spacing w:before="20" w:after="20"/>
        <w:ind w:left="240" w:hanging="240"/>
      </w:pPr>
      <w:r>
        <w:rPr>
          <w:b/>
          <w:bCs/>
          <w:color w:val="353A7C"/>
          <w:sz w:val="15"/>
          <w:szCs w:val="15"/>
        </w:rPr>
        <w:t xml:space="preserve">Summary 2   </w:t>
      </w:r>
      <w:r>
        <w:rPr>
          <w:color w:val="6B7280"/>
          <w:sz w:val="15"/>
          <w:szCs w:val="15"/>
        </w:rPr>
        <w:t xml:space="preserve">The standard allows a few exceptions, such as a sale after the issuer's credit quality falls sharply, or a sale very close to maturity. A company may also elect the fair value option for a security when it first recognizes it. The election is irrevocable, and all changes in fair value then go to net income.</w:t>
      </w:r>
    </w:p>
    <w:p>
      <w:pPr>
        <w:spacing w:before="20" w:after="20"/>
        <w:ind w:left="240" w:hanging="240"/>
      </w:pPr>
      <w:r>
        <w:rPr>
          <w:b/>
          <w:bCs/>
          <w:color w:val="353A7C"/>
          <w:sz w:val="15"/>
          <w:szCs w:val="15"/>
        </w:rPr>
        <w:t xml:space="preserve">Summary 3   </w:t>
      </w:r>
      <w:r>
        <w:rPr>
          <w:color w:val="6B7280"/>
          <w:sz w:val="15"/>
          <w:szCs w:val="15"/>
        </w:rPr>
        <w:t xml:space="preserve">The same bond can be trading, AFS or HTM. Read the facts about intent and ability. A company that might sell when rates change cannot use HTM. Equity securities are never trading, AFS or HTM under current U.S. GAAP.</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Measuring debt securities</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Trading and AFS securities are reported at fair value: the price the company would receive if it sold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an orderly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HTM securities are reported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w:t>
      </w:r>
      <w:r>
        <w:rPr>
          <w:sz w:val="19"/>
          <w:szCs w:val="19"/>
        </w:rPr>
        <w:t xml:space="preserve">The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trading and AFS is where the unrealized holding gain or loss goes. </w:t>
      </w:r>
      <w:r>
        <w:rPr>
          <w:sz w:val="19"/>
          <w:szCs w:val="19"/>
        </w:rPr>
        <w:t xml:space="preserve">For trading it goes to net income. </w:t>
      </w:r>
      <w:r>
        <w:rPr>
          <w:sz w:val="19"/>
          <w:szCs w:val="19"/>
        </w:rPr>
        <w:t xml:space="preserve">For AFS it goes to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transaction   ·   amortized   ·   security   ·   comprehensive   ·   adjustment</w:t>
            </w:r>
          </w:p>
        </w:tc>
      </w:tr>
    </w:tbl>
    <w:p/>
    <w:p>
      <w:pPr>
        <w:spacing w:before="44" w:after="10"/>
      </w:pPr>
      <w:r>
        <w:rPr>
          <w:b/>
          <w:bCs/>
          <w:color w:val="353A7C"/>
          <w:sz w:val="18"/>
          <w:szCs w:val="18"/>
        </w:rPr>
        <w:t xml:space="preserve">How each category of investment is measured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7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2474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Held-to-maturity (debt)   ·   debt security</w:t>
            </w:r>
          </w:p>
        </w:tc>
      </w:tr>
    </w:tbl>
    <w:p/>
    <w:p>
      <w:pPr>
        <w:spacing w:before="44" w:after="14"/>
      </w:pPr>
      <w:r>
        <w:rPr>
          <w:b/>
          <w:bCs/>
          <w:color w:val="353A7C"/>
          <w:sz w:val="18"/>
          <w:szCs w:val="18"/>
        </w:rPr>
        <w:t xml:space="preserve">Summary 2</w:t>
      </w:r>
      <w:r>
        <w:rPr>
          <w:color w:val="6B7280"/>
          <w:sz w:val="16"/>
          <w:szCs w:val="16"/>
        </w:rPr>
        <w:t xml:space="preserve">      gaps 8–14</w:t>
      </w:r>
    </w:p>
    <w:p>
      <w:pPr>
        <w:spacing w:before="20" w:after="20" w:line="360" w:lineRule="auto"/>
        <w:ind w:left="200"/>
      </w:pPr>
      <w:r>
        <w:rPr>
          <w:sz w:val="19"/>
          <w:szCs w:val="19"/>
        </w:rPr>
        <w:t xml:space="preserve">A bond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a bond premium when its stated interest rate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than the market rate, and at a bond discount when it is lower. </w:t>
      </w:r>
      <w:r>
        <w:rPr>
          <w:sz w:val="19"/>
          <w:szCs w:val="19"/>
        </w:rPr>
        <w:t xml:space="preserve">Under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method, interest revenue for each year is the carrying amount at the start of the year multiplied by the market rate 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cash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the face amount multiplied by the stated rate. </w:t>
      </w: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amortizes the premium or discount, so the carrying amount moves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face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orderly   ·   toward   ·   bought   ·   higher   ·   received   ·   purchase   ·   effective-interest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buys a corporate bond</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 2025, Orontes buys a 3-year bond with a face amount of $100,000 and a stated rate of 6%, paid each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31. </w:t>
      </w:r>
      <w:r>
        <w:rPr>
          <w:sz w:val="19"/>
          <w:szCs w:val="19"/>
        </w:rPr>
        <w:t xml:space="preserve">The market rate is 5%, so Orontes pays $102,723,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of $2,723.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premium   ·   interest   ·   December   ·   January</w:t>
            </w:r>
          </w:p>
        </w:tc>
      </w:tr>
    </w:tbl>
    <w:p/>
    <w:p>
      <w:pPr>
        <w:pageBreakBefore w:val="true"/>
        <w:spacing w:after="0"/>
      </w:pPr>
      <w:r>
        <w:rPr>
          <w:sz w:val="2"/>
        </w:rPr>
        <w:t xml:space="preserve"> </w:t>
      </w:r>
    </w:p>
    <w:p>
      <w:pPr>
        <w:spacing w:before="44" w:after="10"/>
      </w:pPr>
      <w:r>
        <w:rPr>
          <w:b/>
          <w:bCs/>
          <w:color w:val="353A7C"/>
          <w:sz w:val="18"/>
          <w:szCs w:val="18"/>
        </w:rPr>
        <w:t xml:space="preserve">Orontes buys a corporate bond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debt security   ·   Cash interest</w:t>
            </w:r>
          </w:p>
        </w:tc>
      </w:tr>
    </w:tbl>
    <w:p/>
    <w:p>
      <w:pPr>
        <w:spacing w:before="44" w:after="14"/>
      </w:pPr>
      <w:r>
        <w:rPr>
          <w:b/>
          <w:bCs/>
          <w:color w:val="353A7C"/>
          <w:sz w:val="18"/>
          <w:szCs w:val="18"/>
        </w:rPr>
        <w:t xml:space="preserve">Summary 4</w:t>
      </w:r>
      <w:r>
        <w:rPr>
          <w:color w:val="6B7280"/>
          <w:sz w:val="16"/>
          <w:szCs w:val="16"/>
        </w:rPr>
        <w:t xml:space="preserve">      gaps 19–20</w:t>
      </w:r>
    </w:p>
    <w:p>
      <w:pPr>
        <w:spacing w:before="20" w:after="20" w:line="360" w:lineRule="auto"/>
        <w:ind w:left="200"/>
      </w:pPr>
      <w:r>
        <w:rPr>
          <w:sz w:val="19"/>
          <w:szCs w:val="19"/>
        </w:rPr>
        <w:t xml:space="preserve">In 2025,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revenue is $102,723 × 5% = $5,136. </w:t>
      </w:r>
      <w:r>
        <w:rPr>
          <w:sz w:val="19"/>
          <w:szCs w:val="19"/>
        </w:rPr>
        <w:t xml:space="preserve">At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bond's fair value is $101,000.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year-end   ·   sometimes</w:t>
            </w:r>
          </w:p>
        </w:tc>
      </w:tr>
    </w:tbl>
    <w:p/>
    <w:p>
      <w:pPr>
        <w:spacing w:before="44" w:after="10"/>
      </w:pPr>
      <w:r>
        <w:rPr>
          <w:b/>
          <w:bCs/>
          <w:color w:val="353A7C"/>
          <w:sz w:val="18"/>
          <w:szCs w:val="18"/>
        </w:rPr>
        <w:t xml:space="preserve">The same bond under three categories, 2025 (whole USD)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holding gain or loss   ·   Amortized cost at Dec 31, 2025</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22–33</w:t>
      </w:r>
    </w:p>
    <w:p>
      <w:pPr>
        <w:spacing w:before="20" w:after="20" w:line="360" w:lineRule="auto"/>
        <w:ind w:left="200"/>
      </w:pPr>
      <w:r>
        <w:rPr>
          <w:sz w:val="19"/>
          <w:szCs w:val="19"/>
        </w:rPr>
        <w:t xml:space="preserve">Interest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is the same in all three categories. </w:t>
      </w:r>
      <w:r>
        <w:rPr>
          <w:sz w:val="19"/>
          <w:szCs w:val="19"/>
        </w:rPr>
        <w:t xml:space="preserve">Only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sheet amount and the place of the unrealized loss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While Orontes holds an AFS bond, its unrealized gains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build up in accumulated OCI, part of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the bond, the realized gain or loss moves to net income through a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called recycling. </w:t>
      </w:r>
      <w:r>
        <w:rPr>
          <w:sz w:val="19"/>
          <w:szCs w:val="19"/>
        </w:rPr>
        <w:t xml:space="preserve">On the sale, the realized gain is the price minus the amortized cost: $101,500 − $100,952 = $548. </w:t>
      </w:r>
      <w:r>
        <w:rPr>
          <w:sz w:val="19"/>
          <w:szCs w:val="19"/>
        </w:rPr>
        <w:t xml:space="preserve">Accumulated OCI for the bond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to zero, so the gain is never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twice. </w:t>
      </w:r>
      <w:r>
        <w:rPr>
          <w:sz w:val="19"/>
          <w:szCs w:val="19"/>
        </w:rPr>
        <w:t xml:space="preserve">Transfers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categories are made at fair value. </w:t>
      </w:r>
      <w:r>
        <w:rPr>
          <w:sz w:val="19"/>
          <w:szCs w:val="19"/>
        </w:rPr>
        <w:t xml:space="preserve">When a security moves into trading, any unrealized gain or loss not yet in net income goes to net income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When an AFS security moves to HTM, the unrealized amount stays in accumulated OCI and is amortized over 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life. </w:t>
      </w:r>
      <w:r>
        <w:rPr>
          <w:sz w:val="19"/>
          <w:szCs w:val="19"/>
        </w:rPr>
        <w:t xml:space="preserve">Transfers into or out of trading should be rare.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counted   ·   immediately   ·   balance   ·   reclassification   ·   adjustment   ·   between   ·   equity   ·   remaining   ·   sometimes   ·   returns   ·   losses   ·   differ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does it go?</w:t>
            </w:r>
          </w:p>
        </w:tc>
      </w:tr>
    </w:tbl>
    <w:p/>
    <w:p>
      <w:pPr>
        <w:spacing w:before="44" w:after="14"/>
      </w:pPr>
      <w:r>
        <w:rPr>
          <w:b/>
          <w:bCs/>
          <w:color w:val="353A7C"/>
          <w:sz w:val="18"/>
          <w:szCs w:val="18"/>
        </w:rPr>
        <w:t xml:space="preserve">Summary 6</w:t>
      </w:r>
      <w:r>
        <w:rPr>
          <w:color w:val="6B7280"/>
          <w:sz w:val="16"/>
          <w:szCs w:val="16"/>
        </w:rPr>
        <w:t xml:space="preserve">      gaps 34–36</w:t>
      </w:r>
    </w:p>
    <w:p>
      <w:pPr>
        <w:spacing w:before="20" w:after="20" w:line="360" w:lineRule="auto"/>
        <w:ind w:left="200"/>
      </w:pPr>
      <w:r>
        <w:rPr>
          <w:sz w:val="19"/>
          <w:szCs w:val="19"/>
        </w:rPr>
        <w:t xml:space="preserve">Trading: fair value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in net income. </w:t>
      </w:r>
      <w:r>
        <w:rPr>
          <w:sz w:val="19"/>
          <w:szCs w:val="19"/>
        </w:rPr>
        <w:t xml:space="preserve">Interest revenue =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carrying amount × market rate, not face × stated rate. </w:t>
      </w:r>
      <w:r>
        <w:rPr>
          <w:sz w:val="19"/>
          <w:szCs w:val="19"/>
        </w:rPr>
        <w:t xml:space="preserve">On sale of AFS debt, recycle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OCI; do not count the gain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remaining   ·   beginning   ·   accumulated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bond discount   ·   effective-interest method   ·   bond premium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600"/>
            <w:tcMar>
              <w:top w:type="dxa" w:w="50"/>
              <w:left w:type="dxa" w:w="110"/>
              <w:bottom w:type="dxa" w:w="50"/>
              <w:right w:type="dxa" w:w="110"/>
            </w:tcMar>
          </w:tcPr>
          <w:p>
            <w:pPr>
              <w:spacing w:before="26" w:after="26"/>
            </w:pPr>
            <w:r>
              <w:rPr>
                <w:color w:val="232733"/>
                <w:sz w:val="16"/>
                <w:szCs w:val="16"/>
              </w:rPr>
              <w:t xml:space="preserve">bond discount</w:t>
            </w:r>
          </w:p>
        </w:tc>
        <w:tc>
          <w:tcPr>
            <w:tcW w:type="pct" w:w="2400"/>
            <w:tcMar>
              <w:top w:type="dxa" w:w="50"/>
              <w:left w:type="dxa" w:w="110"/>
              <w:bottom w:type="dxa" w:w="50"/>
              <w:right w:type="dxa" w:w="110"/>
            </w:tcMar>
          </w:tcPr>
          <w:p>
            <w:pPr>
              <w:spacing w:before="26" w:after="26"/>
            </w:pPr>
            <w:r>
              <w:rPr>
                <w:color w:val="232733"/>
                <w:sz w:val="16"/>
                <w:szCs w:val="16"/>
              </w:rPr>
              <w:t xml:space="preserve">خصم إصدار السند</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Measuring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Amortized cost at Dec 31, 2025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Held-to-maturity (debt)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effective-interest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toward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Cash interest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effective-interest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bond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year-end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Trading and AFS securities are reported at fair value: the price the company would receive if it sold the security in an orderly transaction. HTM securities are reported at amortized cost. The main difference between trading and AFS is where the unrealized holding gain or loss goes. For trading it goes to net income. For AFS it goes to other comprehensive income (OCI).</w:t>
      </w:r>
    </w:p>
    <w:p>
      <w:pPr>
        <w:spacing w:before="20" w:after="20"/>
        <w:ind w:left="240" w:hanging="240"/>
      </w:pPr>
      <w:r>
        <w:rPr>
          <w:b/>
          <w:bCs/>
          <w:color w:val="353A7C"/>
          <w:sz w:val="15"/>
          <w:szCs w:val="15"/>
        </w:rPr>
        <w:t xml:space="preserve">Summary 2   </w:t>
      </w:r>
      <w:r>
        <w:rPr>
          <w:color w:val="6B7280"/>
          <w:sz w:val="15"/>
          <w:szCs w:val="15"/>
        </w:rPr>
        <w:t xml:space="preserve">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 The cash received is the face amount multiplied by the stated rate. The difference amortizes the premium or discount, so the carrying amount moves toward face value.</w:t>
      </w:r>
    </w:p>
    <w:p>
      <w:pPr>
        <w:spacing w:before="20" w:after="20"/>
        <w:ind w:left="240" w:hanging="240"/>
      </w:pPr>
      <w:r>
        <w:rPr>
          <w:b/>
          <w:bCs/>
          <w:color w:val="353A7C"/>
          <w:sz w:val="15"/>
          <w:szCs w:val="15"/>
        </w:rPr>
        <w:t xml:space="preserve">Summary 3   </w:t>
      </w:r>
      <w:r>
        <w:rPr>
          <w:color w:val="6B7280"/>
          <w:sz w:val="15"/>
          <w:szCs w:val="15"/>
        </w:rPr>
        <w:t xml:space="preserve">On January 1, 2025, Orontes buys a 3-year bond with a face amount of $100,000 and a stated rate of 6%, paid each December 31. The market rate is 5%, so Orontes pays $102,723, a premium of $2,723.</w:t>
      </w:r>
    </w:p>
    <w:p>
      <w:pPr>
        <w:spacing w:before="20" w:after="20"/>
        <w:ind w:left="240" w:hanging="240"/>
      </w:pPr>
      <w:r>
        <w:rPr>
          <w:b/>
          <w:bCs/>
          <w:color w:val="353A7C"/>
          <w:sz w:val="15"/>
          <w:szCs w:val="15"/>
        </w:rPr>
        <w:t xml:space="preserve">Summary 4   </w:t>
      </w:r>
      <w:r>
        <w:rPr>
          <w:color w:val="6B7280"/>
          <w:sz w:val="15"/>
          <w:szCs w:val="15"/>
        </w:rPr>
        <w:t xml:space="preserve">In 2025, interest revenue is $102,723 × 5% = $5,136. At year-end the bond's fair value is $101,000.</w:t>
      </w:r>
    </w:p>
    <w:p>
      <w:pPr>
        <w:spacing w:before="20" w:after="20"/>
        <w:ind w:left="240" w:hanging="240"/>
      </w:pPr>
      <w:r>
        <w:rPr>
          <w:b/>
          <w:bCs/>
          <w:color w:val="353A7C"/>
          <w:sz w:val="15"/>
          <w:szCs w:val="15"/>
        </w:rPr>
        <w:t xml:space="preserve">Summary 5   </w:t>
      </w:r>
      <w:r>
        <w:rPr>
          <w:color w:val="6B7280"/>
          <w:sz w:val="15"/>
          <w:szCs w:val="15"/>
        </w:rPr>
        <w:t xml:space="preserve">Interest revenue is the same in all three categories. Only the balance sheet amount and the place of the unrealized loss differ. While Orontes holds an AFS bond, its unrealized gains and losses build up in accumulated OCI, part of equity. When Orontes sells the bond, the realized gain or loss moves to net income through a reclassification adjustment, sometimes called recycling. On the sale, the realized gain is the price minus the amortized cost: $101,500 − $100,952 = $548. Accumulated OCI for the bond returns to zero, so the gain is never counted twice. Transfers between categories are made at fair value. When a security moves into trading, any unrealized gain or loss not yet in net income goes to net income immediately. When an AFS security moves to HTM, the unrealized amount stays in accumulated OCI and is amortized over the remaining life. Transfers into or out of trading should be rare.</w:t>
      </w:r>
    </w:p>
    <w:p>
      <w:pPr>
        <w:spacing w:before="20" w:after="20"/>
        <w:ind w:left="240" w:hanging="240"/>
      </w:pPr>
      <w:r>
        <w:rPr>
          <w:b/>
          <w:bCs/>
          <w:color w:val="353A7C"/>
          <w:sz w:val="15"/>
          <w:szCs w:val="15"/>
        </w:rPr>
        <w:t xml:space="preserve">Summary 6   </w:t>
      </w:r>
      <w:r>
        <w:rPr>
          <w:color w:val="6B7280"/>
          <w:sz w:val="15"/>
          <w:szCs w:val="15"/>
        </w:rPr>
        <w:t xml:space="preserve">Trading: fair value changes in net income. Interest revenue = beginning carrying amount × market rate, not face × stated rate. On sale of AFS debt, recycle the accumulated OCI; do not count the gain twice.</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Credit losses on debt securities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HTM securities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amortized cost, so they follow CECL, like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records an allowance for lifetime expected credit losses from day one. </w:t>
      </w:r>
      <w:r>
        <w:rPr>
          <w:sz w:val="19"/>
          <w:szCs w:val="19"/>
        </w:rPr>
        <w:t xml:space="preserve">For very safe bonds, such as 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bonds, the expected loss can be zero. </w:t>
      </w:r>
      <w:r>
        <w:rPr>
          <w:sz w:val="19"/>
          <w:szCs w:val="19"/>
        </w:rPr>
        <w:t xml:space="preserve">AFS securities follow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model.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impaired when its fair value is below its amortized cost. </w:t>
      </w:r>
      <w:r>
        <w:rPr>
          <w:sz w:val="19"/>
          <w:szCs w:val="19"/>
        </w:rPr>
        <w:t xml:space="preserve">The credit part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an allowance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income. </w:t>
      </w:r>
      <w:r>
        <w:rPr>
          <w:sz w:val="19"/>
          <w:szCs w:val="19"/>
        </w:rPr>
        <w:t xml:space="preserve">The rest of the decline goes to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receivables   ·   through   ·   amortized   ·   security   ·   recorded   ·   different   ·   Treasury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fair-value floor</w:t>
            </w:r>
          </w:p>
        </w:tc>
      </w:tr>
    </w:tbl>
    <w:p/>
    <w:p>
      <w:pPr>
        <w:spacing w:before="44" w:after="10"/>
      </w:pPr>
      <w:r>
        <w:rPr>
          <w:b/>
          <w:bCs/>
          <w:color w:val="353A7C"/>
          <w:sz w:val="18"/>
          <w:szCs w:val="18"/>
        </w:rPr>
        <w:t xml:space="preserve">The test, and what follows either way</w:t>
      </w:r>
    </w:p>
    <w:p>
      <w:pPr>
        <w:spacing w:before="0" w:after="12"/>
      </w:pPr>
      <w:r>
        <w:rPr>
          <w:color w:val="6B7280"/>
          <w:sz w:val="15"/>
          <w:szCs w:val="15"/>
        </w:rPr>
        <w:t xml:space="preserve">One route applies, and only one.</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writes the security down to fair value through net income   ·   recovers   ·   reclassification adjustment   ·   separates</w:t>
            </w:r>
          </w:p>
        </w:tc>
      </w:tr>
    </w:tbl>
    <w:p/>
    <w:p>
      <w:pPr>
        <w:spacing w:before="44" w:after="14"/>
      </w:pPr>
      <w:r>
        <w:rPr>
          <w:b/>
          <w:bCs/>
          <w:color w:val="353A7C"/>
          <w:sz w:val="18"/>
          <w:szCs w:val="18"/>
        </w:rPr>
        <w:t xml:space="preserve">Summary 2</w:t>
      </w:r>
      <w:r>
        <w:rPr>
          <w:color w:val="6B7280"/>
          <w:sz w:val="16"/>
          <w:szCs w:val="16"/>
        </w:rPr>
        <w:t xml:space="preserve">      gaps 11–16</w:t>
      </w:r>
    </w:p>
    <w:p>
      <w:pPr>
        <w:spacing w:before="20" w:after="20" w:line="360" w:lineRule="auto"/>
        <w:ind w:left="200"/>
      </w:pPr>
      <w:r>
        <w:rPr>
          <w:sz w:val="19"/>
          <w:szCs w:val="19"/>
        </w:rPr>
        <w:t xml:space="preserve">An AFS bond has an amortized cost of $50,000 and a fair value of $44,000. </w:t>
      </w:r>
      <w:r>
        <w:rPr>
          <w:sz w:val="19"/>
          <w:szCs w:val="19"/>
        </w:rPr>
        <w:t xml:space="preserve">The allowance can never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than amortized cost minus fair value: $6,000. </w:t>
      </w:r>
      <w:r>
        <w:rPr>
          <w:sz w:val="19"/>
          <w:szCs w:val="19"/>
        </w:rPr>
        <w:t xml:space="preserve">Case A: the present value of expected cash flows is $47,000. </w:t>
      </w:r>
      <w:r>
        <w:rPr>
          <w:sz w:val="19"/>
          <w:szCs w:val="19"/>
        </w:rPr>
        <w:t xml:space="preserve">The credit loss is $3,000 (allowance, net income), and the other $3,000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goes to OCI. </w:t>
      </w:r>
      <w:r>
        <w:rPr>
          <w:sz w:val="19"/>
          <w:szCs w:val="19"/>
        </w:rPr>
        <w:t xml:space="preserve">Case B: the present value of expected cash flows is $42,000. </w:t>
      </w:r>
      <w:r>
        <w:rPr>
          <w:sz w:val="19"/>
          <w:szCs w:val="19"/>
        </w:rPr>
        <w:t xml:space="preserve">The credit loss would be $8,000, but the allowance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$6,000.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goes to OCI. </w:t>
      </w:r>
      <w:r>
        <w:rPr>
          <w:sz w:val="19"/>
          <w:szCs w:val="19"/>
        </w:rPr>
        <w:t xml:space="preserve">If credit quality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later, the allowance can be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through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reversed   ·   decline   ·   improves   ·   limited   ·   Nothing   ·   records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AFS floor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AFS allowance ≤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cost − fair value. </w:t>
      </w:r>
      <w:r>
        <w:rPr>
          <w:sz w:val="19"/>
          <w:szCs w:val="19"/>
        </w:rPr>
        <w:t xml:space="preserve">HTM has no such limit. </w:t>
      </w:r>
      <w:r>
        <w:rPr>
          <w:sz w:val="19"/>
          <w:szCs w:val="19"/>
        </w:rPr>
        <w:t xml:space="preserve">If the company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sell, there is no allowance: write the bond down to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intends   ·   amortized   ·   impaired</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Credit losses on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larger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limited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reversed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writes the security down to fair value through net income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intends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HTM securities are measured at amortized cost, so they follow CECL, like the receivables: the company records an allowance for lifetime expected credit losses from day one. For very safe bonds, such as U.S. Treasury bonds, the expected loss can be zero. AFS securities follow a different model. A security is impaired when its fair value is below its amortized cost. The credit part is recorded in an allowance through net income. The rest of the decline goes to OCI.</w:t>
      </w:r>
    </w:p>
    <w:p>
      <w:pPr>
        <w:spacing w:before="20" w:after="20"/>
        <w:ind w:left="240" w:hanging="240"/>
      </w:pPr>
      <w:r>
        <w:rPr>
          <w:b/>
          <w:bCs/>
          <w:color w:val="353A7C"/>
          <w:sz w:val="15"/>
          <w:szCs w:val="15"/>
        </w:rPr>
        <w:t xml:space="preserve">Summary 2   </w:t>
      </w:r>
      <w:r>
        <w:rPr>
          <w:color w:val="6B7280"/>
          <w:sz w:val="15"/>
          <w:szCs w:val="15"/>
        </w:rPr>
        <w:t xml:space="preserve">An AFS bond has an amortized cost of $50,000 and a fair value of $44,000. The allowance can never be larger than amortized cost minus fair value: $6,000. Case A: the present value of expected cash flows is $47,000. The credit loss is $3,000 (allowance, net income), and the other $3,000 of the decline goes to OCI. Case B: the present value of expected cash flows is $42,000. The credit loss would be $8,000, but the allowance is limited to $6,000. Nothing goes to OCI. If credit quality improves later, the allowance can be reversed through net income.</w:t>
      </w:r>
    </w:p>
    <w:p>
      <w:pPr>
        <w:spacing w:before="20" w:after="20"/>
        <w:ind w:left="240" w:hanging="240"/>
      </w:pPr>
      <w:r>
        <w:rPr>
          <w:b/>
          <w:bCs/>
          <w:color w:val="353A7C"/>
          <w:sz w:val="15"/>
          <w:szCs w:val="15"/>
        </w:rPr>
        <w:t xml:space="preserve">Summary 3   </w:t>
      </w:r>
      <w:r>
        <w:rPr>
          <w:color w:val="6B7280"/>
          <w:sz w:val="15"/>
          <w:szCs w:val="15"/>
        </w:rPr>
        <w:t xml:space="preserve">AFS allowance ≤ amortized cost − fair value. HTM has no such limit. If the company intends to sell, there is no allowance: write the bond down to fair value.</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Equity securities and the equity method</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For shares, the key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how much influence the investor has over the investee, the company whose shares it holds. </w:t>
      </w:r>
      <w:r>
        <w:rPr>
          <w:sz w:val="19"/>
          <w:szCs w:val="19"/>
        </w:rPr>
        <w:t xml:space="preserve">Shares with a readily determinable fair value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fair value, and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go to net income. </w:t>
      </w:r>
      <w:r>
        <w:rPr>
          <w:sz w:val="19"/>
          <w:szCs w:val="19"/>
        </w:rPr>
        <w:t xml:space="preserve">There is no AFS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no OCI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shares. </w:t>
      </w:r>
      <w:r>
        <w:rPr>
          <w:sz w:val="19"/>
          <w:szCs w:val="19"/>
        </w:rPr>
        <w:t xml:space="preserve">Dividends received are income. </w:t>
      </w:r>
      <w:r>
        <w:rPr>
          <w:sz w:val="19"/>
          <w:szCs w:val="19"/>
        </w:rPr>
        <w:t xml:space="preserve">For example, 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listed shares for $20,000;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they are worth $23,500, and Orontes received dividends of $400. </w:t>
      </w:r>
      <w:r>
        <w:rPr>
          <w:sz w:val="19"/>
          <w:szCs w:val="19"/>
        </w:rPr>
        <w:t xml:space="preserve">Net income includes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gain of $3,500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of $400. </w:t>
      </w:r>
      <w:r>
        <w:rPr>
          <w:sz w:val="19"/>
          <w:szCs w:val="19"/>
        </w:rPr>
        <w:t xml:space="preserve">For shares with no readily determinable fair value, such as shares of a private company, the investor may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alternative: cost minus impairment, adjusted when an orderly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or a similar share shows a new price. </w:t>
      </w:r>
      <w:r>
        <w:rPr>
          <w:sz w:val="19"/>
          <w:szCs w:val="19"/>
        </w:rPr>
        <w:t xml:space="preserve">An investor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influence can take part in the investee's financial and operating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bought   ·   transaction   ·   changes   ·   dividend   ·   option   ·   year-end   ·   measured   ·   significant   ·   impaired   ·   category   ·   question   ·   measurement</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Influence is presumed when the investor holds 20% to 50% of the voting stock, but the evidence decides: a board seat,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policy decisions or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between the companies can show influence even below 20%. </w:t>
      </w:r>
      <w:r>
        <w:rPr>
          <w:sz w:val="19"/>
          <w:szCs w:val="19"/>
        </w:rPr>
        <w:t xml:space="preserve">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influence, the investor uses the equity method. </w:t>
      </w:r>
      <w:r>
        <w:rPr>
          <w:sz w:val="19"/>
          <w:szCs w:val="19"/>
        </w:rPr>
        <w:t xml:space="preserve">Under the equity method, the investment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at cost. </w:t>
      </w:r>
      <w:r>
        <w:rPr>
          <w:sz w:val="19"/>
          <w:szCs w:val="19"/>
        </w:rPr>
        <w:t xml:space="preserve">It increases by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 of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net income and decreases by the dividends the investor receives. </w:t>
      </w:r>
      <w:r>
        <w:rPr>
          <w:sz w:val="19"/>
          <w:szCs w:val="19"/>
        </w:rPr>
        <w:t xml:space="preserve">The dividends are not income,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they only return part of the investment.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difference   ·   investee's   ·   transactions   ·   because   ·   starts   ·   investor's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and Jordan Glass Co.</w:t>
            </w:r>
          </w:p>
        </w:tc>
      </w:tr>
    </w:tbl>
    <w:p/>
    <w:p>
      <w:pPr>
        <w:spacing w:before="44" w:after="14"/>
      </w:pPr>
      <w:r>
        <w:rPr>
          <w:b/>
          <w:bCs/>
          <w:color w:val="353A7C"/>
          <w:sz w:val="18"/>
          <w:szCs w:val="18"/>
        </w:rPr>
        <w:t xml:space="preserve">Summary 3</w:t>
      </w:r>
      <w:r>
        <w:rPr>
          <w:color w:val="6B7280"/>
          <w:sz w:val="16"/>
          <w:szCs w:val="16"/>
        </w:rPr>
        <w:t xml:space="preserve">      gaps 20–29</w:t>
      </w:r>
    </w:p>
    <w:p>
      <w:pPr>
        <w:spacing w:before="20" w:after="20" w:line="360" w:lineRule="auto"/>
        <w:ind w:left="200"/>
      </w:pPr>
      <w:r>
        <w:rPr>
          <w:sz w:val="19"/>
          <w:szCs w:val="19"/>
        </w:rPr>
        <w:t xml:space="preserve">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1, 2025, Orontes buys 30% of Jordan Glass Co., its bottle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$1,200,000. </w:t>
      </w:r>
      <w:r>
        <w:rPr>
          <w:sz w:val="19"/>
          <w:szCs w:val="19"/>
        </w:rPr>
        <w:t xml:space="preserve">Jordan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net assets have a book value of $3,000,000, so Orontes's share of book value is $900,000. </w:t>
      </w:r>
      <w:r>
        <w:rPr>
          <w:sz w:val="19"/>
          <w:szCs w:val="19"/>
        </w:rPr>
        <w:t xml:space="preserve">The basis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of $300,000 has two parts: $30,000 for Orontes's share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worth more than its book value, which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over 10 years ($3,000 a year), and $270,000 of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which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In 2025 Jordan Glass earns $500,000 and pays dividends of $200,000. </w:t>
      </w:r>
      <w:r>
        <w:rPr>
          <w:sz w:val="19"/>
          <w:szCs w:val="19"/>
        </w:rPr>
        <w:t xml:space="preserve">Orontes reports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income of $147,000 and an investment of $1,287,000 at the end of 2025. </w:t>
      </w:r>
      <w:r>
        <w:rPr>
          <w:sz w:val="19"/>
          <w:szCs w:val="19"/>
        </w:rPr>
        <w:t xml:space="preserve">The dividends of $60,000 are cash in and investment out; they do not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Glass's   ·   January   ·   equipment   ·   difference   ·   amortized   ·   goodwill   ·   change   ·   equity-method   ·   investor   ·   supplier   ·   depreciated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Jordan Glass in 2026</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30–41</w:t>
      </w:r>
    </w:p>
    <w:p>
      <w:pPr>
        <w:spacing w:before="20" w:after="20" w:line="360" w:lineRule="auto"/>
        <w:ind w:left="200"/>
      </w:pPr>
      <w:r>
        <w:rPr>
          <w:sz w:val="19"/>
          <w:szCs w:val="19"/>
        </w:rPr>
        <w:t xml:space="preserve">In 2026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Glass earns $400,000 and pays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of $100,000. </w:t>
      </w:r>
      <w:r>
        <w:rPr>
          <w:sz w:val="19"/>
          <w:szCs w:val="19"/>
        </w:rPr>
        <w:t xml:space="preserve">The extra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is the same as in 2025. </w:t>
      </w:r>
      <w:r>
        <w:rPr>
          <w:sz w:val="19"/>
          <w:szCs w:val="19"/>
        </w:rPr>
        <w:t xml:space="preserve">Three more equity-method rules appear in exam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w:t>
      </w:r>
      <w:r>
        <w:rPr>
          <w:sz w:val="19"/>
          <w:szCs w:val="19"/>
        </w:rPr>
        <w:t xml:space="preserve">Losses reduce the investment only to zero, unless the investor has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the investee's debts. </w:t>
      </w:r>
      <w:r>
        <w:rPr>
          <w:sz w:val="19"/>
          <w:szCs w:val="19"/>
        </w:rPr>
        <w:t xml:space="preserve">Profits on sales between the two companies are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until the goods are sold to outsiders. </w:t>
      </w:r>
      <w:r>
        <w:rPr>
          <w:sz w:val="19"/>
          <w:szCs w:val="19"/>
        </w:rPr>
        <w:t xml:space="preserve">And when an investor first gains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influence, it starts the equity method from that date; it does not restate prior years. </w:t>
      </w:r>
      <w:r>
        <w:rPr>
          <w:sz w:val="19"/>
          <w:szCs w:val="19"/>
        </w:rPr>
        <w:t xml:space="preserve">An investor may also elect the fair value option for an equity-method investment. </w:t>
      </w:r>
      <w:r>
        <w:rPr>
          <w:sz w:val="19"/>
          <w:szCs w:val="19"/>
        </w:rPr>
        <w:t xml:space="preserve">Crypto assets that meet the ASU 2023-08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are measured at fair value through net income. </w:t>
      </w:r>
      <w:r>
        <w:rPr>
          <w:sz w:val="19"/>
          <w:szCs w:val="19"/>
        </w:rPr>
        <w:t xml:space="preserve">This rule became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for fiscal years beginning after December 15, 2024, so it is now testable. </w:t>
      </w:r>
      <w:r>
        <w:rPr>
          <w:sz w:val="19"/>
          <w:szCs w:val="19"/>
        </w:rPr>
        <w:t xml:space="preserve">IFRS 9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debt by the business model and the cash flows (amortized cost, FVOCI or FVPL), not by intent. </w:t>
      </w:r>
      <w:r>
        <w:rPr>
          <w:sz w:val="19"/>
          <w:szCs w:val="19"/>
        </w:rPr>
        <w:t xml:space="preserve">For shares, IFRS 9 allows an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election to put fair value changes in OCI, with no recycling on sale; U.S. GAAP has no such option. </w:t>
      </w:r>
      <w:r>
        <w:rPr>
          <w:sz w:val="19"/>
          <w:szCs w:val="19"/>
        </w:rPr>
        <w:t xml:space="preserve">Under IAS 28, an equity-method investment that is impaired can later be written back up; under U.S. GAAP the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is not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questions   ·   amortize   ·   Jordan   ·   guaranteed   ·   irrevocable   ·   significant   ·   definition   ·   impairment   ·   effective   ·   depreciation   ·   eliminated   ·   dividends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Dividends and percentages</w:t>
            </w:r>
          </w:p>
        </w:tc>
      </w:tr>
    </w:tbl>
    <w:p/>
    <w:p>
      <w:pPr>
        <w:spacing w:before="44" w:after="14"/>
      </w:pPr>
      <w:r>
        <w:rPr>
          <w:b/>
          <w:bCs/>
          <w:color w:val="353A7C"/>
          <w:sz w:val="18"/>
          <w:szCs w:val="18"/>
        </w:rPr>
        <w:t xml:space="preserve">Summary 5</w:t>
      </w:r>
      <w:r>
        <w:rPr>
          <w:color w:val="6B7280"/>
          <w:sz w:val="16"/>
          <w:szCs w:val="16"/>
        </w:rPr>
        <w:t xml:space="preserve">      gaps 42–44</w:t>
      </w:r>
    </w:p>
    <w:p>
      <w:pPr>
        <w:spacing w:before="20" w:after="20" w:line="360" w:lineRule="auto"/>
        <w:ind w:left="200"/>
      </w:pPr>
      <w:r>
        <w:rPr>
          <w:sz w:val="19"/>
          <w:szCs w:val="19"/>
        </w:rPr>
        <w:t xml:space="preserve">Equity method: dividends reduce the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They are not income. </w:t>
      </w:r>
      <w:r>
        <w:rPr>
          <w:sz w:val="19"/>
          <w:szCs w:val="19"/>
        </w:rPr>
        <w:t xml:space="preserve">Take only the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share of the investee's income. </w:t>
      </w:r>
      <w:r>
        <w:rPr>
          <w:sz w:val="19"/>
          <w:szCs w:val="19"/>
        </w:rPr>
        <w:t xml:space="preserve"/>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the part of the basis difference assigned to assets; do not amortize the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unrealized   ·   Depreciate   ·   investor's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00"/>
        <w:gridCol w:w="4224"/>
        <w:gridCol w:w="218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Dividends and percentages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094"/>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138"/>
            <w:shd w:fill="353A7C" w:val="clear"/>
            <w:tcMar>
              <w:top w:type="dxa" w:w="50"/>
              <w:left w:type="dxa" w:w="110"/>
              <w:bottom w:type="dxa" w:w="50"/>
              <w:right w:type="dxa" w:w="110"/>
            </w:tcMar>
          </w:tcPr>
          <w:p>
            <w:pPr>
              <w:spacing w:before="30" w:after="30"/>
            </w:pPr>
            <w:r>
              <w:rPr>
                <w:b/>
                <w:bCs/>
                <w:color w:val="FFFFFF"/>
                <w:sz w:val="15"/>
                <w:szCs w:val="15"/>
              </w:rPr>
              <w:t xml:space="preserve">Amounts, Dec 31, 2025</w:t>
            </w:r>
          </w:p>
        </w:tc>
      </w:tr>
      <w:tr>
        <w:tc>
          <w:tcPr>
            <w:tcW w:type="pct" w:w="568"/>
            <w:tcMar>
              <w:top w:type="dxa" w:w="50"/>
              <w:left w:type="dxa" w:w="110"/>
              <w:bottom w:type="dxa" w:w="50"/>
              <w:right w:type="dxa" w:w="110"/>
            </w:tcMar>
          </w:tcPr>
          <w:p>
            <w:pPr>
              <w:spacing w:before="28" w:after="28"/>
            </w:pPr>
            <w:r>
              <w:rPr>
                <w:sz w:val="15"/>
                <w:szCs w:val="15"/>
              </w:rPr>
              <w:t xml:space="preserve">A</w:t>
            </w:r>
          </w:p>
        </w:tc>
        <w:tc>
          <w:tcPr>
            <w:tcW w:type="pct" w:w="1094"/>
            <w:tcMar>
              <w:top w:type="dxa" w:w="50"/>
              <w:left w:type="dxa" w:w="110"/>
              <w:bottom w:type="dxa" w:w="50"/>
              <w:right w:type="dxa" w:w="110"/>
            </w:tcMar>
          </w:tcPr>
          <w:p>
            <w:pPr>
              <w:spacing w:before="28" w:after="28"/>
            </w:pPr>
            <w:r>
              <w:rPr>
                <w:sz w:val="15"/>
                <w:szCs w:val="15"/>
              </w:rPr>
              <w:t xml:space="preserve">Corporate bond</w:t>
            </w:r>
          </w:p>
        </w:tc>
        <w:tc>
          <w:tcPr>
            <w:tcW w:type="pct" w:w="2200"/>
            <w:tcMar>
              <w:top w:type="dxa" w:w="50"/>
              <w:left w:type="dxa" w:w="110"/>
              <w:bottom w:type="dxa" w:w="50"/>
              <w:right w:type="dxa" w:w="110"/>
            </w:tcMar>
          </w:tcPr>
          <w:p>
            <w:pPr>
              <w:spacing w:before="28" w:after="28"/>
            </w:pPr>
            <w:r>
              <w:rPr>
                <w:sz w:val="15"/>
                <w:szCs w:val="15"/>
              </w:rPr>
              <w:t xml:space="preserve">Bought to sell in the near term; the </w:t>
            </w:r>
            <w:r>
              <w:rPr>
                <w:b/>
                <w:bCs/>
                <w:color w:val="8186EF"/>
                <w:sz w:val="14"/>
                <w:szCs w:val="14"/>
              </w:rPr>
              <w:t xml:space="preserve"> (45) </w:t>
            </w:r>
            <w:r>
              <w:rPr>
                <w:u w:val="single"/>
                <w:sz w:val="15"/>
                <w:szCs w:val="15"/>
              </w:rPr>
              <w:t xml:space="preserve">              </w:t>
            </w:r>
            <w:r>
              <w:rPr>
                <w:sz w:val="15"/>
                <w:szCs w:val="15"/>
              </w:rPr>
              <w:t xml:space="preserve"> </w:t>
            </w:r>
            <w:r>
              <w:rPr>
                <w:sz w:val="15"/>
                <w:szCs w:val="15"/>
              </w:rPr>
              <w:t xml:space="preserve"> team trades it actively.</w:t>
            </w:r>
          </w:p>
        </w:tc>
        <w:tc>
          <w:tcPr>
            <w:tcW w:type="pct" w:w="1138"/>
            <w:tcMar>
              <w:top w:type="dxa" w:w="50"/>
              <w:left w:type="dxa" w:w="110"/>
              <w:bottom w:type="dxa" w:w="50"/>
              <w:right w:type="dxa" w:w="110"/>
            </w:tcMar>
          </w:tcPr>
          <w:p>
            <w:pPr>
              <w:spacing w:before="28" w:after="28"/>
            </w:pPr>
            <w:r>
              <w:rPr>
                <w:sz w:val="15"/>
                <w:szCs w:val="15"/>
              </w:rPr>
              <w:t xml:space="preserve">cost 40,000; fair value 42,000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w:t>
            </w:r>
          </w:p>
        </w:tc>
        <w:tc>
          <w:tcPr>
            <w:tcW w:type="pct" w:w="1094"/>
            <w:shd w:fill="FBFAF6" w:val="clear"/>
            <w:tcMar>
              <w:top w:type="dxa" w:w="50"/>
              <w:left w:type="dxa" w:w="110"/>
              <w:bottom w:type="dxa" w:w="50"/>
              <w:right w:type="dxa" w:w="110"/>
            </w:tcMar>
          </w:tcPr>
          <w:p>
            <w:pPr>
              <w:spacing w:before="28" w:after="28"/>
            </w:pPr>
            <w:r>
              <w:rPr>
                <w:sz w:val="15"/>
                <w:szCs w:val="15"/>
              </w:rPr>
              <w:t xml:space="preserve">Government bond</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(46) </w:t>
            </w:r>
            <w:r>
              <w:rPr>
                <w:u w:val="single"/>
                <w:sz w:val="15"/>
                <w:szCs w:val="15"/>
              </w:rPr>
              <w:t xml:space="preserve">              </w:t>
            </w:r>
            <w:r>
              <w:rPr>
                <w:sz w:val="15"/>
                <w:szCs w:val="15"/>
              </w:rPr>
              <w:t xml:space="preserve"> </w:t>
            </w:r>
            <w:r>
              <w:rPr>
                <w:sz w:val="15"/>
                <w:szCs w:val="15"/>
              </w:rPr>
              <w:t xml:space="preserve"> intends and is able to hold it until it matures in 2029.</w:t>
            </w:r>
          </w:p>
        </w:tc>
        <w:tc>
          <w:tcPr>
            <w:tcW w:type="pct" w:w="1138"/>
            <w:shd w:fill="FBFAF6" w:val="clear"/>
            <w:tcMar>
              <w:top w:type="dxa" w:w="50"/>
              <w:left w:type="dxa" w:w="110"/>
              <w:bottom w:type="dxa" w:w="50"/>
              <w:right w:type="dxa" w:w="110"/>
            </w:tcMar>
          </w:tcPr>
          <w:p>
            <w:pPr>
              <w:spacing w:before="28" w:after="28"/>
            </w:pPr>
            <w:r>
              <w:rPr>
                <w:sz w:val="15"/>
                <w:szCs w:val="15"/>
              </w:rPr>
              <w:t xml:space="preserve">cost 60,000; fair value 57,000</w:t>
            </w:r>
          </w:p>
        </w:tc>
      </w:tr>
      <w:tr>
        <w:tc>
          <w:tcPr>
            <w:tcW w:type="pct" w:w="568"/>
            <w:tcMar>
              <w:top w:type="dxa" w:w="50"/>
              <w:left w:type="dxa" w:w="110"/>
              <w:bottom w:type="dxa" w:w="50"/>
              <w:right w:type="dxa" w:w="110"/>
            </w:tcMar>
          </w:tcPr>
          <w:p>
            <w:pPr>
              <w:spacing w:before="28" w:after="28"/>
            </w:pPr>
            <w:r>
              <w:rPr>
                <w:sz w:val="15"/>
                <w:szCs w:val="15"/>
              </w:rPr>
              <w:t xml:space="preserve">C</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(47)</w:t>
            </w:r>
          </w:p>
        </w:tc>
        <w:tc>
          <w:tcPr>
            <w:tcW w:type="pct" w:w="2200"/>
            <w:tcMar>
              <w:top w:type="dxa" w:w="50"/>
              <w:left w:type="dxa" w:w="110"/>
              <w:bottom w:type="dxa" w:w="50"/>
              <w:right w:type="dxa" w:w="110"/>
            </w:tcMar>
          </w:tcPr>
          <w:p>
            <w:pPr>
              <w:spacing w:before="28" w:after="28"/>
            </w:pPr>
            <w:r>
              <w:rPr>
                <w:sz w:val="15"/>
                <w:szCs w:val="15"/>
              </w:rPr>
              <w:t xml:space="preserve">No plan to trade it or to hold it to maturity; no credit loss expected.</w:t>
            </w:r>
          </w:p>
        </w:tc>
        <w:tc>
          <w:tcPr>
            <w:tcW w:type="pct" w:w="1138"/>
            <w:tcMar>
              <w:top w:type="dxa" w:w="50"/>
              <w:left w:type="dxa" w:w="110"/>
              <w:bottom w:type="dxa" w:w="50"/>
              <w:right w:type="dxa" w:w="110"/>
            </w:tcMar>
          </w:tcPr>
          <w:p>
            <w:pPr>
              <w:spacing w:before="28" w:after="28"/>
            </w:pPr>
            <w:r>
              <w:rPr>
                <w:sz w:val="15"/>
                <w:szCs w:val="15"/>
              </w:rPr>
              <w:t xml:space="preserve">cost 30,000; fair value 28,500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D</w:t>
            </w:r>
          </w:p>
        </w:tc>
        <w:tc>
          <w:tcPr>
            <w:tcW w:type="pct" w:w="1094"/>
            <w:shd w:fill="FBFAF6" w:val="clear"/>
            <w:tcMar>
              <w:top w:type="dxa" w:w="50"/>
              <w:left w:type="dxa" w:w="110"/>
              <w:bottom w:type="dxa" w:w="50"/>
              <w:right w:type="dxa" w:w="110"/>
            </w:tcMar>
          </w:tcPr>
          <w:p>
            <w:pPr>
              <w:spacing w:before="28" w:after="28"/>
            </w:pPr>
            <w:r>
              <w:rPr>
                <w:sz w:val="15"/>
                <w:szCs w:val="15"/>
              </w:rPr>
              <w:t xml:space="preserve">Listed shares (5% of the company)</w:t>
            </w:r>
          </w:p>
        </w:tc>
        <w:tc>
          <w:tcPr>
            <w:tcW w:type="pct" w:w="2200"/>
            <w:shd w:fill="FBFAF6" w:val="clear"/>
            <w:tcMar>
              <w:top w:type="dxa" w:w="50"/>
              <w:left w:type="dxa" w:w="110"/>
              <w:bottom w:type="dxa" w:w="50"/>
              <w:right w:type="dxa" w:w="110"/>
            </w:tcMar>
          </w:tcPr>
          <w:p>
            <w:pPr>
              <w:spacing w:before="28" w:after="28"/>
            </w:pPr>
            <w:r>
              <w:rPr>
                <w:sz w:val="15"/>
                <w:szCs w:val="15"/>
              </w:rPr>
              <w:t xml:space="preserve">No significant influence. Dividend received during 2025: 800.</w:t>
            </w:r>
          </w:p>
        </w:tc>
        <w:tc>
          <w:tcPr>
            <w:tcW w:type="pct" w:w="1138"/>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568"/>
            <w:tcMar>
              <w:top w:type="dxa" w:w="50"/>
              <w:left w:type="dxa" w:w="110"/>
              <w:bottom w:type="dxa" w:w="50"/>
              <w:right w:type="dxa" w:w="110"/>
            </w:tcMar>
          </w:tcPr>
          <w:p>
            <w:pPr>
              <w:spacing w:before="28" w:after="28"/>
            </w:pPr>
            <w:r>
              <w:rPr>
                <w:sz w:val="15"/>
                <w:szCs w:val="15"/>
              </w:rPr>
              <w:t xml:space="preserve">E</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(49)</w:t>
            </w:r>
          </w:p>
        </w:tc>
        <w:tc>
          <w:tcPr>
            <w:tcW w:type="pct" w:w="2200"/>
            <w:tcMar>
              <w:top w:type="dxa" w:w="50"/>
              <w:left w:type="dxa" w:w="110"/>
              <w:bottom w:type="dxa" w:w="50"/>
              <w:right w:type="dxa" w:w="110"/>
            </w:tcMar>
          </w:tcPr>
          <w:p>
            <w:pPr>
              <w:spacing w:before="28" w:after="28"/>
            </w:pPr>
            <w:r>
              <w:rPr>
                <w:sz w:val="15"/>
                <w:szCs w:val="15"/>
              </w:rPr>
              <w:t xml:space="preserve">Orontes has a seat on the board. Carrying amount on Jan 1, 2025: 500,000. Investee net income: 120,000; dividends paid: 40,000.</w:t>
            </w:r>
          </w:p>
        </w:tc>
        <w:tc>
          <w:tcPr>
            <w:tcW w:type="pct" w:w="1138"/>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25,000; fair value 27,000   ·   Corporate bond   ·   treasury   ·   Shares of Amman Cold Storage Co. (25%)   ·   Orontes   ·   equity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Share of net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Extra depreciation</w:t>
            </w:r>
          </w:p>
        </w:tc>
        <w:tc>
          <w:tcPr>
            <w:tcW w:type="pct" w:w="26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400"/>
            <w:tcMar>
              <w:top w:type="dxa" w:w="50"/>
              <w:left w:type="dxa" w:w="110"/>
              <w:bottom w:type="dxa" w:w="50"/>
              <w:right w:type="dxa" w:w="110"/>
            </w:tcMar>
          </w:tcPr>
          <w:p>
            <w:pPr>
              <w:spacing w:before="28" w:after="28"/>
            </w:pPr>
            <w:r>
              <w:rPr>
                <w:sz w:val="15"/>
                <w:szCs w:val="15"/>
              </w:rPr>
              <w:t xml:space="preserve">Dividends</w:t>
            </w:r>
          </w:p>
        </w:tc>
        <w:tc>
          <w:tcPr>
            <w:tcW w:type="pct" w:w="2600"/>
            <w:tcMar>
              <w:top w:type="dxa" w:w="50"/>
              <w:left w:type="dxa" w:w="110"/>
              <w:bottom w:type="dxa" w:w="50"/>
              <w:right w:type="dxa" w:w="110"/>
            </w:tcMar>
          </w:tcPr>
          <w:p>
            <w:pPr>
              <w:spacing w:before="28" w:after="28"/>
            </w:pPr>
            <w:r>
              <w:rPr>
                <w:sz w:val="15"/>
                <w:szCs w:val="15"/>
              </w:rPr>
              <w:t xml:space="preserve">30% × 100,000 = 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balance</w:t>
            </w:r>
          </w:p>
        </w:tc>
        <w:tc>
          <w:tcPr>
            <w:tcW w:type="pct" w:w="2600"/>
            <w:shd w:fill="FBFAF6" w:val="clear"/>
            <w:tcMar>
              <w:top w:type="dxa" w:w="50"/>
              <w:left w:type="dxa" w:w="110"/>
              <w:bottom w:type="dxa" w:w="50"/>
              <w:right w:type="dxa" w:w="110"/>
            </w:tcMar>
          </w:tcPr>
          <w:p>
            <w:pPr>
              <w:spacing w:before="28" w:after="28"/>
            </w:pPr>
            <w:r>
              <w:rPr>
                <w:sz w:val="15"/>
                <w:szCs w:val="15"/>
              </w:rPr>
              <w:t xml:space="preserve">1,287,000 + 120,000 − 3,000 − 30,000 = 1,374,000</w:t>
            </w:r>
          </w:p>
        </w:tc>
      </w:tr>
      <w:tr>
        <w:tc>
          <w:tcPr>
            <w:tcW w:type="pct" w:w="2400"/>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30,000; fair value 28,500   ·   30% × 400,000 = 120,000   ·   120,000 − 3,000 = 117,000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A</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w:t>
            </w:r>
          </w:p>
        </w:tc>
        <w:tc>
          <w:tcPr>
            <w:tcW w:type="pct" w:w="2600"/>
            <w:shd w:fill="FBFAF6" w:val="clear"/>
            <w:tcMar>
              <w:top w:type="dxa" w:w="50"/>
              <w:left w:type="dxa" w:w="110"/>
              <w:bottom w:type="dxa" w:w="50"/>
              <w:right w:type="dxa" w:w="110"/>
            </w:tcMar>
          </w:tcPr>
          <w:p>
            <w:pPr>
              <w:spacing w:before="28" w:after="28"/>
            </w:pPr>
            <w:r>
              <w:rPr>
                <w:sz w:val="15"/>
                <w:szCs w:val="15"/>
              </w:rPr>
              <w:t xml:space="preserve">Held-to-maturity</w:t>
            </w:r>
          </w:p>
        </w:tc>
      </w:tr>
      <w:tr>
        <w:tc>
          <w:tcPr>
            <w:tcW w:type="pct" w:w="2400"/>
            <w:tcMar>
              <w:top w:type="dxa" w:w="50"/>
              <w:left w:type="dxa" w:w="110"/>
              <w:bottom w:type="dxa" w:w="50"/>
              <w:right w:type="dxa" w:w="110"/>
            </w:tcMar>
          </w:tcPr>
          <w:p>
            <w:pPr>
              <w:spacing w:before="28" w:after="28"/>
            </w:pPr>
            <w:r>
              <w:rPr>
                <w:sz w:val="15"/>
                <w:szCs w:val="15"/>
              </w:rPr>
              <w:t xml:space="preserve">C</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w:t>
            </w:r>
          </w:p>
        </w:tc>
        <w:tc>
          <w:tcPr>
            <w:tcW w:type="pct" w:w="2600"/>
            <w:shd w:fill="FBFAF6" w:val="clear"/>
            <w:tcMar>
              <w:top w:type="dxa" w:w="50"/>
              <w:left w:type="dxa" w:w="110"/>
              <w:bottom w:type="dxa" w:w="50"/>
              <w:right w:type="dxa" w:w="110"/>
            </w:tcMar>
          </w:tcPr>
          <w:p>
            <w:pPr>
              <w:spacing w:before="28" w:after="28"/>
            </w:pPr>
            <w:r>
              <w:rPr>
                <w:sz w:val="15"/>
                <w:szCs w:val="15"/>
              </w:rPr>
              <w:t xml:space="preserve">Equity: fair value through net income</w:t>
            </w:r>
          </w:p>
        </w:tc>
      </w:tr>
      <w:tr>
        <w:tc>
          <w:tcPr>
            <w:tcW w:type="pct" w:w="2400"/>
            <w:tcMar>
              <w:top w:type="dxa" w:w="50"/>
              <w:left w:type="dxa" w:w="110"/>
              <w:bottom w:type="dxa" w:w="50"/>
              <w:right w:type="dxa" w:w="110"/>
            </w:tcMar>
          </w:tcPr>
          <w:p>
            <w:pPr>
              <w:spacing w:before="28" w:after="28"/>
            </w:pPr>
            <w:r>
              <w:rPr>
                <w:sz w:val="15"/>
                <w:szCs w:val="15"/>
              </w:rPr>
              <w:t xml:space="preserve">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Equity method   ·   Trading   ·   B</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influence   ·   measurement alternative   ·   فرق الأساس</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tcMar>
              <w:top w:type="dxa" w:w="50"/>
              <w:left w:type="dxa" w:w="110"/>
              <w:bottom w:type="dxa" w:w="50"/>
              <w:right w:type="dxa" w:w="110"/>
            </w:tcMar>
          </w:tcPr>
          <w:p>
            <w:pPr>
              <w:spacing w:before="26" w:after="26"/>
            </w:pPr>
            <w:r>
              <w:rPr>
                <w:color w:val="232733"/>
                <w:sz w:val="16"/>
                <w:szCs w:val="16"/>
              </w:rPr>
              <w:t xml:space="preserve">التأثير الجوهري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investee</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المستثمر فيها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بديل القياس</w:t>
            </w:r>
          </w:p>
        </w:tc>
      </w:tr>
      <w:tr>
        <w:tc>
          <w:tcPr>
            <w:tcW w:type="pct" w:w="2600"/>
            <w:tcMar>
              <w:top w:type="dxa" w:w="50"/>
              <w:left w:type="dxa" w:w="110"/>
              <w:bottom w:type="dxa" w:w="50"/>
              <w:right w:type="dxa" w:w="110"/>
            </w:tcMar>
          </w:tcPr>
          <w:p>
            <w:pPr>
              <w:spacing w:before="26" w:after="26"/>
            </w:pPr>
            <w:r>
              <w:rPr>
                <w:color w:val="232733"/>
                <w:sz w:val="16"/>
                <w:szCs w:val="16"/>
              </w:rPr>
              <w:t xml:space="preserve">basis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الأساس</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Equity securities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Jordan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eliminated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Depreciate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investee's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Corporate bond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cost 25,000; fair value 27,000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Shares of Amman Cold Storage Co.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Glass's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30% × 400,000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120,000 − 3,000 = 117,000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Trading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54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55  </w:t>
            </w:r>
            <w:r>
              <w:rPr>
                <w:sz w:val="16"/>
                <w:szCs w:val="16"/>
              </w:rPr>
              <w:t xml:space="preserve">significant influence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56  </w:t>
            </w:r>
            <w:r>
              <w:rPr>
                <w:sz w:val="16"/>
                <w:szCs w:val="16"/>
              </w:rPr>
              <w:t xml:space="preserve">measurement alternative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shares, the key question is how much influence the investor has over the investee, the company whose shares it holds. Shares with a readily determinable fair value are measured at fair value, and all changes go to net income. There is no AFS category and no OCI option for shares. Dividends received are income. For example, Orontes bought listed shares for $20,000; at year-end they are worth $23,500, and Orontes received dividends of $400. Net income includes an unrealized gain of $3,500 and dividend income of $400. For shares with no readily determinable fair value, such as shares of a private company, the investor may use the measurement alternative: cost minus impairment, adjusted when an orderly transaction in the same or a similar share shows a new price. An investor with significant influence can take part in the investee's financial and operating decisions.</w:t>
      </w:r>
    </w:p>
    <w:p>
      <w:pPr>
        <w:spacing w:before="20" w:after="20"/>
        <w:ind w:left="240" w:hanging="240"/>
      </w:pPr>
      <w:r>
        <w:rPr>
          <w:b/>
          <w:bCs/>
          <w:color w:val="353A7C"/>
          <w:sz w:val="15"/>
          <w:szCs w:val="15"/>
        </w:rPr>
        <w:t xml:space="preserve">Summary 2   </w:t>
      </w:r>
      <w:r>
        <w:rPr>
          <w:color w:val="6B7280"/>
          <w:sz w:val="15"/>
          <w:szCs w:val="15"/>
        </w:rPr>
        <w:t xml:space="preserve">Influence is presumed when the investor holds 20% to 50% of the voting stock, but the evidence decides: a board seat, participation in policy decisions or large transactions between the companies can show influence even below 20%. With significant influence, the investor uses the equity method. Under the equity method, the investment starts at cost. It increases by the investor's share of the investee's net income and decreases by the dividends the investor receives. The dividends are not income, because they only return part of the investment.</w:t>
      </w:r>
    </w:p>
    <w:p>
      <w:pPr>
        <w:spacing w:before="20" w:after="20"/>
        <w:ind w:left="240" w:hanging="240"/>
      </w:pPr>
      <w:r>
        <w:rPr>
          <w:b/>
          <w:bCs/>
          <w:color w:val="353A7C"/>
          <w:sz w:val="15"/>
          <w:szCs w:val="15"/>
        </w:rPr>
        <w:t xml:space="preserve">Summary 3   </w:t>
      </w:r>
      <w:r>
        <w:rPr>
          <w:color w:val="6B7280"/>
          <w:sz w:val="15"/>
          <w:szCs w:val="15"/>
        </w:rPr>
        <w:t xml:space="preserve">On January 1, 2025, Orontes buys 30% of Jordan Glass Co., its bottle supplier, for $1,200,000. Jordan Glass's net assets have a book value of $3,000,000, so Orontes's share of book value is $900,000. The basis difference of $300,000 has two parts: $30,000 for Orontes's share of equipment worth more than its book value, which is depreciated over 10 years ($3,000 a year), and $270,000 of goodwill, which is not amortized. In 2025 Jordan Glass earns $500,000 and pays dividends of $200,000. Orontes reports equity-method income of $147,000 and an investment of $1,287,000 at the end of 2025. The dividends of $60,000 are cash in and investment out; they do not change net income.</w:t>
      </w:r>
    </w:p>
    <w:p>
      <w:pPr>
        <w:spacing w:before="20" w:after="20"/>
        <w:ind w:left="240" w:hanging="240"/>
      </w:pPr>
      <w:r>
        <w:rPr>
          <w:b/>
          <w:bCs/>
          <w:color w:val="353A7C"/>
          <w:sz w:val="15"/>
          <w:szCs w:val="15"/>
        </w:rPr>
        <w:t xml:space="preserve">Summary 4   </w:t>
      </w:r>
      <w:r>
        <w:rPr>
          <w:color w:val="6B7280"/>
          <w:sz w:val="15"/>
          <w:szCs w:val="15"/>
        </w:rPr>
        <w:t xml:space="preserve">In 2026 Jordan Glass earns $400,000 and pays dividends of $100,000. The extra depreciation is the same as in 2025. Three more equity-method rules appear in exam questions.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 Crypto assets that meet the ASU 2023-08 definition are measured at fair value through net income. This rule became effective for fiscal years beginning after December 15, 2024, so it is now testable. IFRS 9 classifies debt by the business model and the cash flows (amortized cost, FVOCI or FVPL), not by intent. For shares, IFRS 9 allows an irrevocable election to put fair value changes in OCI, with no recycling on sale; U.S. GAAP has no such option. Under IAS 28, an equity-method investment that is impaired can later be written back up; under U.S. GAAP the impairment is not reversed.</w:t>
      </w:r>
    </w:p>
    <w:p>
      <w:pPr>
        <w:spacing w:before="20" w:after="20"/>
        <w:ind w:left="240" w:hanging="240"/>
      </w:pPr>
      <w:r>
        <w:rPr>
          <w:b/>
          <w:bCs/>
          <w:color w:val="353A7C"/>
          <w:sz w:val="15"/>
          <w:szCs w:val="15"/>
        </w:rPr>
        <w:t xml:space="preserve">Summary 5   </w:t>
      </w:r>
      <w:r>
        <w:rPr>
          <w:color w:val="6B7280"/>
          <w:sz w:val="15"/>
          <w:szCs w:val="15"/>
        </w:rPr>
        <w:t xml:space="preserve">Equity method: dividends reduce the investment. They are not income. Take only the investor's share of the investee's income. Depreciate the part of the basis difference assigned to assets; do not amortize the goodwill.</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The cost of property, plant and equipment</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of long-lived assets, intangibles a   ·   change in accounting estimate   ·   Depreciation methods and their effects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Property, plant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(PP&amp;E) is recorded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everything needed to acquire the asset and get it ready for use. </w:t>
      </w:r>
      <w:r>
        <w:rPr>
          <w:sz w:val="19"/>
          <w:szCs w:val="19"/>
        </w:rPr>
        <w:t xml:space="preserve">This includes the price, freight,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testing and site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When a company buys land with an old building and pulls the building down,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is part of the cost of the land. </w:t>
      </w:r>
      <w:r>
        <w:rPr>
          <w:sz w:val="19"/>
          <w:szCs w:val="19"/>
        </w:rPr>
        <w:t xml:space="preserve">When it buys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for one price, it divides the price by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fair values. </w:t>
      </w:r>
      <w:r>
        <w:rPr>
          <w:sz w:val="19"/>
          <w:szCs w:val="19"/>
        </w:rPr>
        <w:t xml:space="preserve">After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capital expenditure that extends the asset's life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capacity is added to its cost. </w:t>
      </w:r>
      <w:r>
        <w:rPr>
          <w:sz w:val="19"/>
          <w:szCs w:val="19"/>
        </w:rPr>
        <w:t xml:space="preserve">A revenue expenditure,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repairs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an expense of the period. </w:t>
      </w:r>
      <w:r>
        <w:rPr>
          <w:sz w:val="19"/>
          <w:szCs w:val="19"/>
        </w:rPr>
        <w:t xml:space="preserve">When a company builds an asset for its own use, it capitalizes interest during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Capitalized interest is the avoidable interest: weighted-average accumulated expenditures × the interest rate, but never more than the interest actually incurred. </w:t>
      </w:r>
      <w:r>
        <w:rPr>
          <w:sz w:val="19"/>
          <w:szCs w:val="19"/>
        </w:rPr>
        <w:t xml:space="preserve">For example, if Orontes spends on average $2,000 (USD 000) on a new warehouse during the year and the rate on the related loan is 6%, avoidable interest is 120.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increases   ·   acquire   ·   equipment   ·   demolition   ·   maintenance   ·   purchase   ·   several   ·   relative   ·   construction   ·   installation   ·   historical   ·   ordinary   ·   preparation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Actual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150, so Orontes capitalizes 120.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stops when the asset is substantially complete. </w:t>
      </w:r>
      <w:r>
        <w:rPr>
          <w:sz w:val="19"/>
          <w:szCs w:val="19"/>
        </w:rPr>
        <w:t xml:space="preserve">IAS 23 also capitalizes borrowing costs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assets. </w:t>
      </w:r>
      <w:r>
        <w:rPr>
          <w:sz w:val="19"/>
          <w:szCs w:val="19"/>
        </w:rPr>
        <w:t xml:space="preserve">One difference: when a company invests borrowed money for a short time before spending it, IAS 23 deducts the investment income from the amount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U.S. GAAP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does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Capitalization   ·   generally   ·   interest   ·   recorded   ·   qualifying   ·   capitalized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expenditure   ·   capital expenditure   ·   property, plant and equipment (PP&amp;E)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الفائدة المرسملة</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The cost of property, plant and equipment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Depreciation methods and their effects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 of long-lived assets, intangibles a</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Capitalization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demolition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generally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property, plant and equipment (PP&amp;E)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 assets for one price, it divides the price by their relative fair values. After purchase, a capital expenditure that extends the asset's life or increases its capacity is added to its cost. A revenue expenditure, such as ordinary repairs and maintenance, is an expense of the period. When a company builds an asset for its own use, it capitalizes interest during construction. Capitalized interest is the avoidable interest: weighted-average accumulated expenditures × the interest rate, but never more than the interest actually incurred. For example, if Orontes spends on average $2,000 (USD 000) on a new warehouse during the year and the rate on the related loan is 6%, avoidable interest is 120.</w:t>
      </w:r>
    </w:p>
    <w:p>
      <w:pPr>
        <w:spacing w:before="20" w:after="20"/>
        <w:ind w:left="240" w:hanging="240"/>
      </w:pPr>
      <w:r>
        <w:rPr>
          <w:b/>
          <w:bCs/>
          <w:color w:val="353A7C"/>
          <w:sz w:val="15"/>
          <w:szCs w:val="15"/>
        </w:rPr>
        <w:t xml:space="preserve">Summary 2   </w:t>
      </w:r>
      <w:r>
        <w:rPr>
          <w:color w:val="6B7280"/>
          <w:sz w:val="15"/>
          <w:szCs w:val="15"/>
        </w:rPr>
        <w:t xml:space="preserve">Actual interest is 150, so Orontes capitalizes 120. Capitalization stops when the asset is substantially complete. IAS 23 also capitalizes borrowing costs on qualifying assets. One difference: when a company invests borrowed money for a short time before spending it, IAS 23 deducts the investment income from the amount capitalized. U.S. GAAP generally does not.</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Depreciation methods and their effects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Depreciation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depreciable base, cost minus salvage value, over the useful life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rational way. </w:t>
      </w:r>
      <w:r>
        <w:rPr>
          <w:sz w:val="19"/>
          <w:szCs w:val="19"/>
        </w:rPr>
        <w:t xml:space="preserve">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appear on the exam. </w:t>
      </w:r>
      <w:r>
        <w:rPr>
          <w:sz w:val="19"/>
          <w:szCs w:val="19"/>
        </w:rPr>
        <w:t xml:space="preserve">Straight-line method: the same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year, depreciable base ÷ useful life.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twice the straight-line rate, applied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book value. </w:t>
      </w:r>
      <w:r>
        <w:rPr>
          <w:sz w:val="19"/>
          <w:szCs w:val="19"/>
        </w:rPr>
        <w:t xml:space="preserve">Salvage is ignored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the book value may not fall below salvage.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depreciable base × remaining life at the start of the year ÷ the sum of the years' digits. </w:t>
      </w:r>
      <w:r>
        <w:rPr>
          <w:sz w:val="19"/>
          <w:szCs w:val="19"/>
        </w:rPr>
        <w:t xml:space="preserve">Units-of-production method: a rate per unit or hour of use, times actual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calculation   ·   beginning   ·   Double-declining-balance   ·   amount   ·   methods   ·   systematic   ·   Complete   ·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bottling line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In, Orontes bought a new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line for its Amman plant. </w:t>
      </w: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salvage value of $150,000 after 5 years, or after 21,000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hours.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base is $1,050,000.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$1,050,000 ÷ 5 = $210,000 a year.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40%; year 1 = 40% × $1,200,000 = $480,000. </w:t>
      </w:r>
      <w:r>
        <w:rPr>
          <w:sz w:val="19"/>
          <w:szCs w:val="19"/>
        </w:rPr>
        <w:t xml:space="preserve">In year 5 only $5,520 is left, so the book value ends at salvage.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digits add up to 15; year 1 = $1,050,000 × 5/15 = $350,000. </w:t>
      </w:r>
      <w:r>
        <w:rPr>
          <w:sz w:val="19"/>
          <w:szCs w:val="19"/>
        </w:rPr>
        <w:t xml:space="preserve">Units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$1,050,000 ÷ 21,000 hours = $50 an hour; year 1 = 5,000 hours × $50 = $250,000. </w:t>
      </w:r>
      <w:r>
        <w:rPr>
          <w:sz w:val="19"/>
          <w:szCs w:val="19"/>
        </w:rPr>
        <w:t xml:space="preserve">All four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charge the same total, $1,050,000. </w:t>
      </w:r>
      <w:r>
        <w:rPr>
          <w:sz w:val="19"/>
          <w:szCs w:val="19"/>
        </w:rPr>
        <w:t xml:space="preserve">They 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timing. </w:t>
      </w:r>
      <w:r>
        <w:rPr>
          <w:sz w:val="19"/>
          <w:szCs w:val="19"/>
        </w:rPr>
        <w:t xml:space="preserve">Depreciation is not a cash flow, so the method changes cash 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income taxes, and U.S. tax depreciation (MACRS) is chosen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from the book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prospective   ·   separately   ·   Double-declining   ·   bottling   ·   expects   ·   machine   ·   Straight-line   ·   methods   ·   depreciable   ·   production   ·   change   ·   through</w:t>
            </w:r>
          </w:p>
        </w:tc>
      </w:tr>
    </w:tbl>
    <w:p/>
    <w:p>
      <w:pPr>
        <w:spacing w:before="44" w:after="10"/>
      </w:pPr>
      <w:r>
        <w:rPr>
          <w:b/>
          <w:bCs/>
          <w:color w:val="353A7C"/>
          <w:sz w:val="18"/>
          <w:szCs w:val="18"/>
        </w:rPr>
        <w:t xml:space="preserve">Effects of the depreciation methods on the financial statements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research and development (R&amp;D)   ·   Expense in early years   ·   Carrying amount in early years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Dubai delivery trucks</w:t>
            </w:r>
          </w:p>
        </w:tc>
      </w:tr>
    </w:tbl>
    <w:p/>
    <w:p>
      <w:pPr>
        <w:spacing w:before="44" w:after="14"/>
      </w:pPr>
      <w:r>
        <w:rPr>
          <w:b/>
          <w:bCs/>
          <w:color w:val="353A7C"/>
          <w:sz w:val="18"/>
          <w:szCs w:val="18"/>
        </w:rPr>
        <w:t xml:space="preserve">Summary 3</w:t>
      </w:r>
      <w:r>
        <w:rPr>
          <w:color w:val="6B7280"/>
          <w:sz w:val="16"/>
          <w:szCs w:val="16"/>
        </w:rPr>
        <w:t xml:space="preserve">      gaps 23–34</w:t>
      </w:r>
    </w:p>
    <w:p>
      <w:pPr>
        <w:spacing w:before="20" w:after="20" w:line="360" w:lineRule="auto"/>
        <w:ind w:left="200"/>
      </w:pPr>
      <w:r>
        <w:rPr>
          <w:sz w:val="19"/>
          <w:szCs w:val="19"/>
        </w:rPr>
        <w:t xml:space="preserve">Orontes buys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trucks for its Dubai plant for $90,000, with a salvage value of $10,000 after 4 years. </w:t>
      </w:r>
      <w:r>
        <w:rPr>
          <w:sz w:val="19"/>
          <w:szCs w:val="19"/>
        </w:rPr>
        <w:t xml:space="preserve">Complete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schedule. </w:t>
      </w:r>
      <w:r>
        <w:rPr>
          <w:sz w:val="19"/>
          <w:szCs w:val="19"/>
        </w:rPr>
        <w:t xml:space="preserve">A new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life or salvage value is a change 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estimate. </w:t>
      </w:r>
      <w:r>
        <w:rPr>
          <w:sz w:val="19"/>
          <w:szCs w:val="19"/>
        </w:rPr>
        <w:t xml:space="preserve">It is applied prospectively: the company does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prior years. </w:t>
      </w:r>
      <w:r>
        <w:rPr>
          <w:sz w:val="19"/>
          <w:szCs w:val="19"/>
        </w:rPr>
        <w:t xml:space="preserve"/>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Orontes used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for the bottling line and, after 2 years, decides it has 4 more years of life and a salvage value of $90,000. </w:t>
      </w:r>
      <w:r>
        <w:rPr>
          <w:sz w:val="19"/>
          <w:szCs w:val="19"/>
        </w:rPr>
        <w:t xml:space="preserve">The book value then is $780,000, so each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year's depreciation is ($780,000 − $90,000) ÷ 4 = $172,500. </w:t>
      </w:r>
      <w:r>
        <w:rPr>
          <w:sz w:val="19"/>
          <w:szCs w:val="19"/>
        </w:rPr>
        <w:t xml:space="preserve">A change in depreciation method is also applied prospectively, as a change in estimate effected by a change in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and the new method must be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An error, such as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 machine that should have been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is different: it is corrected by restating the prior years. </w:t>
      </w:r>
      <w:r>
        <w:rPr>
          <w:sz w:val="19"/>
          <w:szCs w:val="19"/>
        </w:rPr>
        <w:t xml:space="preserve">Some companies use group or composite depreciation for many similar assets. </w:t>
      </w:r>
      <w:r>
        <w:rPr>
          <w:sz w:val="19"/>
          <w:szCs w:val="19"/>
        </w:rPr>
        <w:t xml:space="preserve">They apply one rate to the whole pool, and when an asset is retired they record no gain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   ·   capitalized   ·   accounting   ·   straight-line   ·   useful   ·   composite   ·   remaining   ·   double-declining   ·   delivery   ·   expensing   ·   restate   ·   preferable   ·   Suppose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traps</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Double-declining: apply the rate to book value; never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salvage first, and never go below salvage. </w:t>
      </w:r>
      <w:r>
        <w:rPr>
          <w:sz w:val="19"/>
          <w:szCs w:val="19"/>
        </w:rPr>
        <w:t xml:space="preserve">SYD: use the remaining life at the start of the year, applied to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base. </w:t>
      </w:r>
      <w:r>
        <w:rPr>
          <w:sz w:val="19"/>
          <w:szCs w:val="19"/>
        </w:rPr>
        <w:t xml:space="preserve">Changes in life, salvage or method: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depreciable   ·   prospective   ·   increases   ·   subtract</w:t>
            </w:r>
          </w:p>
        </w:tc>
      </w:tr>
    </w:tbl>
    <w:p/>
    <w:p>
      <w:pPr>
        <w:pageBreakBefore w:val="true"/>
        <w:spacing w:after="0"/>
      </w:pPr>
      <w:r>
        <w:rPr>
          <w:sz w:val="2"/>
        </w:rPr>
        <w:t xml:space="preserve"> </w:t>
      </w:r>
    </w:p>
    <w:p>
      <w:pPr>
        <w:spacing w:before="44" w:after="10"/>
      </w:pPr>
      <w:r>
        <w:rPr>
          <w:b/>
          <w:bCs/>
          <w:color w:val="353A7C"/>
          <w:sz w:val="18"/>
          <w:szCs w:val="18"/>
        </w:rPr>
        <w:t xml:space="preserve">Depreciation schedules for the Amman bottling line (whole USD)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goodwill   ·   Sum-of-the-years'-digits</w:t>
            </w:r>
          </w:p>
        </w:tc>
      </w:tr>
    </w:tbl>
    <w:p/>
    <w:p>
      <w:pPr>
        <w:spacing w:before="44" w:after="10"/>
      </w:pPr>
      <w:r>
        <w:rPr>
          <w:b/>
          <w:bCs/>
          <w:color w:val="353A7C"/>
          <w:sz w:val="18"/>
          <w:szCs w:val="18"/>
        </w:rPr>
        <w:t xml:space="preserve">Double-declining schedule for the Dubai trucks (whole USD):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unit   ·   Year 4</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increases   ·   goodwill   ·   depreciation   ·   revaluation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method   ·   double-declining-balance method   ·   reporting unit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0"/>
        <w:gridCol w:w="46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7"/>
            <w:tcMar>
              <w:top w:type="dxa" w:w="50"/>
              <w:left w:type="dxa" w:w="110"/>
              <w:bottom w:type="dxa" w:w="50"/>
              <w:right w:type="dxa" w:w="110"/>
            </w:tcMar>
          </w:tcPr>
          <w:p>
            <w:pPr>
              <w:spacing w:before="26" w:after="26"/>
            </w:pPr>
            <w:r>
              <w:rPr>
                <w:color w:val="232733"/>
                <w:sz w:val="16"/>
                <w:szCs w:val="16"/>
              </w:rPr>
              <w:t xml:space="preserve">depreciable base</w:t>
            </w:r>
          </w:p>
        </w:tc>
        <w:tc>
          <w:tcPr>
            <w:tcW w:type="pct" w:w="2443"/>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salvage value</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57"/>
            <w:tcMar>
              <w:top w:type="dxa" w:w="50"/>
              <w:left w:type="dxa" w:w="110"/>
              <w:bottom w:type="dxa" w:w="50"/>
              <w:right w:type="dxa" w:w="110"/>
            </w:tcMar>
          </w:tcPr>
          <w:p>
            <w:pPr>
              <w:spacing w:before="26" w:after="26"/>
            </w:pPr>
            <w:r>
              <w:rPr>
                <w:color w:val="232733"/>
                <w:sz w:val="16"/>
                <w:szCs w:val="16"/>
              </w:rPr>
              <w:t xml:space="preserve">useful life</w:t>
            </w:r>
          </w:p>
        </w:tc>
        <w:tc>
          <w:tcPr>
            <w:tcW w:type="pct" w:w="2443"/>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57"/>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557"/>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carrying amount</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557"/>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43"/>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Depreciation methods and their effects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double-declining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Double-declining-balance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Suppose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straight-line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preferable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expensing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depreciable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Double-declining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Sum-of-the-years'-digits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Year 4</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require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double-declining-balance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Carrying amount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sum-of-the-years'-digits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 Salvage is ignored in the calculation, but the book value may not fall below salvage. Sum-of-the-years'-digits method: depreciable base × remaining life at the start of the year ÷ the sum of the years' digits. Units-of-production method: a rate per unit or hour of use, times actual use.</w:t>
      </w:r>
    </w:p>
    <w:p>
      <w:pPr>
        <w:spacing w:before="20" w:after="20"/>
        <w:ind w:left="240" w:hanging="240"/>
      </w:pPr>
      <w:r>
        <w:rPr>
          <w:b/>
          <w:bCs/>
          <w:color w:val="353A7C"/>
          <w:sz w:val="15"/>
          <w:szCs w:val="15"/>
        </w:rPr>
        <w:t xml:space="preserve">Summary 2   </w:t>
      </w:r>
      <w:r>
        <w:rPr>
          <w:color w:val="6B7280"/>
          <w:sz w:val="15"/>
          <w:szCs w:val="15"/>
        </w:rPr>
        <w:t xml:space="preserve">In, Orontes bought a new bottling line for its Amman plant. Orontes expects a salvage value of $150,000 after 5 years, or after 21,000 machine hours. The depreciable base is $1,050,000. Straight-line: $1,050,000 ÷ 5 = $210,000 a year. Double-declining: rate 40%; year 1 = 40% × $1,200,000 = $480,000. In year 5 only $5,520 is left, so the book value ends at salvage. Sum-of-the-years'-digits: the digits add up to 15; year 1 = $1,050,000 × 5/15 = $350,000. Units of production: $1,050,000 ÷ 21,000 hours = $50 an hour; year 1 = 5,000 hours × $50 = $250,000. All four methods charge the same total, $1,050,000. They only change the timing. Depreciation is not a cash flow, so the method changes cash only through income taxes, and U.S. tax depreciation (MACRS) is chosen separately from the book method.</w:t>
      </w:r>
    </w:p>
    <w:p>
      <w:pPr>
        <w:spacing w:before="20" w:after="20"/>
        <w:ind w:left="240" w:hanging="240"/>
      </w:pPr>
      <w:r>
        <w:rPr>
          <w:b/>
          <w:bCs/>
          <w:color w:val="353A7C"/>
          <w:sz w:val="15"/>
          <w:szCs w:val="15"/>
        </w:rPr>
        <w:t xml:space="preserve">Summary 3   </w:t>
      </w:r>
      <w:r>
        <w:rPr>
          <w:color w:val="6B7280"/>
          <w:sz w:val="15"/>
          <w:szCs w:val="15"/>
        </w:rPr>
        <w:t xml:space="preserve">Orontes buys delivery trucks for its Dubai plant for $90,000, with a salvage value of $10,000 after 4 years. Complete the double-declining schedule. A new useful life or salvage value is a change in accounting estimate. It is applied prospectively: the company does not restate prior years. Suppose Orontes used straight-line for the bottling line and, after 2 years, decides it has 4 more years of life and a salvage value of $90,000. The book value then is $780,000, so each remaining year's depreciation is ($780,000 − $90,000) ÷ 4 = $172,500. A change in depreciation method is also applied prospectively, as a change in estimate effected by a change in principle, and the new method must be preferable. An error, such as expensing a machine that should have been capitalized, is different: it is corrected by restating the prior years. Some companies use group or composite depreciation for many similar assets. They apply one rate to the whole pool, and when an asset is retired they record no gain or loss.</w:t>
      </w:r>
    </w:p>
    <w:p>
      <w:pPr>
        <w:spacing w:before="20" w:after="20"/>
        <w:ind w:left="240" w:hanging="240"/>
      </w:pPr>
      <w:r>
        <w:rPr>
          <w:b/>
          <w:bCs/>
          <w:color w:val="353A7C"/>
          <w:sz w:val="15"/>
          <w:szCs w:val="15"/>
        </w:rPr>
        <w:t xml:space="preserve">Summary 4   </w:t>
      </w:r>
      <w:r>
        <w:rPr>
          <w:color w:val="6B7280"/>
          <w:sz w:val="15"/>
          <w:szCs w:val="15"/>
        </w:rPr>
        <w:t xml:space="preserve">Double-declining: apply the rate to book value; never subtract salvage first, and never go below salvage. SYD: use the remaining life at the start of the year, applied to the depreciable base. Changes in life, salvage or method: prospective.</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Recommending a depreciation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best method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pattern in which the company uses up the asset's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For the bottling line, machine hours drive the wear, so units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gives the best matching;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simpler and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if use is fairly even. </w:t>
      </w:r>
      <w:r>
        <w:rPr>
          <w:sz w:val="19"/>
          <w:szCs w:val="19"/>
        </w:rPr>
        <w:t xml:space="preserve">Other factors can support the choice: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other companies in the industry, the cost of tracking usage,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view of income smoothing. </w:t>
      </w:r>
      <w:r>
        <w:rPr>
          <w:sz w:val="19"/>
          <w:szCs w:val="19"/>
        </w:rPr>
        <w:t xml:space="preserve">The tax method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decision, so a company does not need to use the same method for its books.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   production   ·   matches   ·   management's   ·   benefits   ·   separate   ·   straight-line   ·   comparability   ·   acceptable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Give the reason</w:t>
            </w:r>
          </w:p>
        </w:tc>
      </w:tr>
    </w:tbl>
    <w:p/>
    <w:p>
      <w:pPr>
        <w:spacing w:before="44" w:after="10"/>
      </w:pPr>
      <w:r>
        <w:rPr>
          <w:b/>
          <w:bCs/>
          <w:color w:val="353A7C"/>
          <w:sz w:val="18"/>
          <w:szCs w:val="18"/>
        </w:rPr>
        <w:t xml:space="preserve">What fits each one</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4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2942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computer server loses value quickly as technology changes   ·   An office building gives similar service each year   ·   A delivery truck wears out with kilometres driven</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In a Level C question,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earns credit only with a reason from the facts: how the asset is used and when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arrive.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benefits   ·   recommendation   ·   straight-line</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Recommending a depreciation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matches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benefits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 delivery truck wears out with kilometres 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An office building gives similar service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benefits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best method matches the pattern in which the company uses up the asset's benefits. For the bottling line, machine hours drive the wear, so units of production gives the best matching; straight-line is simpler and is acceptable if use is fairly even. Other factors can support the choice: comparability with other companies in the industry, the cost of tracking usage, and management's view of income smoothing. The tax method is a separate decision, so a company does not need to use the same method for its books.</w:t>
      </w:r>
    </w:p>
    <w:p>
      <w:pPr>
        <w:spacing w:before="20" w:after="20"/>
        <w:ind w:left="240" w:hanging="240"/>
      </w:pPr>
      <w:r>
        <w:rPr>
          <w:b/>
          <w:bCs/>
          <w:color w:val="353A7C"/>
          <w:sz w:val="15"/>
          <w:szCs w:val="15"/>
        </w:rPr>
        <w:t xml:space="preserve">Summary 2   </w:t>
      </w:r>
      <w:r>
        <w:rPr>
          <w:color w:val="6B7280"/>
          <w:sz w:val="15"/>
          <w:szCs w:val="15"/>
        </w:rPr>
        <w:t xml:space="preserve">In a Level C question, a recommendation earns credit only with a reason from the facts: how the asset is used and when its benefits arrive.</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Disposal of fixed assets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sells or scraps an asset, it first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depreciation up to the date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Then it removes the cost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depreciation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proceeds with the carrying amount. </w:t>
      </w:r>
      <w:r>
        <w:rPr>
          <w:sz w:val="19"/>
          <w:szCs w:val="19"/>
        </w:rPr>
        <w:t xml:space="preserve">The gain or loss is part of income from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accumulated   ·   records   ·   compares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 old oven in Dubai</w:t>
            </w:r>
          </w:p>
        </w:tc>
      </w:tr>
    </w:tbl>
    <w:p/>
    <w:p>
      <w:pPr>
        <w:spacing w:before="44" w:after="10"/>
      </w:pPr>
      <w:r>
        <w:rPr>
          <w:b/>
          <w:bCs/>
          <w:color w:val="353A7C"/>
          <w:sz w:val="18"/>
          <w:szCs w:val="18"/>
        </w:rPr>
        <w:t xml:space="preserve">Which way it goes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137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1373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a gain   ·   held for sale</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An old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oven cost $60,000. </w:t>
      </w:r>
      <w:r>
        <w:rPr>
          <w:sz w:val="19"/>
          <w:szCs w:val="19"/>
        </w:rPr>
        <w:t xml:space="preserve">At January 1,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depreciation was $40,000,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depreciation is $8,000 a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sells the oven after 3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$21,000. </w:t>
      </w:r>
      <w:r>
        <w:rPr>
          <w:sz w:val="19"/>
          <w:szCs w:val="19"/>
        </w:rPr>
        <w:t xml:space="preserve">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cases appear on the exam. </w:t>
      </w:r>
      <w:r>
        <w:rPr>
          <w:sz w:val="19"/>
          <w:szCs w:val="19"/>
        </w:rPr>
        <w:t xml:space="preserve">In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conversion, such as a fire or a government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records a gain or loss even if it reinvests the insurance money. </w:t>
      </w:r>
      <w:r>
        <w:rPr>
          <w:sz w:val="19"/>
          <w:szCs w:val="19"/>
        </w:rPr>
        <w:t xml:space="preserve">In an exchange of assets with commercial substance, the new asset is recorded at fair value and the gain or loss is recognized; without commercial substance, the exchange is recorded at book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   straight-line   ·   Orontes   ·   months   ·   accumulated   ·   special   ·   without   ·   pastry   ·   expropriation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Update first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Record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up to the sale date before you compute the gain or loss. </w:t>
      </w:r>
      <w:r>
        <w:rPr>
          <w:sz w:val="19"/>
          <w:szCs w:val="19"/>
        </w:rPr>
        <w:t xml:space="preserve">Compare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the carrying amount, not with the original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proceeds   ·   depreciation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amount   ·   involuntary conversion   ·   depreciable base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Disposal of fixed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expropriation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records a gain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pastry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involuntary conversion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sells or scraps an asset, it first records depreciation up to the date of disposal. Then it removes the cost and the accumulated depreciation and compares the proceeds with the carrying amount. The gain or loss is part of income from continuing operations.</w:t>
      </w:r>
    </w:p>
    <w:p>
      <w:pPr>
        <w:spacing w:before="20" w:after="20"/>
        <w:ind w:left="240" w:hanging="240"/>
      </w:pPr>
      <w:r>
        <w:rPr>
          <w:b/>
          <w:bCs/>
          <w:color w:val="353A7C"/>
          <w:sz w:val="15"/>
          <w:szCs w:val="15"/>
        </w:rPr>
        <w:t xml:space="preserve">Summary 2   </w:t>
      </w:r>
      <w:r>
        <w:rPr>
          <w:color w:val="6B7280"/>
          <w:sz w:val="15"/>
          <w:szCs w:val="15"/>
        </w:rPr>
        <w:t xml:space="preserve">An old pastry oven cost $60,000. At January 1, accumulated depreciation was $40,000, and straight-line depreciation is $8,000 a year. Orontes sells the oven after 3 months for $21,000. Two special cases appear on the exam. In an involuntary conversion, such as a fire or a government expropriation, the company records a gain or loss even if it reinvests the insurance money. In an exchange of assets with commercial substance, the new asset is recorded at fair value and the gain or loss is recognized; without commercial substance, the exchange is recorded at book value.</w:t>
      </w:r>
    </w:p>
    <w:p>
      <w:pPr>
        <w:spacing w:before="20" w:after="20"/>
        <w:ind w:left="240" w:hanging="240"/>
      </w:pPr>
      <w:r>
        <w:rPr>
          <w:b/>
          <w:bCs/>
          <w:color w:val="353A7C"/>
          <w:sz w:val="15"/>
          <w:szCs w:val="15"/>
        </w:rPr>
        <w:t xml:space="preserve">Summary 3   </w:t>
      </w:r>
      <w:r>
        <w:rPr>
          <w:color w:val="6B7280"/>
          <w:sz w:val="15"/>
          <w:szCs w:val="15"/>
        </w:rPr>
        <w:t xml:space="preserve">Record depreciation up to the sale date before you compute the gain or loss. Compare proceeds with the carrying amount, not with the original cost.</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Impairment of long-lived assets, intangibles and goodwill</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An impairment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a company cannot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 asset's carrying amount. </w:t>
      </w:r>
      <w:r>
        <w:rPr>
          <w:sz w:val="19"/>
          <w:szCs w:val="19"/>
        </w:rPr>
        <w:t xml:space="preserve">U.S. GAAP uses different tests for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company tests an asset group (the lowest level with its own cash flows) only when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suggest a problem, such as a sharp fall in market price, physical damage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losses. </w:t>
      </w:r>
      <w:r>
        <w:rPr>
          <w:sz w:val="19"/>
          <w:szCs w:val="19"/>
        </w:rPr>
        <w:t xml:space="preserve">The test has two steps. </w:t>
      </w:r>
      <w:r>
        <w:rPr>
          <w:sz w:val="19"/>
          <w:szCs w:val="19"/>
        </w:rPr>
        <w:t xml:space="preserve">In the recoverability test, the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carrying amount with the sum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future cash flows. </w:t>
      </w:r>
      <w:r>
        <w:rPr>
          <w:sz w:val="19"/>
          <w:szCs w:val="19"/>
        </w:rPr>
        <w:t xml:space="preserve">If the carrying amount is not higher, there is no impairment, even if fair value is lower. </w:t>
      </w:r>
      <w:r>
        <w:rPr>
          <w:sz w:val="19"/>
          <w:szCs w:val="19"/>
        </w:rPr>
        <w:t xml:space="preserve">If it is higher,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as carrying amount minus fair value.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becomes the new cost basis and is depreciated over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life. </w:t>
      </w:r>
      <w:r>
        <w:rPr>
          <w:sz w:val="19"/>
          <w:szCs w:val="19"/>
        </w:rPr>
        <w:t xml:space="preserve">The loss is never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An asset is held for sale when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has committed to a plan to sell it, it is available for immediate sale, and the sale is expected within one year. </w:t>
      </w:r>
      <w:r>
        <w:rPr>
          <w:sz w:val="19"/>
          <w:szCs w:val="19"/>
        </w:rPr>
        <w:t xml:space="preserve">It is measured at the lower of its carrying amount and fair value less cost to sell, and it is no longer depreciated.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continuing   ·   assets   ·   recover   ·   occurs   ·   reversed   ·   indicators   ·   remaining   ·   reduced   ·   measures   ·   management   ·   undiscounted   ·   compares   ·   records</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If fair value less cost to sell rises later, the company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gain, but only up to the losses it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before.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intangibles, such as patents, are subject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over their useful lives and follow the PP&amp;E test. </w:t>
      </w:r>
      <w:r>
        <w:rPr>
          <w:sz w:val="19"/>
          <w:szCs w:val="19"/>
        </w:rPr>
        <w:t xml:space="preserve">An indefinite-lived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asset, such as a brand with no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end, is not amortized. </w:t>
      </w:r>
      <w:r>
        <w:rPr>
          <w:sz w:val="19"/>
          <w:szCs w:val="19"/>
        </w:rPr>
        <w:t xml:space="preserve">It is tested at least every year in one step: carrying amount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fair value.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not amortized by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companies. </w:t>
      </w:r>
      <w:r>
        <w:rPr>
          <w:sz w:val="19"/>
          <w:szCs w:val="19"/>
        </w:rPr>
        <w:t xml:space="preserve">It is tested at least every year at the level of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unit. </w:t>
      </w:r>
      <w:r>
        <w:rPr>
          <w:sz w:val="19"/>
          <w:szCs w:val="19"/>
        </w:rPr>
        <w:t xml:space="preserve">A company may first make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assessment; if it is not more likely than not that the unit's fair value is below its carrying amount, no further test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   beginning   ·   recognized   ·   intangible   ·   Goodwill   ·   amortization   ·   Finite-lived   ·   against   ·   qualitative   ·   public   ·   records   ·   reporting</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24–35</w:t>
      </w:r>
    </w:p>
    <w:p>
      <w:pPr>
        <w:spacing w:before="20" w:after="20" w:line="360" w:lineRule="auto"/>
        <w:ind w:left="200"/>
      </w:pPr>
      <w:r>
        <w:rPr>
          <w:sz w:val="19"/>
          <w:szCs w:val="19"/>
        </w:rPr>
        <w:t xml:space="preserve">Otherwise it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 single step: the loss is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carrying amount minus its fair value, but never more than the goodwill. </w:t>
      </w:r>
      <w:r>
        <w:rPr>
          <w:sz w:val="19"/>
          <w:szCs w:val="19"/>
        </w:rPr>
        <w:t xml:space="preserve">It also shows the rule for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and development (R&amp;D): U.S. GAAP expenses R&amp;D as incurred, except for equipment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that have other future uses. </w:t>
      </w:r>
      <w:r>
        <w:rPr>
          <w:sz w:val="19"/>
          <w:szCs w:val="19"/>
        </w:rPr>
        <w:t xml:space="preserve">ASU 2025-06 changes when companies start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internal-use software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for annual periods beginning after December 15, 2027). </w:t>
      </w:r>
      <w:r>
        <w:rPr>
          <w:sz w:val="19"/>
          <w:szCs w:val="19"/>
        </w:rPr>
        <w:t xml:space="preserve">ASU 2025-10 adds guidance on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grants for assets. </w:t>
      </w:r>
      <w:r>
        <w:rPr>
          <w:sz w:val="19"/>
          <w:szCs w:val="19"/>
        </w:rPr>
        <w:t xml:space="preserve">Under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rule, neither is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yet. </w:t>
      </w:r>
      <w:r>
        <w:rPr>
          <w:sz w:val="19"/>
          <w:szCs w:val="19"/>
        </w:rPr>
        <w:t xml:space="preserve">IAS 36 uses one step: compare the carrying amount with 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amount, which is the higher of fair value less costs of disposal and value in use (a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amount). </w:t>
      </w:r>
      <w:r>
        <w:rPr>
          <w:sz w:val="19"/>
          <w:szCs w:val="19"/>
        </w:rPr>
        <w:t xml:space="preserve">IFRS allows the reversal of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losses on assets other than goodwill. </w:t>
      </w:r>
      <w:r>
        <w:rPr>
          <w:sz w:val="19"/>
          <w:szCs w:val="19"/>
        </w:rPr>
        <w:t xml:space="preserve">IAS 38 requires development costs to be capitalized when six criteria are met. </w:t>
      </w:r>
      <w:r>
        <w:rPr>
          <w:sz w:val="19"/>
          <w:szCs w:val="19"/>
        </w:rPr>
        <w:t xml:space="preserve">These are the classic IFRS habits that cost marks on the U.S. GAAP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capitalizing   ·   discounted   ·   recoverable   ·   government   ·   impairment   ·   effective   ·   applies   ·   unit's   ·   one-year   ·   tested   ·   research   ·   facilities   ·   management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traps</w:t>
            </w:r>
          </w:p>
        </w:tc>
      </w:tr>
    </w:tbl>
    <w:p/>
    <w:p>
      <w:pPr>
        <w:spacing w:before="44" w:after="14"/>
      </w:pPr>
      <w:r>
        <w:rPr>
          <w:b/>
          <w:bCs/>
          <w:color w:val="353A7C"/>
          <w:sz w:val="18"/>
          <w:szCs w:val="18"/>
        </w:rPr>
        <w:t xml:space="preserve">Summary 4</w:t>
      </w:r>
      <w:r>
        <w:rPr>
          <w:color w:val="6B7280"/>
          <w:sz w:val="16"/>
          <w:szCs w:val="16"/>
        </w:rPr>
        <w:t xml:space="preserve">      gaps 36–40</w:t>
      </w:r>
    </w:p>
    <w:p>
      <w:pPr>
        <w:spacing w:before="20" w:after="20" w:line="360" w:lineRule="auto"/>
        <w:ind w:left="200"/>
      </w:pPr>
      <w:r>
        <w:rPr>
          <w:sz w:val="19"/>
          <w:szCs w:val="19"/>
        </w:rPr>
        <w:t xml:space="preserve">Step 1 uses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cash flows. </w:t>
      </w:r>
      <w:r>
        <w:rPr>
          <w:sz w:val="19"/>
          <w:szCs w:val="19"/>
        </w:rPr>
        <w:t xml:space="preserve">Step 2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the loss against FAIR VALUE. </w:t>
      </w:r>
      <w:r>
        <w:rPr>
          <w:sz w:val="19"/>
          <w:szCs w:val="19"/>
        </w:rPr>
        <w:t xml:space="preserve">Goodwill: one step, and the loss is capped at the goodwill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t>
      </w:r>
      <w:r>
        <w:rPr>
          <w:sz w:val="19"/>
          <w:szCs w:val="19"/>
        </w:rPr>
        <w:t xml:space="preserve">No reversals for assets held and used,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intangibles or goodwill. </w:t>
      </w:r>
      <w:r>
        <w:rPr>
          <w:sz w:val="19"/>
          <w:szCs w:val="19"/>
        </w:rPr>
        <w:t xml:space="preserve">Held for sale: gains only up to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losses. </w:t>
      </w:r>
      <w:r>
        <w:rPr>
          <w:sz w:val="19"/>
          <w:szCs w:val="19"/>
        </w:rPr>
        <w:t xml:space="preserve">Stop depreciating an asset once it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patents   ·   indefinite-lived   ·   UNDISCOUNTED   ·   balance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in three languages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15"/>
        <w:gridCol w:w="3048"/>
        <w:gridCol w:w="33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Impairment in three languages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1588"/>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743"/>
            <w:shd w:fill="353A7C" w:val="clear"/>
            <w:tcMar>
              <w:top w:type="dxa" w:w="50"/>
              <w:left w:type="dxa" w:w="110"/>
              <w:bottom w:type="dxa" w:w="50"/>
              <w:right w:type="dxa" w:w="110"/>
            </w:tcMar>
          </w:tcPr>
          <w:p>
            <w:pPr>
              <w:spacing w:before="30" w:after="30"/>
            </w:pPr>
            <w:r>
              <w:rPr>
                <w:b/>
                <w:bCs/>
                <w:color w:val="FFFFFF"/>
                <w:sz w:val="15"/>
                <w:szCs w:val="15"/>
              </w:rPr>
              <w:t xml:space="preserve">Amounts (USD 000)</w:t>
            </w:r>
          </w:p>
        </w:tc>
      </w:tr>
      <w:tr>
        <w:tc>
          <w:tcPr>
            <w:tcW w:type="pct" w:w="568"/>
            <w:tcMar>
              <w:top w:type="dxa" w:w="50"/>
              <w:left w:type="dxa" w:w="110"/>
              <w:bottom w:type="dxa" w:w="50"/>
              <w:right w:type="dxa" w:w="110"/>
            </w:tcMar>
          </w:tcPr>
          <w:p>
            <w:pPr>
              <w:spacing w:before="28" w:after="28"/>
            </w:pPr>
            <w:r>
              <w:rPr>
                <w:sz w:val="15"/>
                <w:szCs w:val="15"/>
              </w:rPr>
              <w:t xml:space="preserve">P</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(41)</w:t>
            </w:r>
          </w:p>
        </w:tc>
        <w:tc>
          <w:tcPr>
            <w:tcW w:type="pct" w:w="1588"/>
            <w:tcMar>
              <w:top w:type="dxa" w:w="50"/>
              <w:left w:type="dxa" w:w="110"/>
              <w:bottom w:type="dxa" w:w="50"/>
              <w:right w:type="dxa" w:w="110"/>
            </w:tcMar>
          </w:tcPr>
          <w:p>
            <w:pPr>
              <w:spacing w:before="28" w:after="28"/>
            </w:pPr>
            <w:r>
              <w:rPr>
                <w:sz w:val="15"/>
                <w:szCs w:val="15"/>
              </w:rPr>
              <w:t xml:space="preserve">Demand for the product fell sharply in 2025.</w:t>
            </w:r>
          </w:p>
        </w:tc>
        <w:tc>
          <w:tcPr>
            <w:tcW w:type="pct" w:w="1743"/>
            <w:tcMar>
              <w:top w:type="dxa" w:w="50"/>
              <w:left w:type="dxa" w:w="110"/>
              <w:bottom w:type="dxa" w:w="50"/>
              <w:right w:type="dxa" w:w="110"/>
            </w:tcMar>
          </w:tcPr>
          <w:p>
            <w:pPr>
              <w:spacing w:before="28" w:after="28"/>
            </w:pPr>
            <w:r>
              <w:rPr>
                <w:sz w:val="15"/>
                <w:szCs w:val="15"/>
              </w:rPr>
              <w:t xml:space="preserve">carrying 500; undiscounted cash flows 450; fair value 380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W</w:t>
            </w:r>
          </w:p>
        </w:tc>
        <w:tc>
          <w:tcPr>
            <w:tcW w:type="pct" w:w="1102"/>
            <w:shd w:fill="FBFAF6" w:val="clear"/>
            <w:tcMar>
              <w:top w:type="dxa" w:w="50"/>
              <w:left w:type="dxa" w:w="110"/>
              <w:bottom w:type="dxa" w:w="50"/>
              <w:right w:type="dxa" w:w="110"/>
            </w:tcMar>
          </w:tcPr>
          <w:p>
            <w:pPr>
              <w:spacing w:before="28" w:after="28"/>
            </w:pPr>
            <w:r>
              <w:rPr>
                <w:sz w:val="15"/>
                <w:szCs w:val="15"/>
              </w:rPr>
              <w:t xml:space="preserve">Warehouse, Amman</w:t>
            </w:r>
          </w:p>
        </w:tc>
        <w:tc>
          <w:tcPr>
            <w:tcW w:type="pct" w:w="1588"/>
            <w:shd w:fill="FBFAF6" w:val="clear"/>
            <w:tcMar>
              <w:top w:type="dxa" w:w="50"/>
              <w:left w:type="dxa" w:w="110"/>
              <w:bottom w:type="dxa" w:w="50"/>
              <w:right w:type="dxa" w:w="110"/>
            </w:tcMar>
          </w:tcPr>
          <w:p>
            <w:pPr>
              <w:spacing w:before="28" w:after="28"/>
            </w:pPr>
            <w:r>
              <w:rPr>
                <w:sz w:val="15"/>
                <w:szCs w:val="15"/>
              </w:rPr>
              <w:t xml:space="preserve">Local property prices fell.</w:t>
            </w:r>
          </w:p>
        </w:tc>
        <w:tc>
          <w:tcPr>
            <w:tcW w:type="pct" w:w="1743"/>
            <w:shd w:fill="FBFAF6" w:val="clear"/>
            <w:tcMar>
              <w:top w:type="dxa" w:w="50"/>
              <w:left w:type="dxa" w:w="110"/>
              <w:bottom w:type="dxa" w:w="50"/>
              <w:right w:type="dxa" w:w="110"/>
            </w:tcMar>
          </w:tcPr>
          <w:p>
            <w:pPr>
              <w:spacing w:before="28" w:after="28"/>
            </w:pPr>
            <w:r>
              <w:rPr>
                <w:sz w:val="15"/>
                <w:szCs w:val="15"/>
              </w:rPr>
              <w:t xml:space="preserve">carrying 1,000; </w:t>
            </w:r>
            <w:r>
              <w:rPr>
                <w:b/>
                <w:bCs/>
                <w:color w:val="8186EF"/>
                <w:sz w:val="14"/>
                <w:szCs w:val="14"/>
              </w:rPr>
              <w:t xml:space="preserve"> (42) </w:t>
            </w:r>
            <w:r>
              <w:rPr>
                <w:u w:val="single"/>
                <w:sz w:val="15"/>
                <w:szCs w:val="15"/>
              </w:rPr>
              <w:t xml:space="preserve">              </w:t>
            </w:r>
            <w:r>
              <w:rPr>
                <w:sz w:val="15"/>
                <w:szCs w:val="15"/>
              </w:rPr>
              <w:t xml:space="preserve"> </w:t>
            </w:r>
            <w:r>
              <w:rPr>
                <w:sz w:val="15"/>
                <w:szCs w:val="15"/>
              </w:rPr>
              <w:t xml:space="preserve"> cash flows 1,300; fair value 900</w:t>
            </w:r>
          </w:p>
        </w:tc>
      </w:tr>
      <w:tr>
        <w:tc>
          <w:tcPr>
            <w:tcW w:type="pct" w:w="568"/>
            <w:tcMar>
              <w:top w:type="dxa" w:w="50"/>
              <w:left w:type="dxa" w:w="110"/>
              <w:bottom w:type="dxa" w:w="50"/>
              <w:right w:type="dxa" w:w="110"/>
            </w:tcMar>
          </w:tcPr>
          <w:p>
            <w:pPr>
              <w:spacing w:before="28" w:after="28"/>
            </w:pPr>
            <w:r>
              <w:rPr>
                <w:sz w:val="15"/>
                <w:szCs w:val="15"/>
              </w:rPr>
              <w:t xml:space="preserve">B</w:t>
            </w:r>
          </w:p>
        </w:tc>
        <w:tc>
          <w:tcPr>
            <w:tcW w:type="pct" w:w="1102"/>
            <w:tcMar>
              <w:top w:type="dxa" w:w="50"/>
              <w:left w:type="dxa" w:w="110"/>
              <w:bottom w:type="dxa" w:w="50"/>
              <w:right w:type="dxa" w:w="110"/>
            </w:tcMar>
          </w:tcPr>
          <w:p>
            <w:pPr>
              <w:spacing w:before="28" w:after="28"/>
            </w:pPr>
            <w:r>
              <w:rPr>
                <w:sz w:val="15"/>
                <w:szCs w:val="15"/>
              </w:rPr>
              <w:t xml:space="preserve">Brand 'Orontes Gold' (indefinite life)</w:t>
            </w:r>
          </w:p>
        </w:tc>
        <w:tc>
          <w:tcPr>
            <w:tcW w:type="pct" w:w="1588"/>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1743"/>
            <w:tcMar>
              <w:top w:type="dxa" w:w="50"/>
              <w:left w:type="dxa" w:w="110"/>
              <w:bottom w:type="dxa" w:w="50"/>
              <w:right w:type="dxa" w:w="110"/>
            </w:tcMar>
          </w:tcPr>
          <w:p>
            <w:pPr>
              <w:spacing w:before="28" w:after="28"/>
            </w:pPr>
            <w:r>
              <w:rPr>
                <w:sz w:val="15"/>
                <w:szCs w:val="15"/>
              </w:rPr>
              <w:t xml:space="preserve">carrying 300; fair value 260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G</w:t>
            </w:r>
          </w:p>
        </w:tc>
        <w:tc>
          <w:tcPr>
            <w:tcW w:type="pct" w:w="1102"/>
            <w:shd w:fill="FBFAF6" w:val="clear"/>
            <w:tcMar>
              <w:top w:type="dxa" w:w="50"/>
              <w:left w:type="dxa" w:w="110"/>
              <w:bottom w:type="dxa" w:w="50"/>
              <w:right w:type="dxa" w:w="110"/>
            </w:tcMar>
          </w:tcPr>
          <w:p>
            <w:pPr>
              <w:spacing w:before="28" w:after="28"/>
            </w:pPr>
            <w:r>
              <w:rPr>
                <w:sz w:val="15"/>
                <w:szCs w:val="15"/>
              </w:rPr>
              <w:t xml:space="preserve">Goodwill, Gulf beverages reporting unit</w:t>
            </w:r>
          </w:p>
        </w:tc>
        <w:tc>
          <w:tcPr>
            <w:tcW w:type="pct" w:w="1588"/>
            <w:shd w:fill="FBFAF6" w:val="clear"/>
            <w:tcMar>
              <w:top w:type="dxa" w:w="50"/>
              <w:left w:type="dxa" w:w="110"/>
              <w:bottom w:type="dxa" w:w="50"/>
              <w:right w:type="dxa" w:w="110"/>
            </w:tcMar>
          </w:tcPr>
          <w:p>
            <w:pPr>
              <w:spacing w:before="28" w:after="28"/>
            </w:pPr>
            <w:r>
              <w:rPr>
                <w:sz w:val="15"/>
                <w:szCs w:val="15"/>
              </w:rPr>
              <w:t xml:space="preserve">Unit carrying amount includes the goodwill.</w:t>
            </w:r>
          </w:p>
        </w:tc>
        <w:tc>
          <w:tcPr>
            <w:tcW w:type="pct" w:w="1743"/>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568"/>
            <w:tcMar>
              <w:top w:type="dxa" w:w="50"/>
              <w:left w:type="dxa" w:w="110"/>
              <w:bottom w:type="dxa" w:w="50"/>
              <w:right w:type="dxa" w:w="110"/>
            </w:tcMar>
          </w:tcPr>
          <w:p>
            <w:pPr>
              <w:spacing w:before="28" w:after="28"/>
            </w:pPr>
            <w:r>
              <w:rPr>
                <w:sz w:val="15"/>
                <w:szCs w:val="15"/>
              </w:rPr>
              <w:t xml:space="preserve">V</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1588"/>
            <w:tcMar>
              <w:top w:type="dxa" w:w="50"/>
              <w:left w:type="dxa" w:w="110"/>
              <w:bottom w:type="dxa" w:w="50"/>
              <w:right w:type="dxa" w:w="110"/>
            </w:tcMar>
          </w:tcPr>
          <w:p>
            <w:pPr>
              <w:spacing w:before="28" w:after="28"/>
            </w:pPr>
            <w:r>
              <w:rPr>
                <w:sz w:val="15"/>
                <w:szCs w:val="15"/>
              </w:rPr>
              <w:t xml:space="preserve">Management has committed to sell it within one year.</w:t>
            </w:r>
          </w:p>
        </w:tc>
        <w:tc>
          <w:tcPr>
            <w:tcW w:type="pct" w:w="1743"/>
            <w:tcMar>
              <w:top w:type="dxa" w:w="50"/>
              <w:left w:type="dxa" w:w="110"/>
              <w:bottom w:type="dxa" w:w="50"/>
              <w:right w:type="dxa" w:w="110"/>
            </w:tcMar>
          </w:tcPr>
          <w:p>
            <w:pPr>
              <w:spacing w:before="28" w:after="28"/>
            </w:pPr>
            <w:r>
              <w:rPr>
                <w:sz w:val="15"/>
                <w:szCs w:val="15"/>
              </w:rPr>
              <w:t xml:space="preserve">carrying 60; fair value 50; cost to sell 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undiscounted   ·   carrying 2,000; goodwill included 150; fair value 1,700   ·   Local property prices fell.   ·   Pastry line, Dubai   ·   Annual test.   ·   Delivery van (held for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Year 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Year 3</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2400"/>
            <w:tcMar>
              <w:top w:type="dxa" w:w="50"/>
              <w:left w:type="dxa" w:w="110"/>
              <w:bottom w:type="dxa" w:w="50"/>
              <w:right w:type="dxa" w:w="110"/>
            </w:tcMar>
          </w:tcPr>
          <w:p>
            <w:pPr>
              <w:spacing w:before="28" w:after="28"/>
            </w:pPr>
            <w:r>
              <w:rPr>
                <w:sz w:val="15"/>
                <w:szCs w:val="15"/>
              </w:rPr>
              <w:t xml:space="preserve">Year 4</w:t>
            </w:r>
          </w:p>
        </w:tc>
        <w:tc>
          <w:tcPr>
            <w:tcW w:type="pct" w:w="2600"/>
            <w:tcMar>
              <w:top w:type="dxa" w:w="50"/>
              <w:left w:type="dxa" w:w="110"/>
              <w:bottom w:type="dxa" w:w="50"/>
              <w:right w:type="dxa" w:w="110"/>
            </w:tcMar>
          </w:tcPr>
          <w:p>
            <w:pPr>
              <w:spacing w:before="28" w:after="28"/>
            </w:pPr>
            <w:r>
              <w:rPr>
                <w:sz w:val="15"/>
                <w:szCs w:val="15"/>
              </w:rPr>
              <w:t xml:space="preserve">The rate would give more than is left above salvage, so depreciation is 11,250 − 10,000 = 1,250; ending book value 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1,000; undiscounted cash flows 1,300; fair value 900   ·   50% × 45,000 = 22,500; ending book value 22,500   ·   50% × 22,500 = 11,250; ending book value 11,250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w:t>
            </w:r>
          </w:p>
        </w:tc>
        <w:tc>
          <w:tcPr>
            <w:tcW w:type="pct" w:w="2600"/>
            <w:tcMar>
              <w:top w:type="dxa" w:w="50"/>
              <w:left w:type="dxa" w:w="110"/>
              <w:bottom w:type="dxa" w:w="50"/>
              <w:right w:type="dxa" w:w="110"/>
            </w:tcMar>
          </w:tcPr>
          <w:p>
            <w:pPr>
              <w:spacing w:before="28" w:after="28"/>
            </w:pPr>
            <w:r>
              <w:rPr>
                <w:sz w:val="15"/>
                <w:szCs w:val="15"/>
              </w:rPr>
              <w:t xml:space="preserve">Two steps: recoverability, then fair value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(48) </w:t>
            </w:r>
            <w:r>
              <w:rPr>
                <w:u w:val="single"/>
                <w:sz w:val="15"/>
                <w:szCs w:val="15"/>
              </w:rPr>
              <w:t xml:space="preserve">              </w:t>
            </w:r>
            <w:r>
              <w:rPr>
                <w:sz w:val="15"/>
                <w:szCs w:val="15"/>
              </w:rPr>
              <w:t xml:space="preserve"> </w:t>
            </w:r>
            <w:r>
              <w:rPr>
                <w:sz w:val="15"/>
                <w:szCs w:val="15"/>
              </w:rPr>
              <w:t xml:space="preserve">: recoverability, then fair value</w:t>
            </w:r>
          </w:p>
        </w:tc>
      </w:tr>
      <w:tr>
        <w:tc>
          <w:tcPr>
            <w:tcW w:type="pct" w:w="2400"/>
            <w:tcMar>
              <w:top w:type="dxa" w:w="50"/>
              <w:left w:type="dxa" w:w="110"/>
              <w:bottom w:type="dxa" w:w="50"/>
              <w:right w:type="dxa" w:w="110"/>
            </w:tcMar>
          </w:tcPr>
          <w:p>
            <w:pPr>
              <w:spacing w:before="28" w:after="28"/>
            </w:pPr>
            <w:r>
              <w:rPr>
                <w:sz w:val="15"/>
                <w:szCs w:val="15"/>
              </w:rPr>
              <w:t xml:space="preserve">B</w:t>
            </w:r>
          </w:p>
        </w:tc>
        <w:tc>
          <w:tcPr>
            <w:tcW w:type="pct" w:w="2600"/>
            <w:tcMar>
              <w:top w:type="dxa" w:w="50"/>
              <w:left w:type="dxa" w:w="110"/>
              <w:bottom w:type="dxa" w:w="50"/>
              <w:right w:type="dxa" w:w="110"/>
            </w:tcMar>
          </w:tcPr>
          <w:p>
            <w:pPr>
              <w:spacing w:before="28" w:after="28"/>
            </w:pPr>
            <w:r>
              <w:rPr>
                <w:sz w:val="15"/>
                <w:szCs w:val="15"/>
              </w:rPr>
              <w:t xml:space="preserve">One step: carrying amount vs fair value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(49)</w:t>
            </w:r>
          </w:p>
        </w:tc>
      </w:tr>
      <w:tr>
        <w:tc>
          <w:tcPr>
            <w:tcW w:type="pct" w:w="2400"/>
            <w:tcMar>
              <w:top w:type="dxa" w:w="50"/>
              <w:left w:type="dxa" w:w="110"/>
              <w:bottom w:type="dxa" w:w="50"/>
              <w:right w:type="dxa" w:w="110"/>
            </w:tcMar>
          </w:tcPr>
          <w:p>
            <w:pPr>
              <w:spacing w:before="28" w:after="28"/>
            </w:pPr>
            <w:r>
              <w:rPr>
                <w:sz w:val="15"/>
                <w:szCs w:val="15"/>
              </w:rPr>
              <w:t xml:space="preserve">V</w:t>
            </w:r>
          </w:p>
        </w:tc>
        <w:tc>
          <w:tcPr>
            <w:tcW w:type="pct" w:w="2600"/>
            <w:tcMar>
              <w:top w:type="dxa" w:w="50"/>
              <w:left w:type="dxa" w:w="110"/>
              <w:bottom w:type="dxa" w:w="50"/>
              <w:right w:type="dxa" w:w="110"/>
            </w:tcMar>
          </w:tcPr>
          <w:p>
            <w:pPr>
              <w:spacing w:before="28" w:after="28"/>
            </w:pPr>
            <w:r>
              <w:rPr>
                <w:sz w:val="15"/>
                <w:szCs w:val="15"/>
              </w:rPr>
              <w:t xml:space="preserve">Lower of </w:t>
            </w:r>
            <w:r>
              <w:rPr>
                <w:b/>
                <w:bCs/>
                <w:color w:val="8186EF"/>
                <w:sz w:val="14"/>
                <w:szCs w:val="14"/>
              </w:rPr>
              <w:t xml:space="preserve"> (50) </w:t>
            </w:r>
            <w:r>
              <w:rPr>
                <w:u w:val="single"/>
                <w:sz w:val="15"/>
                <w:szCs w:val="15"/>
              </w:rPr>
              <w:t xml:space="preserve">              </w:t>
            </w:r>
            <w:r>
              <w:rPr>
                <w:sz w:val="15"/>
                <w:szCs w:val="15"/>
              </w:rPr>
              <w:t xml:space="preserve"> </w:t>
            </w:r>
            <w:r>
              <w:rPr>
                <w:sz w:val="15"/>
                <w:szCs w:val="15"/>
              </w:rPr>
              <w:t xml:space="preserve"> and fair value less cost to sell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Single-step goodwill test   ·   carrying amount   ·   Two steps   ·   Year 2</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   sum-of-the-years'-digits method   ·   reporting unit   ·   recoverability test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9"/>
        <w:gridCol w:w="47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1"/>
            <w:tcMar>
              <w:top w:type="dxa" w:w="50"/>
              <w:left w:type="dxa" w:w="110"/>
              <w:bottom w:type="dxa" w:w="50"/>
              <w:right w:type="dxa" w:w="110"/>
            </w:tcMar>
          </w:tcPr>
          <w:p>
            <w:pPr>
              <w:spacing w:before="26" w:after="26"/>
            </w:pPr>
            <w:r>
              <w:rPr>
                <w:color w:val="232733"/>
                <w:sz w:val="16"/>
                <w:szCs w:val="16"/>
              </w:rPr>
              <w:t xml:space="preserve">impairment</w:t>
            </w:r>
          </w:p>
        </w:tc>
        <w:tc>
          <w:tcPr>
            <w:tcW w:type="pct" w:w="2469"/>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31"/>
            <w:tcMar>
              <w:top w:type="dxa" w:w="50"/>
              <w:left w:type="dxa" w:w="110"/>
              <w:bottom w:type="dxa" w:w="50"/>
              <w:right w:type="dxa" w:w="110"/>
            </w:tcMar>
          </w:tcPr>
          <w:p>
            <w:pPr>
              <w:spacing w:before="26" w:after="26"/>
            </w:pPr>
            <w:r>
              <w:rPr>
                <w:color w:val="232733"/>
                <w:sz w:val="16"/>
                <w:szCs w:val="16"/>
              </w:rPr>
              <w:t xml:space="preserve">held for sale</w:t>
            </w:r>
          </w:p>
        </w:tc>
        <w:tc>
          <w:tcPr>
            <w:tcW w:type="pct" w:w="2469"/>
            <w:tcMar>
              <w:top w:type="dxa" w:w="50"/>
              <w:left w:type="dxa" w:w="110"/>
              <w:bottom w:type="dxa" w:w="50"/>
              <w:right w:type="dxa" w:w="110"/>
            </w:tcMar>
          </w:tcPr>
          <w:p>
            <w:pPr>
              <w:spacing w:before="26" w:after="26"/>
            </w:pPr>
            <w:r>
              <w:rPr>
                <w:color w:val="232733"/>
                <w:sz w:val="16"/>
                <w:szCs w:val="16"/>
              </w:rPr>
              <w:t xml:space="preserve">محتفظ بها للبيع</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asset group</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مجموعة أصول</w:t>
            </w:r>
          </w:p>
        </w:tc>
      </w:tr>
      <w:tr>
        <w:tc>
          <w:tcPr>
            <w:tcW w:type="pct" w:w="2531"/>
            <w:tcMar>
              <w:top w:type="dxa" w:w="50"/>
              <w:left w:type="dxa" w:w="110"/>
              <w:bottom w:type="dxa" w:w="50"/>
              <w:right w:type="dxa" w:w="110"/>
            </w:tcMar>
          </w:tcPr>
          <w:p>
            <w:pPr>
              <w:spacing w:before="26" w:after="26"/>
            </w:pPr>
            <w:r>
              <w:rPr>
                <w:color w:val="232733"/>
                <w:sz w:val="16"/>
                <w:szCs w:val="16"/>
              </w:rPr>
              <w:t xml:space="preserve">goodwill</w:t>
            </w:r>
          </w:p>
        </w:tc>
        <w:tc>
          <w:tcPr>
            <w:tcW w:type="pct" w:w="2469"/>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reporting unit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وحدة إعداد التقارير</w:t>
            </w:r>
          </w:p>
        </w:tc>
      </w:tr>
      <w:tr>
        <w:tc>
          <w:tcPr>
            <w:tcW w:type="pct" w:w="2531"/>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69"/>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531"/>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69"/>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Impairment of long-lived assets, intangibles and goodwill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occurs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capitalizing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indicators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tested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undiscounted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reduced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remaining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Pastry line, Dubai</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Finite-lived</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Annual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intangible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carrying 2,000; goodwill included 150; fair value 1,700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Delivery van (held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50% × 45,000 = 22,500; ending book value 22,500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50% × 22,500 = 11,250; ending book value 11,250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Two steps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Single-step goodwill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qualitative</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unit's</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recoverability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research</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reporting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facilities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impairment occurs when a company cannot recover an asset's carrying amount. U.S. GAAP uses different tests for different assets. The company tests an asset group (the lowest level with its own cash flows) only when indicators suggest a problem, such as a sharp fall in market price, physical damage or continuing losses. The test has two steps. In the recoverability test, the company compares the carrying amount with the sum of the undiscounted future cash flows. If the carrying amount is not higher, there is no impairment, even if fair value is lower. If it is higher, the company measures the loss as carrying amount minus fair value. The reduced amount becomes the new cost basis and is depreciated over the remaining life. The loss is never reversed under U.S. GAAP. An asset is held for sale when management has committed to a plan to sell it, it is available for immediate sale, and the sale is expected within one year. It is measured at the lower of its carrying amount and fair value less cost to sell, and it is no longer depreciated.</w:t>
      </w:r>
    </w:p>
    <w:p>
      <w:pPr>
        <w:spacing w:before="20" w:after="20"/>
        <w:ind w:left="240" w:hanging="240"/>
      </w:pPr>
      <w:r>
        <w:rPr>
          <w:b/>
          <w:bCs/>
          <w:color w:val="353A7C"/>
          <w:sz w:val="15"/>
          <w:szCs w:val="15"/>
        </w:rPr>
        <w:t xml:space="preserve">Summary 2   </w:t>
      </w:r>
      <w:r>
        <w:rPr>
          <w:color w:val="6B7280"/>
          <w:sz w:val="15"/>
          <w:szCs w:val="15"/>
        </w:rPr>
        <w:t xml:space="preserve">If fair value less cost to sell rises later, the company records a gain, but only up to the losses it recognized before. Finite-lived intangibles, such as patents, are subject to amortization over their useful lives and follow the PP&amp;E test.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 A company may first make a qualitative assessment; if it is not more likely than not that the unit's fair value is below its carrying amount, no further test is needed.</w:t>
      </w:r>
    </w:p>
    <w:p>
      <w:pPr>
        <w:spacing w:before="20" w:after="20"/>
        <w:ind w:left="240" w:hanging="240"/>
      </w:pPr>
      <w:r>
        <w:rPr>
          <w:b/>
          <w:bCs/>
          <w:color w:val="353A7C"/>
          <w:sz w:val="15"/>
          <w:szCs w:val="15"/>
        </w:rPr>
        <w:t xml:space="preserve">Summary 3   </w:t>
      </w:r>
      <w:r>
        <w:rPr>
          <w:color w:val="6B7280"/>
          <w:sz w:val="15"/>
          <w:szCs w:val="15"/>
        </w:rPr>
        <w:t xml:space="preserve">Otherwise it applies a single step: the loss is the unit's carrying amount minus its fair value, but never more than the goodwill. It also shows the rule for research and development (R&amp;D): U.S. GAAP expenses R&amp;D as incurred, except for equipment and facilities that have other future uses. ASU 2025-06 changes when companies start capitalizing internal-use software (effective for annual periods beginning after December 15, 2027). ASU 2025-10 adds guidance on government grants for assets. Under the one-year rule, neither is tested yet. IAS 36 uses one step: compare the carrying amount with the recoverable amount, which is the higher of fair value less costs of disposal and value in use (a discounted amount). IFRS allows the reversal of impairment losses on assets other than goodwill. IAS 38 requires development costs to be capitalized when six criteria are met. These are the classic IFRS habits that cost marks on the U.S. GAAP exam.</w:t>
      </w:r>
    </w:p>
    <w:p>
      <w:pPr>
        <w:spacing w:before="20" w:after="20"/>
        <w:ind w:left="240" w:hanging="240"/>
      </w:pPr>
      <w:r>
        <w:rPr>
          <w:b/>
          <w:bCs/>
          <w:color w:val="353A7C"/>
          <w:sz w:val="15"/>
          <w:szCs w:val="15"/>
        </w:rPr>
        <w:t xml:space="preserve">Summary 4   </w:t>
      </w:r>
      <w:r>
        <w:rPr>
          <w:color w:val="6B7280"/>
          <w:sz w:val="15"/>
          <w:szCs w:val="15"/>
        </w:rPr>
        <w:t xml:space="preserve">Step 1 uses UNDISCOUNTED cash flows. Step 2 measures the loss against FAIR VALUE. Goodwill: one step, and the loss is capped at the goodwill balance. No reversals for assets held and used, indefinite-lived intangibles or goodwill. Held for sale: gains only up to earlier losses. Stop depreciating an asset once it is held for sale.</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Revenue and the core principle</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Steps 3 and 4: the transaction price and its a   ·   Step 5: recognizing revenue over time or at a    ·   Steps 1 and 2: the contract and its performanc   ·   Matching, contract costs and IFRS differences</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Revenue is the inflow from a company's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selling goods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services. </w:t>
      </w:r>
      <w:r>
        <w:rPr>
          <w:sz w:val="19"/>
          <w:szCs w:val="19"/>
        </w:rPr>
        <w:t xml:space="preserve">Under ASC 606, a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control of promised goods or services to a customer. </w:t>
      </w:r>
      <w:r>
        <w:rPr>
          <w:sz w:val="19"/>
          <w:szCs w:val="19"/>
        </w:rPr>
        <w:t xml:space="preserve">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at the amount it expects to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in exchange. </w:t>
      </w:r>
      <w:r>
        <w:rPr>
          <w:sz w:val="19"/>
          <w:szCs w:val="19"/>
        </w:rPr>
        <w:t xml:space="preserve">Control means the customer can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use of the asset and obtain almost all of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key question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when the company is paid, but when the customer gains control. </w:t>
      </w:r>
      <w:r>
        <w:rPr>
          <w:sz w:val="19"/>
          <w:szCs w:val="19"/>
        </w:rPr>
        <w:t xml:space="preserve">Cash can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at or after that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ASC 606 applies one model to all contracts with customers: goods, services, construction and software. </w:t>
      </w:r>
      <w:r>
        <w:rPr>
          <w:sz w:val="19"/>
          <w:szCs w:val="19"/>
        </w:rPr>
        <w:t xml:space="preserve">The model has five steps. </w:t>
      </w:r>
      <w:r>
        <w:rPr>
          <w:sz w:val="19"/>
          <w:szCs w:val="19"/>
        </w:rPr>
        <w:t xml:space="preserve">Each step answers one question, and each uses the answer to the step before.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agent   ·   transfers   ·   therefore   ·   moment   ·   recognizes   ·   entitled   ·   direct   ·   activities   ·   arrive   ·   measures   ·   providing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Revenue and the core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Steps 1 and 2: the contract and its performanc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 5: recognizing revenue over time or at a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entitled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Matching, contract costs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arrive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 Control means the customer can direct the use of the asset and obtain almost all of its benefits. The key question is therefore not when the company is paid, but when the customer gains control. Cash can arrive before, at or after that moment. ASC 606 applies one model to all contracts with customers: goods, services, construction and software. The model has five steps. Each step answers one question, and each uses the answer to the step before.</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Steps 1 and 2: the contract and its performance obligations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1: identify the contract. </w:t>
      </w:r>
      <w:r>
        <w:rPr>
          <w:sz w:val="19"/>
          <w:szCs w:val="19"/>
        </w:rPr>
        <w:t xml:space="preserve">A contract exists only if the parties have approved it and are committed to it, each party's rights and the payment terms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contract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substance. </w:t>
      </w:r>
      <w:r>
        <w:rPr>
          <w:sz w:val="19"/>
          <w:szCs w:val="19"/>
        </w:rPr>
        <w:t xml:space="preserve">Finally, it must be probable that the company will collect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 these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not met, cash received from the customer is a liability,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GAAP, probable means likely: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level than the IFRS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more likely than not. </w:t>
      </w:r>
      <w:r>
        <w:rPr>
          <w:sz w:val="19"/>
          <w:szCs w:val="19"/>
        </w:rPr>
        <w:t xml:space="preserve">Step 2: identify the performance obligations. </w:t>
      </w:r>
      <w:r>
        <w:rPr>
          <w:sz w:val="19"/>
          <w:szCs w:val="19"/>
        </w:rPr>
        <w:t xml:space="preserve">Each promise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distinct good or service is a separate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good or service is distinct if the customer can benefit from it on its own and it is separately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contract, not highly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other promises. </w:t>
      </w:r>
      <w:r>
        <w:rPr>
          <w:sz w:val="19"/>
          <w:szCs w:val="19"/>
        </w:rPr>
        <w:t xml:space="preserve">GreenBasket buys olive oil, a beverage dispenser installed in its stores, and two years of dispenser maintenance. </w:t>
      </w:r>
      <w:r>
        <w:rPr>
          <w:sz w:val="19"/>
          <w:szCs w:val="19"/>
        </w:rPr>
        <w:t xml:space="preserve">Each can be bought separately, so there are three performance obligations.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identifiable   ·   higher   ·   dependent   ·   transfer   ·   substantially   ·   customer   ·   criteria   ·   meaning   ·   consideration   ·   commercial   ·   revenue   ·   obligation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the five steps applied to the Orontes–GreenBasket contract, October 1, 2026</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Step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Orontes's analysis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 (whole USD)</w:t>
            </w:r>
          </w:p>
        </w:tc>
      </w:tr>
      <w:tr>
        <w:tc>
          <w:tcPr>
            <w:tcW w:type="pct" w:w="2042"/>
            <w:tcMar>
              <w:top w:type="dxa" w:w="50"/>
              <w:left w:type="dxa" w:w="110"/>
              <w:bottom w:type="dxa" w:w="50"/>
              <w:right w:type="dxa" w:w="110"/>
            </w:tcMar>
          </w:tcPr>
          <w:p>
            <w:pPr>
              <w:spacing w:before="28" w:after="28"/>
            </w:pPr>
            <w:r>
              <w:rPr>
                <w:sz w:val="15"/>
                <w:szCs w:val="15"/>
              </w:rPr>
              <w:t xml:space="preserve">1. Identify the contract</w:t>
            </w:r>
          </w:p>
        </w:tc>
        <w:tc>
          <w:tcPr>
            <w:tcW w:type="pct" w:w="2200"/>
            <w:tcMar>
              <w:top w:type="dxa" w:w="50"/>
              <w:left w:type="dxa" w:w="110"/>
              <w:bottom w:type="dxa" w:w="50"/>
              <w:right w:type="dxa" w:w="110"/>
            </w:tcMar>
          </w:tcPr>
          <w:p>
            <w:pPr>
              <w:spacing w:before="28" w:after="28"/>
            </w:pPr>
            <w:r>
              <w:rPr>
                <w:sz w:val="15"/>
                <w:szCs w:val="15"/>
              </w:rPr>
              <w:t xml:space="preserve">A signed agreement for olive oil, a dispenser and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payment terms clear; collection probable.</w:t>
            </w:r>
          </w:p>
        </w:tc>
        <w:tc>
          <w:tcPr>
            <w:tcW w:type="pct" w:w="758"/>
            <w:tcMar>
              <w:top w:type="dxa" w:w="50"/>
              <w:left w:type="dxa" w:w="110"/>
              <w:bottom w:type="dxa" w:w="50"/>
              <w:right w:type="dxa" w:w="110"/>
            </w:tcMar>
          </w:tcPr>
          <w:p>
            <w:pPr>
              <w:spacing w:before="28" w:after="28"/>
            </w:pPr>
            <w:r>
              <w:rPr>
                <w:sz w:val="15"/>
                <w:szCs w:val="15"/>
              </w:rPr>
              <w:t xml:space="preserve">Contract exists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2. Identify the performance obligations</w:t>
            </w:r>
          </w:p>
        </w:tc>
        <w:tc>
          <w:tcPr>
            <w:tcW w:type="pct" w:w="2200"/>
            <w:shd w:fill="FBFAF6" w:val="clear"/>
            <w:tcMar>
              <w:top w:type="dxa" w:w="50"/>
              <w:left w:type="dxa" w:w="110"/>
              <w:bottom w:type="dxa" w:w="50"/>
              <w:right w:type="dxa" w:w="110"/>
            </w:tcMar>
          </w:tcPr>
          <w:p>
            <w:pPr>
              <w:spacing w:before="28" w:after="28"/>
            </w:pPr>
            <w:r>
              <w:rPr>
                <w:sz w:val="15"/>
                <w:szCs w:val="15"/>
              </w:rPr>
              <w:t xml:space="preserve">Olive oil, the dispenser and maintenance can each be bought separately and are not highly interdependent.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42"/>
            <w:tcMar>
              <w:top w:type="dxa" w:w="50"/>
              <w:left w:type="dxa" w:w="110"/>
              <w:bottom w:type="dxa" w:w="50"/>
              <w:right w:type="dxa" w:w="110"/>
            </w:tcMar>
          </w:tcPr>
          <w:p>
            <w:pPr>
              <w:spacing w:before="28" w:after="28"/>
            </w:pPr>
            <w:r>
              <w:rPr>
                <w:sz w:val="15"/>
                <w:szCs w:val="15"/>
              </w:rPr>
              <w:t xml:space="preserve">3. Determine the transaction price</w:t>
            </w:r>
          </w:p>
        </w:tc>
        <w:tc>
          <w:tcPr>
            <w:tcW w:type="pct" w:w="2200"/>
            <w:tcMar>
              <w:top w:type="dxa" w:w="50"/>
              <w:left w:type="dxa" w:w="110"/>
              <w:bottom w:type="dxa" w:w="50"/>
              <w:right w:type="dxa" w:w="110"/>
            </w:tcMar>
          </w:tcPr>
          <w:p>
            <w:pPr>
              <w:spacing w:before="28" w:after="28"/>
            </w:pPr>
            <w:r>
              <w:rPr>
                <w:sz w:val="15"/>
                <w:szCs w:val="15"/>
              </w:rPr>
              <w:t xml:space="preserve">Fixed price; no variable amounts, no financing component, no payments to GreenBasket.</w:t>
            </w:r>
          </w:p>
        </w:tc>
        <w:tc>
          <w:tcPr>
            <w:tcW w:type="pct" w:w="758"/>
            <w:tcMar>
              <w:top w:type="dxa" w:w="50"/>
              <w:left w:type="dxa" w:w="110"/>
              <w:bottom w:type="dxa" w:w="50"/>
              <w:right w:type="dxa" w:w="110"/>
            </w:tcMar>
          </w:tcPr>
          <w:p>
            <w:pPr>
              <w:spacing w:before="28" w:after="28"/>
            </w:pPr>
            <w:r>
              <w:rPr>
                <w:sz w:val="15"/>
                <w:szCs w:val="15"/>
              </w:rPr>
              <w:t xml:space="preserve">1,080,000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4. Allocate the price</w:t>
            </w:r>
          </w:p>
        </w:tc>
        <w:tc>
          <w:tcPr>
            <w:tcW w:type="pct" w:w="2200"/>
            <w:shd w:fill="FBFAF6" w:val="clear"/>
            <w:tcMar>
              <w:top w:type="dxa" w:w="50"/>
              <w:left w:type="dxa" w:w="110"/>
              <w:bottom w:type="dxa" w:w="50"/>
              <w:right w:type="dxa" w:w="110"/>
            </w:tcMar>
          </w:tcPr>
          <w:p>
            <w:pPr>
              <w:spacing w:before="28" w:after="28"/>
            </w:pPr>
            <w:r>
              <w:rPr>
                <w:sz w:val="15"/>
                <w:szCs w:val="15"/>
              </w:rPr>
              <w:t xml:space="preserve">Relative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selling prices totalling 1,200,000; each obligation gets 90%.</w:t>
            </w:r>
          </w:p>
        </w:tc>
        <w:tc>
          <w:tcPr>
            <w:tcW w:type="pct" w:w="758"/>
            <w:shd w:fill="FBFAF6" w:val="clear"/>
            <w:tcMar>
              <w:top w:type="dxa" w:w="50"/>
              <w:left w:type="dxa" w:w="110"/>
              <w:bottom w:type="dxa" w:w="50"/>
              <w:right w:type="dxa" w:w="110"/>
            </w:tcMar>
          </w:tcPr>
          <w:p>
            <w:pPr>
              <w:spacing w:before="28" w:after="28"/>
            </w:pPr>
            <w:r>
              <w:rPr>
                <w:sz w:val="15"/>
                <w:szCs w:val="15"/>
              </w:rPr>
              <w:t xml:space="preserve">810,000 / 180,000 / 90,000</w:t>
            </w:r>
          </w:p>
        </w:tc>
      </w:tr>
      <w:tr>
        <w:tc>
          <w:tcPr>
            <w:tcW w:type="pct" w:w="2042"/>
            <w:tcMar>
              <w:top w:type="dxa" w:w="50"/>
              <w:left w:type="dxa" w:w="110"/>
              <w:bottom w:type="dxa" w:w="50"/>
              <w:right w:type="dxa" w:w="110"/>
            </w:tcMar>
          </w:tcPr>
          <w:p>
            <w:pPr>
              <w:spacing w:before="28" w:after="28"/>
            </w:pPr>
            <w:r>
              <w:rPr>
                <w:sz w:val="15"/>
                <w:szCs w:val="15"/>
              </w:rPr>
              <w:t xml:space="preserve">5. Recognize revenue</w:t>
            </w:r>
          </w:p>
        </w:tc>
        <w:tc>
          <w:tcPr>
            <w:tcW w:type="pct" w:w="2200"/>
            <w:tcMar>
              <w:top w:type="dxa" w:w="50"/>
              <w:left w:type="dxa" w:w="110"/>
              <w:bottom w:type="dxa" w:w="50"/>
              <w:right w:type="dxa" w:w="110"/>
            </w:tcMar>
          </w:tcPr>
          <w:p>
            <w:pPr>
              <w:spacing w:before="28" w:after="28"/>
            </w:pPr>
            <w:r>
              <w:rPr>
                <w:sz w:val="15"/>
                <w:szCs w:val="15"/>
              </w:rPr>
              <w:t xml:space="preserve">Oil and dispenser: at delivery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Maintenance: over 24 months (over time).</w:t>
            </w:r>
          </w:p>
        </w:tc>
        <w:tc>
          <w:tcPr>
            <w:tcW w:type="pct" w:w="758"/>
            <w:tcMar>
              <w:top w:type="dxa" w:w="50"/>
              <w:left w:type="dxa" w:w="110"/>
              <w:bottom w:type="dxa" w:w="50"/>
              <w:right w:type="dxa" w:w="110"/>
            </w:tcMar>
          </w:tcPr>
          <w:p>
            <w:pPr>
              <w:spacing w:before="28" w:after="28"/>
            </w:pPr>
            <w:r>
              <w:rPr>
                <w:sz w:val="15"/>
                <w:szCs w:val="15"/>
              </w:rPr>
              <w:t xml:space="preserve">2026: 515,250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point in time   ·   Three obligations   ·   maintenance   ·   standalone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Probable is not 50%</w:t>
            </w:r>
          </w:p>
        </w:tc>
      </w:tr>
    </w:tbl>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In U.S. GAAP, probable means likely to occur: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about 75% or more. </w:t>
      </w:r>
      <w:r>
        <w:rPr>
          <w:sz w:val="19"/>
          <w:szCs w:val="19"/>
        </w:rPr>
        <w:t xml:space="preserve">IFRS 15 uses probable to mean more likely than not. </w:t>
      </w:r>
      <w:r>
        <w:rPr>
          <w:sz w:val="19"/>
          <w:szCs w:val="19"/>
        </w:rPr>
        <w:t xml:space="preserve">A question that says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only a little more likely than not fails the U.S.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promises   ·   contract   ·   practice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التزام الأداء   ·   over time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Steps 1 and 2: the contract and its performance obligations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Three 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consideration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criteria</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meaning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transfer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identifiable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 If these criteria are not met, cash received from the customer is a liability, not revenue. In U.S. GAAP, probable means likely: a higher level than the IFRS meaning of more likely than not. Step 2: identify the performance obligations. Each promise to transfer a distinct good or service is a separate obligation. A good or service is distinct if the customer can benefit from it on its own and it is separately identifiable in the contract, not highly dependent on other promises. GreenBasket buys olive oil, a beverage dispenser installed in its stores, and two years of dispenser maintenance. Each can be bought separately, so there are three performance obligations.</w:t>
      </w:r>
    </w:p>
    <w:p>
      <w:pPr>
        <w:spacing w:before="20" w:after="20"/>
        <w:ind w:left="240" w:hanging="240"/>
      </w:pPr>
      <w:r>
        <w:rPr>
          <w:b/>
          <w:bCs/>
          <w:color w:val="353A7C"/>
          <w:sz w:val="15"/>
          <w:szCs w:val="15"/>
        </w:rPr>
        <w:t xml:space="preserve">Summary 2   </w:t>
      </w:r>
      <w:r>
        <w:rPr>
          <w:color w:val="6B7280"/>
          <w:sz w:val="15"/>
          <w:szCs w:val="15"/>
        </w:rPr>
        <w:t xml:space="preserve">In U.S. GAAP, probable means likely to occur: in practice, about 75% or more. IFRS 15 uses probable to mean more likely than not. A question that says collection is only a little more likely than not fails the U.S. contract test.</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Steps 3 and 4: the transaction price and its allocation</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3: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transaction price, the amount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receive.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variable consideration, such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bonuses. </w:t>
      </w:r>
      <w:r>
        <w:rPr>
          <w:sz w:val="19"/>
          <w:szCs w:val="19"/>
        </w:rPr>
        <w:t xml:space="preserve">The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using the expected value, for many possible outcomes, or the most likely amount, for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outcome. </w:t>
      </w:r>
      <w:r>
        <w:rPr>
          <w:sz w:val="19"/>
          <w:szCs w:val="19"/>
        </w:rPr>
        <w:t xml:space="preserve">Variable amounts are included only to the extent that a significant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revenue is 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later. </w:t>
      </w:r>
      <w:r>
        <w:rPr>
          <w:sz w:val="19"/>
          <w:szCs w:val="19"/>
        </w:rPr>
        <w:t xml:space="preserve">This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variable consideration. </w:t>
      </w:r>
      <w:r>
        <w:rPr>
          <w:sz w:val="19"/>
          <w:szCs w:val="19"/>
        </w:rPr>
        <w:t xml:space="preserve">Three other items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transaction price. </w:t>
      </w:r>
      <w:r>
        <w:rPr>
          <w:sz w:val="19"/>
          <w:szCs w:val="19"/>
        </w:rPr>
        <w:t xml:space="preserve">A significant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component is removed when payment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far apart; if they are within one year, the company may ignore it. </w:t>
      </w:r>
      <w:r>
        <w:rPr>
          <w:sz w:val="19"/>
          <w:szCs w:val="19"/>
        </w:rPr>
        <w:t xml:space="preserve">Consideration payable to a customer, such as a slotting fee paid to a supermarket for shelf space, reduces revenue. </w:t>
      </w:r>
      <w:r>
        <w:rPr>
          <w:sz w:val="19"/>
          <w:szCs w:val="19"/>
        </w:rPr>
        <w:t xml:space="preserve">Sales taxes and VAT collected may be excluded from revenue by policy. </w:t>
      </w:r>
      <w:r>
        <w:rPr>
          <w:sz w:val="19"/>
          <w:szCs w:val="19"/>
        </w:rPr>
        <w:t xml:space="preserve">Step 4: allocate the transaction price to the performance obligations in proportion to their standalone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expects   ·   constraint   ·   all-or-nothing   ·   determine   ·   delivery   ·   probable   ·   includes   ·   estimates   ·   financing   ·   rebates   ·   change   ·   reversal</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When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price is not available, the company estimates it, for example from market prices or expected cost plus a margin. </w:t>
      </w:r>
      <w:r>
        <w:rPr>
          <w:sz w:val="19"/>
          <w:szCs w:val="19"/>
        </w:rPr>
        <w:t xml:space="preserve">The residual approach is allowed only when a price is highly variable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discount is normally shared by all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Each obligation therefore receives 90% of its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   standalone   ·   observable   ·   obligations   ·   expects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Price and allocation traps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Revenue for each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its allocated price, not its standalone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price. </w:t>
      </w:r>
      <w:r>
        <w:rPr>
          <w:sz w:val="19"/>
          <w:szCs w:val="19"/>
        </w:rPr>
        <w:t xml:space="preserve">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fee paid to a customer reduces revenue; it is not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expense unless Orontes receives a distinct service. </w:t>
      </w:r>
      <w:r>
        <w:rPr>
          <w:sz w:val="19"/>
          <w:szCs w:val="19"/>
        </w:rPr>
        <w:t xml:space="preserve">Do not use the residual approach when standalone prices can be 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slotting   ·   outcome   ·   obligation   ·   selling   ·   marketing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521"/>
        <w:gridCol w:w="4224"/>
        <w:gridCol w:w="18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Variable consideration: most likely amount or expected value</w:t>
            </w:r>
          </w:p>
        </w:tc>
      </w:tr>
      <w:tr>
        <w:tc>
          <w:tcPr>
            <w:tcW w:type="pct" w:w="1834"/>
            <w:shd w:fill="353A7C" w:val="clear"/>
            <w:tcMar>
              <w:top w:type="dxa" w:w="50"/>
              <w:left w:type="dxa" w:w="110"/>
              <w:bottom w:type="dxa" w:w="50"/>
              <w:right w:type="dxa" w:w="110"/>
            </w:tcMar>
          </w:tcPr>
          <w:p>
            <w:pPr>
              <w:spacing w:before="30" w:after="30"/>
            </w:pPr>
            <w:r>
              <w:rPr>
                <w:b/>
                <w:bCs/>
                <w:color w:val="FFFFFF"/>
                <w:sz w:val="15"/>
                <w:szCs w:val="15"/>
              </w:rPr>
              <w:t xml:space="preserve">Suppose: sales of 2,400,000 with a 3% volume reb</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966"/>
            <w:shd w:fill="353A7C" w:val="clear"/>
            <w:tcMar>
              <w:top w:type="dxa" w:w="50"/>
              <w:left w:type="dxa" w:w="110"/>
              <w:bottom w:type="dxa" w:w="50"/>
              <w:right w:type="dxa" w:w="110"/>
            </w:tcMar>
          </w:tcPr>
          <w:p>
            <w:pPr>
              <w:spacing w:before="30" w:after="30"/>
            </w:pPr>
            <w:r>
              <w:rPr>
                <w:b/>
                <w:bCs/>
                <w:color w:val="FFFFFF"/>
                <w:sz w:val="15"/>
                <w:szCs w:val="15"/>
              </w:rPr>
              <w:t xml:space="preserve">Revenue (whole USD)</w:t>
            </w:r>
          </w:p>
        </w:tc>
      </w:tr>
      <w:tr>
        <w:tc>
          <w:tcPr>
            <w:tcW w:type="pct" w:w="1834"/>
            <w:tcMar>
              <w:top w:type="dxa" w:w="50"/>
              <w:left w:type="dxa" w:w="110"/>
              <w:bottom w:type="dxa" w:w="50"/>
              <w:right w:type="dxa" w:w="110"/>
            </w:tcMar>
          </w:tcPr>
          <w:p>
            <w:pPr>
              <w:spacing w:before="28" w:after="28"/>
            </w:pPr>
            <w:r>
              <w:rPr>
                <w:sz w:val="15"/>
                <w:szCs w:val="15"/>
              </w:rPr>
              <w:t xml:space="preserve">Most likely amount</w:t>
            </w:r>
          </w:p>
        </w:tc>
        <w:tc>
          <w:tcPr>
            <w:tcW w:type="pct" w:w="2200"/>
            <w:tcMar>
              <w:top w:type="dxa" w:w="50"/>
              <w:left w:type="dxa" w:w="110"/>
              <w:bottom w:type="dxa" w:w="50"/>
              <w:right w:type="dxa" w:w="110"/>
            </w:tcMar>
          </w:tcPr>
          <w:p>
            <w:pPr>
              <w:spacing w:before="28" w:after="28"/>
            </w:pPr>
            <w:r>
              <w:rPr>
                <w:sz w:val="15"/>
                <w:szCs w:val="15"/>
              </w:rPr>
              <w:t xml:space="preserve">The rebate is all or nothing, so use the single most likely outcome: the rebate is earned (70% likely).</w:t>
            </w:r>
          </w:p>
        </w:tc>
        <w:tc>
          <w:tcPr>
            <w:tcW w:type="pct" w:w="966"/>
            <w:tcMar>
              <w:top w:type="dxa" w:w="50"/>
              <w:left w:type="dxa" w:w="110"/>
              <w:bottom w:type="dxa" w:w="50"/>
              <w:right w:type="dxa" w:w="110"/>
            </w:tcMar>
          </w:tcPr>
          <w:p>
            <w:pPr>
              <w:spacing w:before="28" w:after="28"/>
            </w:pPr>
            <w:r>
              <w:rPr>
                <w:sz w:val="15"/>
                <w:szCs w:val="15"/>
              </w:rPr>
              <w:t xml:space="preserve">2,328,000</w:t>
            </w:r>
          </w:p>
        </w:tc>
      </w:tr>
      <w:tr>
        <w:tc>
          <w:tcPr>
            <w:tcW w:type="pct" w:w="1834"/>
            <w:shd w:fill="FBFAF6" w:val="clear"/>
            <w:tcMar>
              <w:top w:type="dxa" w:w="50"/>
              <w:left w:type="dxa" w:w="110"/>
              <w:bottom w:type="dxa" w:w="50"/>
              <w:right w:type="dxa" w:w="110"/>
            </w:tcMar>
          </w:tcPr>
          <w:p>
            <w:pPr>
              <w:spacing w:before="28" w:after="28"/>
            </w:pPr>
            <w:r>
              <w:rPr>
                <w:sz w:val="15"/>
                <w:szCs w:val="15"/>
              </w:rPr>
              <w:t xml:space="preserve">Expected value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70% × 72,000 = 50,400 rebate. Best when there are many possible outcomes.</w:t>
            </w:r>
          </w:p>
        </w:tc>
        <w:tc>
          <w:tcPr>
            <w:tcW w:type="pct" w:w="966"/>
            <w:shd w:fill="FBFAF6" w:val="clear"/>
            <w:tcMar>
              <w:top w:type="dxa" w:w="50"/>
              <w:left w:type="dxa" w:w="110"/>
              <w:bottom w:type="dxa" w:w="50"/>
              <w:right w:type="dxa" w:w="110"/>
            </w:tcMar>
          </w:tcPr>
          <w:p>
            <w:pPr>
              <w:spacing w:before="28" w:after="28"/>
            </w:pPr>
            <w:r>
              <w:rPr>
                <w:sz w:val="15"/>
                <w:szCs w:val="15"/>
              </w:rPr>
              <w:t xml:space="preserve">2,349,600</w:t>
            </w:r>
          </w:p>
        </w:tc>
      </w:tr>
      <w:tr>
        <w:tc>
          <w:tcPr>
            <w:tcW w:type="pct" w:w="1834"/>
            <w:tcMar>
              <w:top w:type="dxa" w:w="50"/>
              <w:left w:type="dxa" w:w="110"/>
              <w:bottom w:type="dxa" w:w="50"/>
              <w:right w:type="dxa" w:w="110"/>
            </w:tcMar>
          </w:tcPr>
          <w:p>
            <w:pPr>
              <w:spacing w:before="28" w:after="28"/>
            </w:pPr>
            <w:r>
              <w:rPr>
                <w:sz w:val="15"/>
                <w:szCs w:val="15"/>
              </w:rPr>
              <w:t xml:space="preserve">Constraint</w:t>
            </w:r>
          </w:p>
        </w:tc>
        <w:tc>
          <w:tcPr>
            <w:tcW w:type="pct" w:w="2200"/>
            <w:tcMar>
              <w:top w:type="dxa" w:w="50"/>
              <w:left w:type="dxa" w:w="110"/>
              <w:bottom w:type="dxa" w:w="50"/>
              <w:right w:type="dxa" w:w="110"/>
            </w:tcMar>
          </w:tcPr>
          <w:p>
            <w:pPr>
              <w:spacing w:before="28" w:after="28"/>
            </w:pPr>
            <w:r>
              <w:rPr>
                <w:sz w:val="15"/>
                <w:szCs w:val="15"/>
              </w:rPr>
              <w:t xml:space="preserve">Include variable amounts only if a significant reversal of revenue is not probable later.</w:t>
            </w:r>
          </w:p>
        </w:tc>
        <w:tc>
          <w:tcPr>
            <w:tcW w:type="pct" w:w="966"/>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Probability-weighted   ·   Applies to both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price   ·   variable consideration   ·   standalone selling price   ·   سعر المعاملة</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transaction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Steps 3 and 4: the transaction price and its allocation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determine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uncertain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all-or-nothing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slotting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reversal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Probability-weighted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constraint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Applies to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transaction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standalone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observable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 Variable amounts are included only to the extent that a significant reversal of revenue is not probable later. This is the constraint on variable consideration.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 Sales taxes and VAT collected may be excluded from revenue by policy. Step 4: allocate the transaction price to the performance obligations in proportion to their standalone selling prices.</w:t>
      </w:r>
    </w:p>
    <w:p>
      <w:pPr>
        <w:spacing w:before="20" w:after="20"/>
        <w:ind w:left="240" w:hanging="240"/>
      </w:pPr>
      <w:r>
        <w:rPr>
          <w:b/>
          <w:bCs/>
          <w:color w:val="353A7C"/>
          <w:sz w:val="15"/>
          <w:szCs w:val="15"/>
        </w:rPr>
        <w:t xml:space="preserve">Summary 2   </w:t>
      </w:r>
      <w:r>
        <w:rPr>
          <w:color w:val="6B7280"/>
          <w:sz w:val="15"/>
          <w:szCs w:val="15"/>
        </w:rPr>
        <w:t xml:space="preserve">When an observable price is not available, the company estimates it, for example from market prices or expected cost plus a margin. The residual approach is allowed only when a price is highly variable or uncertain. A discount is normally shared by all obligations. Each obligation therefore receives 90% of its standalone price.</w:t>
      </w:r>
    </w:p>
    <w:p>
      <w:pPr>
        <w:spacing w:before="20" w:after="20"/>
        <w:ind w:left="240" w:hanging="240"/>
      </w:pPr>
      <w:r>
        <w:rPr>
          <w:b/>
          <w:bCs/>
          <w:color w:val="353A7C"/>
          <w:sz w:val="15"/>
          <w:szCs w:val="15"/>
        </w:rPr>
        <w:t xml:space="preserve">Summary 3   </w:t>
      </w:r>
      <w:r>
        <w:rPr>
          <w:color w:val="6B7280"/>
          <w:sz w:val="15"/>
          <w:szCs w:val="15"/>
        </w:rPr>
        <w:t xml:space="preserve">Revenue for each obligation is its allocated price, not its standalone selling price. A slotting fee paid to a customer reduces revenue; it is not a marketing expense unless Orontes receives a distinct service. Do not use the residual approach when standalone prices can be observed.</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Step 5: recognizing revenue over time or at a point in time</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Step 5: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revenue when, or as, each obligation is satisfied. </w:t>
      </w:r>
      <w:r>
        <w:rPr>
          <w:sz w:val="19"/>
          <w:szCs w:val="19"/>
        </w:rPr>
        <w:t xml:space="preserve">An obligation is satisfied over time if the customer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benefit as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if the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asset the customer controls, or if the asset has no other use and the company has a right to payment for work done so far.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time is measured by an output method, such as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or an input method, such as costs incurred. </w:t>
      </w:r>
      <w:r>
        <w:rPr>
          <w:sz w:val="19"/>
          <w:szCs w:val="19"/>
        </w:rPr>
        <w:t xml:space="preserve">If no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criterion is met, revenue is recognized at a point in time: when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passes.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benefit   ·   control   ·   delivered   ·   over-time   ·   Progress   ·   receives   ·   improves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GreenBasket revenue for 2026</w:t>
            </w:r>
          </w:p>
        </w:tc>
      </w:tr>
    </w:tbl>
    <w:p/>
    <w:p>
      <w:pPr>
        <w:spacing w:before="44" w:after="14"/>
      </w:pPr>
      <w:r>
        <w:rPr>
          <w:b/>
          <w:bCs/>
          <w:color w:val="353A7C"/>
          <w:sz w:val="18"/>
          <w:szCs w:val="18"/>
        </w:rPr>
        <w:t xml:space="preserve">Summary 2</w:t>
      </w:r>
      <w:r>
        <w:rPr>
          <w:color w:val="6B7280"/>
          <w:sz w:val="16"/>
          <w:szCs w:val="16"/>
        </w:rPr>
        <w:t xml:space="preserve">      gaps 9–13</w:t>
      </w:r>
    </w:p>
    <w:p>
      <w:pPr>
        <w:spacing w:before="20" w:after="20" w:line="360" w:lineRule="auto"/>
        <w:ind w:left="200"/>
      </w:pPr>
      <w:r>
        <w:rPr>
          <w:sz w:val="19"/>
          <w:szCs w:val="19"/>
        </w:rPr>
        <w:t xml:space="preserve">Olive oil is recognized at 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By December 31, Orontes has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8,000 cases at $40 each of allocated price: $324,000. </w:t>
      </w:r>
      <w:r>
        <w:rPr>
          <w:sz w:val="19"/>
          <w:szCs w:val="19"/>
        </w:rPr>
        <w:t xml:space="preserve">The dispenser was installed on October 1, when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gained control: $180,000.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over time: 3 months of 24 at $3,750 per month, $11,250. </w:t>
      </w:r>
      <w:r>
        <w:rPr>
          <w:sz w:val="19"/>
          <w:szCs w:val="19"/>
        </w:rPr>
        <w:t xml:space="preserve">Total 2026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$515,250. </w:t>
      </w:r>
      <w:r>
        <w:rPr>
          <w:sz w:val="19"/>
          <w:szCs w:val="19"/>
        </w:rPr>
        <w:t xml:space="preserve">The remaining $564,750 will be recognized in later periods.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performs   ·   delivery   ·   delivered   ·   revenue   ·   GreenBasket</w:t>
            </w:r>
          </w:p>
        </w:tc>
      </w:tr>
    </w:tbl>
    <w:p/>
    <w:p>
      <w:pPr>
        <w:spacing w:before="44" w:after="10"/>
      </w:pPr>
      <w:r>
        <w:rPr>
          <w:b/>
          <w:bCs/>
          <w:color w:val="353A7C"/>
          <w:sz w:val="18"/>
          <w:szCs w:val="18"/>
        </w:rPr>
        <w:t xml:space="preserve">Suppose: GreenBasket revenue schedule for 2026</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breakage   ·   Maintenance</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Payments rarely match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 contract asset arises when the company has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but its right to payment still depends on something other than time. </w:t>
      </w:r>
      <w:r>
        <w:rPr>
          <w:sz w:val="19"/>
          <w:szCs w:val="19"/>
        </w:rPr>
        <w:t xml:space="preserve">A contract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arises when the customer pays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revenue   ·   depends   ·   performed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obligation   ·   contract asset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 time</w:t>
            </w:r>
          </w:p>
        </w:tc>
        <w:tc>
          <w:tcPr>
            <w:tcW w:type="pct" w:w="26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400"/>
            <w:tcMar>
              <w:top w:type="dxa" w:w="50"/>
              <w:left w:type="dxa" w:w="110"/>
              <w:bottom w:type="dxa" w:w="50"/>
              <w:right w:type="dxa" w:w="110"/>
            </w:tcMar>
          </w:tcPr>
          <w:p>
            <w:pPr>
              <w:spacing w:before="26" w:after="26"/>
            </w:pPr>
            <w:r>
              <w:rPr>
                <w:color w:val="232733"/>
                <w:sz w:val="16"/>
                <w:szCs w:val="16"/>
              </w:rPr>
              <w:t xml:space="preserve">output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input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Step 5: recognizing revenue over time or at a point in time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performed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over-time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 Progress over time is measured by an output method, such as units delivered, or an input method, such as costs incurred. If no over-time criterion is met, revenue is recognized at a point in time: when control passes.</w:t>
      </w:r>
    </w:p>
    <w:p>
      <w:pPr>
        <w:spacing w:before="20" w:after="20"/>
        <w:ind w:left="240" w:hanging="240"/>
      </w:pPr>
      <w:r>
        <w:rPr>
          <w:b/>
          <w:bCs/>
          <w:color w:val="353A7C"/>
          <w:sz w:val="15"/>
          <w:szCs w:val="15"/>
        </w:rPr>
        <w:t xml:space="preserve">Summary 2   </w:t>
      </w:r>
      <w:r>
        <w:rPr>
          <w:color w:val="6B7280"/>
          <w:sz w:val="15"/>
          <w:szCs w:val="15"/>
        </w:rPr>
        <w:t xml:space="preserve">Olive oil is recognized at each delivery. By December 31, Orontes has delivered 8,000 cases at $40 each of allocated price: $324,000. The dispenser was installed on October 1, when GreenBasket gained control: $180,000. Maintenance is over time: 3 months of 24 at $3,750 per month, $11,250. Total 2026 revenue is $515,250. The remaining $564,750 will be recognized in later periods.</w:t>
      </w:r>
    </w:p>
    <w:p>
      <w:pPr>
        <w:spacing w:before="20" w:after="20"/>
        <w:ind w:left="240" w:hanging="240"/>
      </w:pPr>
      <w:r>
        <w:rPr>
          <w:b/>
          <w:bCs/>
          <w:color w:val="353A7C"/>
          <w:sz w:val="15"/>
          <w:szCs w:val="15"/>
        </w:rPr>
        <w:t xml:space="preserve">Summary 3   </w:t>
      </w:r>
      <w:r>
        <w:rPr>
          <w:color w:val="6B7280"/>
          <w:sz w:val="15"/>
          <w:szCs w:val="15"/>
        </w:rPr>
        <w:t xml:space="preserve">Payments rarely match revenue. A contract asset arises when the company has performed but its right to payment still depends on something other than time. A contract liability arises when the customer pays first.</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Special situations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another party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must decide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 principal or an agent. </w:t>
      </w:r>
      <w:r>
        <w:rPr>
          <w:sz w:val="19"/>
          <w:szCs w:val="19"/>
        </w:rPr>
        <w:t xml:space="preserve">A principal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 or service before 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reports revenue gross. </w:t>
      </w:r>
      <w:r>
        <w:rPr>
          <w:sz w:val="19"/>
          <w:szCs w:val="19"/>
        </w:rPr>
        <w:t xml:space="preserve">An agent only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sale and reports its fee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revenue. </w:t>
      </w:r>
      <w:r>
        <w:rPr>
          <w:sz w:val="19"/>
          <w:szCs w:val="19"/>
        </w:rPr>
        <w:t xml:space="preserve">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return goods,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only for goods it does not expect to be returned. </w:t>
      </w:r>
      <w:r>
        <w:rPr>
          <w:sz w:val="19"/>
          <w:szCs w:val="19"/>
        </w:rPr>
        <w:t xml:space="preserve">It records a refund liability for expected refunds and a separate asset for its right to recover the returned goods. </w:t>
      </w:r>
      <w:r>
        <w:rPr>
          <w:sz w:val="19"/>
          <w:szCs w:val="19"/>
        </w:rPr>
        <w:t xml:space="preserve">The asset and the liability are not netted.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recognizes   ·   arranges   ·   controls   ·   whether   ·   transferred   ·   commission   ·   liability   ·   involved   ·   customers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sale with a right of return</w:t>
            </w:r>
          </w:p>
        </w:tc>
      </w:tr>
    </w:tbl>
    <w:p/>
    <w:p>
      <w:pPr>
        <w:spacing w:before="44" w:after="14"/>
      </w:pPr>
      <w:r>
        <w:rPr>
          <w:b/>
          <w:bCs/>
          <w:color w:val="353A7C"/>
          <w:sz w:val="18"/>
          <w:szCs w:val="18"/>
        </w:rPr>
        <w:t xml:space="preserve">Summary 2</w:t>
      </w:r>
      <w:r>
        <w:rPr>
          <w:color w:val="6B7280"/>
          <w:sz w:val="16"/>
          <w:szCs w:val="16"/>
        </w:rPr>
        <w:t xml:space="preserve">      gaps 9–18</w:t>
      </w:r>
    </w:p>
    <w:p>
      <w:pPr>
        <w:spacing w:before="20" w:after="20" w:line="360" w:lineRule="auto"/>
        <w:ind w:left="200"/>
      </w:pPr>
      <w:r>
        <w:rPr>
          <w:sz w:val="19"/>
          <w:szCs w:val="19"/>
        </w:rPr>
        <w:t xml:space="preserve">Complete the four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also the test in other cases. </w:t>
      </w:r>
      <w:r>
        <w:rPr>
          <w:sz w:val="19"/>
          <w:szCs w:val="19"/>
        </w:rPr>
        <w:t xml:space="preserve">Goods sent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not sold until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sells them. </w:t>
      </w:r>
      <w:r>
        <w:rPr>
          <w:sz w:val="19"/>
          <w:szCs w:val="19"/>
        </w:rPr>
        <w:t xml:space="preserve">In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arrangement,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recognized only if the goods are identified, ready and cannot be used for other customers, and the customer asked for the arrangement. </w:t>
      </w: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buy the goods back usually means no sale has taken place. </w:t>
      </w:r>
      <w:r>
        <w:rPr>
          <w:sz w:val="19"/>
          <w:szCs w:val="19"/>
        </w:rPr>
        <w:t xml:space="preserve">Customer options can create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right, such as loyalty points, which is a separate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For gift cards, the company recognizes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part customers are not expected to use, in proportion to the cards that are used. </w:t>
      </w:r>
      <w:r>
        <w:rPr>
          <w:sz w:val="19"/>
          <w:szCs w:val="19"/>
        </w:rPr>
        <w:t xml:space="preserve">Nonrefundable upfront fees are usually deferred.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bill-and-hold   ·   consignee   ·   consignment   ·   blanks   ·   obligation   ·   records   ·   Control   ·   material   ·   breakage   ·   promise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Special-situation traps</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An agent's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its commission, not the full price the customer pays. </w:t>
      </w:r>
      <w:r>
        <w:rPr>
          <w:sz w:val="19"/>
          <w:szCs w:val="19"/>
        </w:rPr>
        <w:t xml:space="preserve">Present the refund liability and the return asset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Goods on consignment stay in the consignor's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promise   ·   revenue</w:t>
            </w:r>
          </w:p>
        </w:tc>
      </w:tr>
    </w:tbl>
    <w:p/>
    <w:p>
      <w:pPr>
        <w:pageBreakBefore w:val="true"/>
        <w:spacing w:after="0"/>
      </w:pPr>
      <w:r>
        <w:rPr>
          <w:sz w:val="2"/>
        </w:rPr>
        <w:t xml:space="preserve"> </w:t>
      </w:r>
    </w:p>
    <w:p>
      <w:pPr>
        <w:spacing w:before="44" w:after="10"/>
      </w:pPr>
      <w:r>
        <w:rPr>
          <w:b/>
          <w:bCs/>
          <w:color w:val="353A7C"/>
          <w:sz w:val="18"/>
          <w:szCs w:val="18"/>
        </w:rPr>
        <w:t xml:space="preserve">Suppose: Barada's sale with a right of return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bill-and-hold arrangement   ·   Cost of goods sold   ·   Refund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الأصيل   ·   breakage   ·   agent   ·   principal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principal</w:t>
            </w:r>
          </w:p>
        </w:tc>
        <w:tc>
          <w:tcPr>
            <w:tcW w:type="pct" w:w="2600"/>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الاسترداد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r>
        <w:tc>
          <w:tcPr>
            <w:tcW w:type="pct" w:w="2400"/>
            <w:tcMar>
              <w:top w:type="dxa" w:w="50"/>
              <w:left w:type="dxa" w:w="110"/>
              <w:bottom w:type="dxa" w:w="50"/>
              <w:right w:type="dxa" w:w="110"/>
            </w:tcMar>
          </w:tcPr>
          <w:p>
            <w:pPr>
              <w:spacing w:before="26" w:after="26"/>
            </w:pPr>
            <w:r>
              <w:rPr>
                <w:color w:val="232733"/>
                <w:sz w:val="16"/>
                <w:szCs w:val="16"/>
              </w:rPr>
              <w:t xml:space="preserve">material right</w:t>
            </w:r>
          </w:p>
        </w:tc>
        <w:tc>
          <w:tcPr>
            <w:tcW w:type="pct" w:w="2600"/>
            <w:tcMar>
              <w:top w:type="dxa" w:w="50"/>
              <w:left w:type="dxa" w:w="110"/>
              <w:bottom w:type="dxa" w:w="50"/>
              <w:right w:type="dxa" w:w="110"/>
            </w:tcMar>
          </w:tcPr>
          <w:p>
            <w:pPr>
              <w:spacing w:before="26" w:after="26"/>
            </w:pPr>
            <w:r>
              <w:rPr>
                <w:color w:val="232733"/>
                <w:sz w:val="16"/>
                <w:szCs w:val="16"/>
              </w:rPr>
              <w:t xml:space="preserve">حق جوهري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Special situations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involved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transferred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arranges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commission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Refund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blanks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principal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consignment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bill-and-hold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another party is involved, the company must decide whether it is a principal or an agent. A principal controls the good or service before it is transferred and reports revenue gross. An agent only arranges the sale and reports its fee or commission as revenue. When customers may return goods, the company recognizes revenue only for goods it does not expect to be returned. It records a refund liability for expected refunds and a separate asset for its right to recover the returned goods. The asset and the liability are not netted.</w:t>
      </w:r>
    </w:p>
    <w:p>
      <w:pPr>
        <w:spacing w:before="20" w:after="20"/>
        <w:ind w:left="240" w:hanging="240"/>
      </w:pPr>
      <w:r>
        <w:rPr>
          <w:b/>
          <w:bCs/>
          <w:color w:val="353A7C"/>
          <w:sz w:val="15"/>
          <w:szCs w:val="15"/>
        </w:rPr>
        <w:t xml:space="preserve">Summary 2   </w:t>
      </w:r>
      <w:r>
        <w:rPr>
          <w:color w:val="6B7280"/>
          <w:sz w:val="15"/>
          <w:szCs w:val="15"/>
        </w:rPr>
        <w:t xml:space="preserve">Complete the four blanks. Control is also the test in other cases. Goods sent on consignment are not sold until the consignee sells them.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 For gift cards, the company recognizes breakage, the part customers are not expected to use, in proportion to the cards that are used. Nonrefundable upfront fees are usually deferred.</w:t>
      </w:r>
    </w:p>
    <w:p>
      <w:pPr>
        <w:spacing w:before="20" w:after="20"/>
        <w:ind w:left="240" w:hanging="240"/>
      </w:pPr>
      <w:r>
        <w:rPr>
          <w:b/>
          <w:bCs/>
          <w:color w:val="353A7C"/>
          <w:sz w:val="15"/>
          <w:szCs w:val="15"/>
        </w:rPr>
        <w:t xml:space="preserve">Summary 3   </w:t>
      </w:r>
      <w:r>
        <w:rPr>
          <w:color w:val="6B7280"/>
          <w:sz w:val="15"/>
          <w:szCs w:val="15"/>
        </w:rPr>
        <w:t xml:space="preserve">An agent's revenue is its commission, not the full price the customer pays. Present the refund liability and the return asset separately. Goods on consignment stay in the consignor's inventory.</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Matching, contract costs and IFRS differences</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matching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says that expenses are recognized in the same period as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help to earn. </w:t>
      </w:r>
      <w:r>
        <w:rPr>
          <w:sz w:val="19"/>
          <w:szCs w:val="19"/>
        </w:rPr>
        <w:t xml:space="preserve">Cost of goods sold is recognized when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 is recognized. </w:t>
      </w:r>
      <w:r>
        <w:rPr>
          <w:sz w:val="19"/>
          <w:szCs w:val="19"/>
        </w:rPr>
        <w:t xml:space="preserve">Costs with no future benefit, such as most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expensed at once, and long-lived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the periods they serve. </w:t>
      </w:r>
      <w:r>
        <w:rPr>
          <w:sz w:val="19"/>
          <w:szCs w:val="19"/>
        </w:rPr>
        <w:t xml:space="preserve">Contract costs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same idea.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of obtaining a contract, such as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capitalized if the company expects to recover them. </w:t>
      </w:r>
      <w:r>
        <w:rPr>
          <w:sz w:val="19"/>
          <w:szCs w:val="19"/>
        </w:rPr>
        <w:t xml:space="preserve">Orontes pays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3% commission, $32,400,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contract.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this amount and expenses it as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goods and services. </w:t>
      </w:r>
      <w:r>
        <w:rPr>
          <w:sz w:val="19"/>
          <w:szCs w:val="19"/>
        </w:rPr>
        <w:t xml:space="preserve">If the amortization period is one year or less, the company may expense such costs immediately. </w:t>
      </w:r>
      <w:r>
        <w:rPr>
          <w:sz w:val="19"/>
          <w:szCs w:val="19"/>
        </w:rPr>
        <w:t xml:space="preserve">Costs to fulfill a contract are capitalized only if they relate directly to it and create a resource that will be used. </w:t>
      </w:r>
      <w:r>
        <w:rPr>
          <w:sz w:val="19"/>
          <w:szCs w:val="19"/>
        </w:rPr>
        <w:t xml:space="preserve">Under U.S. GAAP, an impairment of these assets is never reversed. </w:t>
      </w:r>
      <w:r>
        <w:rPr>
          <w:sz w:val="19"/>
          <w:szCs w:val="19"/>
        </w:rPr>
        <w:t xml:space="preserve">They matter for comparisons, but the five steps are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capitalizes   ·   related   ·   salesperson   ·   principle   ·   follow   ·   depreciated   ·   GreenBasket   ·   advertising   ·   transfers   ·   expense   ·   commissions   ·   revenues</w:t>
            </w:r>
          </w:p>
        </w:tc>
      </w:tr>
    </w:tbl>
    <w:p/>
    <w:p>
      <w:pPr>
        <w:spacing w:before="44" w:after="10"/>
      </w:pPr>
      <w:r>
        <w:rPr>
          <w:b/>
          <w:bCs/>
          <w:color w:val="353A7C"/>
          <w:sz w:val="18"/>
          <w:szCs w:val="18"/>
        </w:rPr>
        <w:t xml:space="preserve">ASC 606 and IFRS 15: the main differences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treat as a fulfillment cost   ·   Revenue when the renewal period begins   ·   Never reversed   ·   May elect to exclude all   ·   Onerous contracts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17–22</w:t>
      </w:r>
    </w:p>
    <w:p>
      <w:pPr>
        <w:spacing w:before="20" w:after="20" w:line="360" w:lineRule="auto"/>
        <w:ind w:left="200"/>
      </w:pPr>
      <w:r>
        <w:rPr>
          <w:sz w:val="19"/>
          <w:szCs w:val="19"/>
        </w:rPr>
        <w:t xml:space="preserve">ASU 2025-07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how to account for shares that a customer pays as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from 2027 and is not testable before about January 2028. </w:t>
      </w:r>
      <w:r>
        <w:rPr>
          <w:sz w:val="19"/>
          <w:szCs w:val="19"/>
        </w:rPr>
        <w:t xml:space="preserve">ASU 2025-05 adds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expedient for credit losses on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contract assets; it is not testable before about January 2027. </w:t>
      </w:r>
      <w:r>
        <w:rPr>
          <w:sz w:val="19"/>
          <w:szCs w:val="19"/>
        </w:rPr>
        <w:t xml:space="preserve">Under ASC 606 the correct term is contract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it can also arise when payment is due, not only when cash is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applies   ·   practical   ·   transfers   ·   consideration   ·   liability   ·   explains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Contract date</w:t>
            </w:r>
          </w:p>
        </w:tc>
        <w:tc>
          <w:tcPr>
            <w:tcW w:type="pct" w:w="2600"/>
            <w:tcMar>
              <w:top w:type="dxa" w:w="50"/>
              <w:left w:type="dxa" w:w="110"/>
              <w:bottom w:type="dxa" w:w="50"/>
              <w:right w:type="dxa" w:w="110"/>
            </w:tcMar>
          </w:tcPr>
          <w:p>
            <w:pPr>
              <w:spacing w:before="28" w:after="28"/>
            </w:pPr>
            <w:r>
              <w:rPr>
                <w:sz w:val="15"/>
                <w:szCs w:val="15"/>
              </w:rPr>
              <w:t xml:space="preserve">September 1, 2026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Fixed contract price</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8" w:after="28"/>
            </w:pPr>
            <w:r>
              <w:rPr>
                <w:sz w:val="15"/>
                <w:szCs w:val="15"/>
              </w:rPr>
              <w:t xml:space="preserve">540</w:t>
            </w:r>
          </w:p>
        </w:tc>
      </w:tr>
      <w:tr>
        <w:tc>
          <w:tcPr>
            <w:tcW w:type="pct" w:w="2400"/>
            <w:tcMar>
              <w:top w:type="dxa" w:w="50"/>
              <w:left w:type="dxa" w:w="110"/>
              <w:bottom w:type="dxa" w:w="50"/>
              <w:right w:type="dxa" w:w="110"/>
            </w:tcMar>
          </w:tcPr>
          <w:p>
            <w:pPr>
              <w:spacing w:before="28" w:after="28"/>
            </w:pPr>
            <w:r>
              <w:rPr>
                <w:sz w:val="15"/>
                <w:szCs w:val="15"/>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8" w:after="28"/>
            </w:pPr>
            <w:r>
              <w:rPr>
                <w:sz w:val="15"/>
                <w:szCs w:val="15"/>
              </w:rPr>
              <w:t xml:space="preserve">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M1</w:t>
            </w:r>
          </w:p>
        </w:tc>
        <w:tc>
          <w:tcPr>
            <w:tcW w:type="pct" w:w="2600"/>
            <w:shd w:fill="FBFAF6" w:val="clear"/>
            <w:tcMar>
              <w:top w:type="dxa" w:w="50"/>
              <w:left w:type="dxa" w:w="110"/>
              <w:bottom w:type="dxa" w:w="50"/>
              <w:right w:type="dxa" w:w="110"/>
            </w:tcMar>
          </w:tcPr>
          <w:p>
            <w:pPr>
              <w:spacing w:before="28" w:after="28"/>
            </w:pPr>
            <w:r>
              <w:rPr>
                <w:sz w:val="15"/>
                <w:szCs w:val="15"/>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8" w:after="28"/>
            </w:pPr>
            <w:r>
              <w:rPr>
                <w:sz w:val="15"/>
                <w:szCs w:val="15"/>
              </w:rPr>
              <w:t xml:space="preserve">M2</w:t>
            </w:r>
          </w:p>
        </w:tc>
        <w:tc>
          <w:tcPr>
            <w:tcW w:type="pct" w:w="2600"/>
            <w:tcMar>
              <w:top w:type="dxa" w:w="50"/>
              <w:left w:type="dxa" w:w="110"/>
              <w:bottom w:type="dxa" w:w="50"/>
              <w:right w:type="dxa" w:w="110"/>
            </w:tcMar>
          </w:tcPr>
          <w:p>
            <w:pPr>
              <w:spacing w:before="28" w:after="28"/>
            </w:pPr>
            <w:r>
              <w:rPr>
                <w:sz w:val="15"/>
                <w:szCs w:val="15"/>
              </w:rPr>
              <w:t xml:space="preserve">Orontes pays Qasr 10 to list Orontes juices on hotel menus. Orontes </w:t>
            </w:r>
            <w:r>
              <w:rPr>
                <w:b/>
                <w:bCs/>
                <w:color w:val="8186EF"/>
                <w:sz w:val="14"/>
                <w:szCs w:val="14"/>
              </w:rPr>
              <w:t xml:space="preserve"> (24) </w:t>
            </w:r>
            <w:r>
              <w:rPr>
                <w:u w:val="single"/>
                <w:sz w:val="15"/>
                <w:szCs w:val="15"/>
              </w:rPr>
              <w:t xml:space="preserve">              </w:t>
            </w:r>
            <w:r>
              <w:rPr>
                <w:sz w:val="15"/>
                <w:szCs w:val="15"/>
              </w:rPr>
              <w:t xml:space="preserve"> </w:t>
            </w:r>
            <w:r>
              <w:rPr>
                <w:sz w:val="15"/>
                <w:szCs w:val="15"/>
              </w:rPr>
              <w:t xml:space="preserve"> no distinct service.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M3</w:t>
            </w:r>
          </w:p>
        </w:tc>
        <w:tc>
          <w:tcPr>
            <w:tcW w:type="pct" w:w="2600"/>
            <w:shd w:fill="FBFAF6" w:val="clear"/>
            <w:tcMar>
              <w:top w:type="dxa" w:w="50"/>
              <w:left w:type="dxa" w:w="110"/>
              <w:bottom w:type="dxa" w:w="50"/>
              <w:right w:type="dxa" w:w="110"/>
            </w:tcMar>
          </w:tcPr>
          <w:p>
            <w:pPr>
              <w:spacing w:before="28" w:after="28"/>
            </w:pPr>
            <w:r>
              <w:rPr>
                <w:sz w:val="15"/>
                <w:szCs w:val="15"/>
              </w:rPr>
              <w:t xml:space="preserve">Orontes delivers by its own trucks; control passes when the juices arrive. Orontes treats shipping as a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cost.</w:t>
            </w:r>
          </w:p>
        </w:tc>
      </w:tr>
      <w:tr>
        <w:tc>
          <w:tcPr>
            <w:tcW w:type="pct" w:w="2400"/>
            <w:tcMar>
              <w:top w:type="dxa" w:w="50"/>
              <w:left w:type="dxa" w:w="110"/>
              <w:bottom w:type="dxa" w:w="50"/>
              <w:right w:type="dxa" w:w="110"/>
            </w:tcMar>
          </w:tcPr>
          <w:p>
            <w:pPr>
              <w:spacing w:before="28" w:after="28"/>
            </w:pPr>
            <w:r>
              <w:rPr>
                <w:sz w:val="15"/>
                <w:szCs w:val="15"/>
              </w:rPr>
              <w:t xml:space="preserve">M4</w:t>
            </w:r>
          </w:p>
        </w:tc>
        <w:tc>
          <w:tcPr>
            <w:tcW w:type="pct" w:w="2600"/>
            <w:tcMar>
              <w:top w:type="dxa" w:w="50"/>
              <w:left w:type="dxa" w:w="110"/>
              <w:bottom w:type="dxa" w:w="50"/>
              <w:right w:type="dxa" w:w="110"/>
            </w:tcMar>
          </w:tcPr>
          <w:p>
            <w:pPr>
              <w:spacing w:before="28" w:after="28"/>
            </w:pPr>
            <w:r>
              <w:rPr>
                <w:sz w:val="15"/>
                <w:szCs w:val="15"/>
              </w:rPr>
              <w:t xml:space="preserve">By December 31, 2026, Qasr has paid 250. Four monthly deliveries have been made.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Qasr Hotels, a hotel chain in Amman   ·   Performance obligation   ·   fulfillment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Revenue recognized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Asset: right to recover products</w:t>
            </w:r>
          </w:p>
        </w:tc>
        <w:tc>
          <w:tcPr>
            <w:tcW w:type="pct" w:w="2600"/>
            <w:tcMar>
              <w:top w:type="dxa" w:w="50"/>
              <w:left w:type="dxa" w:w="110"/>
              <w:bottom w:type="dxa" w:w="50"/>
              <w:right w:type="dxa" w:w="110"/>
            </w:tcMar>
          </w:tcPr>
          <w:p>
            <w:pPr>
              <w:spacing w:before="28" w:after="28"/>
            </w:pPr>
            <w:r>
              <w:rPr>
                <w:sz w:val="15"/>
                <w:szCs w:val="15"/>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(1,000 − 50) × $12 = 11,400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when the renewal period begins   ·   (1,000 − 50) × $20 = 19,000   ·   50 × $20 = 1,000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 rebate (M1)   ·   standalone selling price   ·   Monthly juice deliveries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costs of obtaining a contract   ·   agent   ·   مبدأ مقابلة الإيرادات بالمصروفات</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Matching, contract costs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Qasr Hotels, a hotel chain in Amman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salesperson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fulfillment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(1,000 − 50) × $20 = 19,000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50 × $20 = 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Monthly juice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May elect to treat as a fulfillment cost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Volume rebate (M1)</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May elect to exclude all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Never reversed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incremental costs of obtaining a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 when the renewal period begins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 Contract costs follow the same idea. Incremental costs of obtaining a contract, such as sales commissions, are capitalized if the company expects to recover them. Orontes pays its salesperson a 3% commission, $32,400, on the GreenBasket contract.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 Under U.S. GAAP, an impairment of these assets is never reversed. They matter for comparisons, but the five steps are the same.</w:t>
      </w:r>
    </w:p>
    <w:p>
      <w:pPr>
        <w:spacing w:before="20" w:after="20"/>
        <w:ind w:left="240" w:hanging="240"/>
      </w:pPr>
      <w:r>
        <w:rPr>
          <w:b/>
          <w:bCs/>
          <w:color w:val="353A7C"/>
          <w:sz w:val="15"/>
          <w:szCs w:val="15"/>
        </w:rPr>
        <w:t xml:space="preserve">Summary 2   </w:t>
      </w:r>
      <w:r>
        <w:rPr>
          <w:color w:val="6B7280"/>
          <w:sz w:val="15"/>
          <w:szCs w:val="15"/>
        </w:rPr>
        <w:t xml:space="preserve">ASU 2025-07 explains how to account for shares that a customer pays as consideration. It applies from 2027 and is not testable before about January 2028. ASU 2025-05 adds a practical expedient for credit losses on current receivables and contract assets; it is not testable before about January 2027. Under ASC 606 the correct term is contract liability, and it can also arise when payment is due, not only when cash is received.</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Payroll, taxes collected and compensated absen   ·   What makes a liability current</w:t>
            </w:r>
          </w:p>
        </w:tc>
      </w:tr>
    </w:tbl>
    <w:p/>
    <w:p>
      <w:pPr>
        <w:spacing w:before="44" w:after="14"/>
      </w:pPr>
      <w:r>
        <w:rPr>
          <w:b/>
          <w:bCs/>
          <w:color w:val="353A7C"/>
          <w:sz w:val="18"/>
          <w:szCs w:val="18"/>
        </w:rPr>
        <w:t xml:space="preserve">Summary 1</w:t>
      </w:r>
      <w:r>
        <w:rPr>
          <w:color w:val="6B7280"/>
          <w:sz w:val="16"/>
          <w:szCs w:val="16"/>
        </w:rPr>
        <w:t xml:space="preserve">      gaps 3–7</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current liabilities, normally within one year. </w:t>
      </w:r>
      <w:r>
        <w:rPr>
          <w:sz w:val="19"/>
          <w:szCs w:val="19"/>
        </w:rPr>
        <w:t xml:space="preserve">They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time is short, they are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present value. </w:t>
      </w:r>
      <w:r>
        <w:rPr>
          <w:sz w:val="19"/>
          <w:szCs w:val="19"/>
        </w:rPr>
        <w:t xml:space="preserve">Accounts payable and accruals arise from operations; dividends payable and the current portion of long-term debt arise from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measured   ·   delivers   ·   discounted   ·   Because   ·   creating</w:t>
            </w:r>
          </w:p>
        </w:tc>
      </w:tr>
    </w:tbl>
    <w:p/>
    <w:p>
      <w:pPr>
        <w:spacing w:before="44" w:after="10"/>
      </w:pPr>
      <w:r>
        <w:rPr>
          <w:b/>
          <w:bCs/>
          <w:color w:val="353A7C"/>
          <w:sz w:val="18"/>
          <w:szCs w:val="18"/>
        </w:rPr>
        <w:t xml:space="preserve">Orontes's current liabilities at December 31, 2025</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payable   ·   warranty liability   ·   Income taxes payable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Customer deposits are contract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they become revenue when Orontes delivers. </w:t>
      </w:r>
      <w:r>
        <w:rPr>
          <w:sz w:val="19"/>
          <w:szCs w:val="19"/>
        </w:rPr>
        <w:t xml:space="preserve">Cash dividends become a liability 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distributable   ·   declaration   ·   accruals</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declaration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discounted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 Accounts payable and accruals arise from operations; dividends payable and the current portion of long-term debt arise from financing.</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they become revenue when Orontes delivers. Cash dividends become a liability on the declaration date. A stock dividend distributable is not a liability, because no assets will be paid.</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belong to the government, so they are liabilities,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own payroll taxes, such as its share of social security, are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expense.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Barada's gross wages for a month are $40,000. </w:t>
      </w:r>
      <w:r>
        <w:rPr>
          <w:sz w:val="19"/>
          <w:szCs w:val="19"/>
        </w:rPr>
        <w:t xml:space="preserve">It withholds $4,000 of income tax and $2,800 of social security, so employees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sales 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as revenue.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absences, such as earned vacation, are accrued when employees have already worked for them, the rights vest or accumulate, and payment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additional   ·   revenue   ·   Compensated   ·   employer's   ·   amounts   ·   Suppose   ·   creates   ·   payable   ·   recorded   ·   receive   ·   collected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p>
      <w:pPr>
        <w:spacing w:before="20" w:after="20" w:line="360" w:lineRule="auto"/>
        <w:ind w:left="200"/>
      </w:pPr>
      <w:r>
        <w:rPr>
          <w:sz w:val="19"/>
          <w:szCs w:val="19"/>
        </w:rPr>
        <w:t xml:space="preserve">The first four rows are done. Complete the four blanks.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Barada, one month in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00"/>
            <w:tcMar>
              <w:top w:type="dxa" w:w="50"/>
              <w:left w:type="dxa" w:w="110"/>
              <w:bottom w:type="dxa" w:w="50"/>
              <w:right w:type="dxa" w:w="110"/>
            </w:tcMar>
          </w:tcPr>
          <w:p>
            <w:pPr>
              <w:spacing w:before="28" w:after="28"/>
            </w:pPr>
            <w:r>
              <w:rPr>
                <w:sz w:val="15"/>
                <w:szCs w:val="15"/>
              </w:rPr>
              <w:t xml:space="preserve">Employees' social security withheld (7%)</w:t>
            </w:r>
          </w:p>
        </w:tc>
        <w:tc>
          <w:tcPr>
            <w:tcW w:type="pct" w:w="2400"/>
            <w:tcMar>
              <w:top w:type="dxa" w:w="50"/>
              <w:left w:type="dxa" w:w="110"/>
              <w:bottom w:type="dxa" w:w="50"/>
              <w:right w:type="dxa" w:w="110"/>
            </w:tcMar>
          </w:tcPr>
          <w:p>
            <w:pPr>
              <w:spacing w:before="28" w:after="28"/>
            </w:pPr>
            <w:r>
              <w:rPr>
                <w:sz w:val="15"/>
                <w:szCs w:val="15"/>
              </w:rPr>
              <w:t xml:space="preserve">2,800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33,200</w:t>
            </w:r>
          </w:p>
        </w:tc>
      </w:tr>
      <w:tr>
        <w:tc>
          <w:tcPr>
            <w:tcW w:type="pct" w:w="2600"/>
            <w:tcMar>
              <w:top w:type="dxa" w:w="50"/>
              <w:left w:type="dxa" w:w="110"/>
              <w:bottom w:type="dxa" w:w="50"/>
              <w:right w:type="dxa" w:w="110"/>
            </w:tcMar>
          </w:tcPr>
          <w:p>
            <w:pPr>
              <w:spacing w:before="28" w:after="28"/>
            </w:pPr>
            <w:r>
              <w:rPr>
                <w:sz w:val="15"/>
                <w:szCs w:val="15"/>
              </w:rPr>
              <w:t xml:space="preserve">Employer's social security (payroll tax expense, 7%)</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Cash register total, including 5% sales tax: 21,000. Sales revenue</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 wages for the month   ·   Sales tax payable   ·   qualifying financing agreement   ·   Net pay to employees   ·   Income tax withheld from employees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compensated absences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Compensated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Gross wages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employer's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tax withheld from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additional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Net pay to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 tax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collected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withholding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obligation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current. </w:t>
      </w:r>
      <w:r>
        <w:rPr>
          <w:sz w:val="19"/>
          <w:szCs w:val="19"/>
        </w:rPr>
        <w:t xml:space="preserve">It may be shown as noncurrent only if the company intends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agreement does not expire within one year, cannot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except for an objective violation, has no violation, and the lender can pay. </w:t>
      </w:r>
      <w:r>
        <w:rPr>
          <w:sz w:val="19"/>
          <w:szCs w:val="19"/>
        </w:rPr>
        <w:t xml:space="preserve">An agreement that the lender may cancel for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adverse change' does not qualify, because that clause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noncurrent amount cannot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amount refinanced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Debt repaid with current assets before the new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obtained stays current. </w:t>
      </w:r>
      <w:r>
        <w:rPr>
          <w:sz w:val="19"/>
          <w:szCs w:val="19"/>
        </w:rPr>
        <w:t xml:space="preserve">Refinanced debt moves to noncurrent liabilities, never to equity, even when shares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subjective   ·   exceed   ·   qualifying   ·   cancelled   ·   financing   ·   normally   ·   proceeds   ·   available   ·   refinance   ·   short-term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8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2180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actually refinance   ·   short-term   ·   warranty liability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Orontes has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paper of $3,000,000 due March 31, 2027, and intends to refinance it. </w:t>
      </w:r>
      <w:r>
        <w:rPr>
          <w:sz w:val="19"/>
          <w:szCs w:val="19"/>
        </w:rPr>
        <w:t xml:space="preserve">Its 2026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issued on March 1, 2027. </w:t>
      </w:r>
      <w:r>
        <w:rPr>
          <w:sz w:val="19"/>
          <w:szCs w:val="19"/>
        </w:rPr>
        <w:t xml:space="preserve">Scenario A. Bonds issued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10 replace the paper: the whole $3,000,000 is noncurrent. </w:t>
      </w:r>
      <w:r>
        <w:rPr>
          <w:sz w:val="19"/>
          <w:szCs w:val="19"/>
        </w:rPr>
        <w:t xml:space="preserve">Scenario C.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issued for $2,400,000: that amount is noncurrent and $600,000 stays current.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moves to equity. </w:t>
      </w:r>
      <w:r>
        <w:rPr>
          <w:sz w:val="19"/>
          <w:szCs w:val="19"/>
        </w:rPr>
        <w:t xml:space="preserve">Scenario D.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   Shares   ·   February   ·   refinance   ·   Nothing   ·   qualifying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Repaid first, refinanced later: still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February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commercial paper of 3,000,000</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Noncurrent (U.S. GAAP)</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Current (U.S. GAAP)</w:t>
            </w:r>
          </w:p>
        </w:tc>
      </w:tr>
      <w:tr>
        <w:tc>
          <w:tcPr>
            <w:tcW w:type="pct" w:w="2200"/>
            <w:tcMar>
              <w:top w:type="dxa" w:w="50"/>
              <w:left w:type="dxa" w:w="110"/>
              <w:bottom w:type="dxa" w:w="50"/>
              <w:right w:type="dxa" w:w="110"/>
            </w:tcMar>
          </w:tcPr>
          <w:p>
            <w:pPr>
              <w:spacing w:before="28" w:after="28"/>
            </w:pPr>
            <w:r>
              <w:rPr>
                <w:sz w:val="15"/>
                <w:szCs w:val="15"/>
              </w:rPr>
              <w:t xml:space="preserve">A. Issues 5-year bonds on February 10 and uses the cash to repay the paper at maturity</w:t>
            </w:r>
          </w:p>
        </w:tc>
        <w:tc>
          <w:tcPr>
            <w:tcW w:type="pct" w:w="1400"/>
            <w:tcMar>
              <w:top w:type="dxa" w:w="50"/>
              <w:left w:type="dxa" w:w="110"/>
              <w:bottom w:type="dxa" w:w="50"/>
              <w:right w:type="dxa" w:w="110"/>
            </w:tcMar>
          </w:tcPr>
          <w:p>
            <w:pPr>
              <w:spacing w:before="28" w:after="28"/>
            </w:pPr>
            <w:r>
              <w:rPr>
                <w:sz w:val="15"/>
                <w:szCs w:val="15"/>
              </w:rPr>
              <w:t xml:space="preserve">3,000,000</w:t>
            </w:r>
          </w:p>
        </w:tc>
        <w:tc>
          <w:tcPr>
            <w:tcW w:type="pct" w:w="1400"/>
            <w:tcMar>
              <w:top w:type="dxa" w:w="50"/>
              <w:left w:type="dxa" w:w="110"/>
              <w:bottom w:type="dxa" w:w="50"/>
              <w:right w:type="dxa" w:w="110"/>
            </w:tcMar>
          </w:tcPr>
          <w:p>
            <w:pPr>
              <w:spacing w:before="28" w:after="28"/>
            </w:pPr>
            <w:r>
              <w:rPr>
                <w:sz w:val="15"/>
                <w:szCs w:val="15"/>
              </w:rPr>
              <w:t xml:space="preserve">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 Repays the paper with cash on January 15, then issues bonds on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10</w:t>
            </w:r>
          </w:p>
        </w:tc>
        <w:tc>
          <w:tcPr>
            <w:tcW w:type="pct" w:w="1400"/>
            <w:shd w:fill="FBFAF6" w:val="clear"/>
            <w:tcMar>
              <w:top w:type="dxa" w:w="50"/>
              <w:left w:type="dxa" w:w="110"/>
              <w:bottom w:type="dxa" w:w="50"/>
              <w:right w:type="dxa" w:w="110"/>
            </w:tcMar>
          </w:tcPr>
          <w:p>
            <w:pPr>
              <w:spacing w:before="28" w:after="28"/>
            </w:pPr>
            <w:r>
              <w:rPr>
                <w:sz w:val="15"/>
                <w:szCs w:val="15"/>
              </w:rPr>
              <w:t xml:space="preserve">0</w:t>
            </w:r>
          </w:p>
        </w:tc>
        <w:tc>
          <w:tcPr>
            <w:tcW w:type="pct" w:w="1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200"/>
            <w:tcMar>
              <w:top w:type="dxa" w:w="50"/>
              <w:left w:type="dxa" w:w="110"/>
              <w:bottom w:type="dxa" w:w="50"/>
              <w:right w:type="dxa" w:w="110"/>
            </w:tcMar>
          </w:tcPr>
          <w:p>
            <w:pPr>
              <w:spacing w:before="28" w:after="28"/>
            </w:pPr>
            <w:r>
              <w:rPr>
                <w:sz w:val="15"/>
                <w:szCs w:val="15"/>
              </w:rPr>
              <w:t xml:space="preserve">C. Issues shares on February 10 for 2,400,000 to repay the paper</w:t>
            </w:r>
          </w:p>
        </w:tc>
        <w:tc>
          <w:tcPr>
            <w:tcW w:type="pct" w:w="1400"/>
            <w:tcMar>
              <w:top w:type="dxa" w:w="50"/>
              <w:left w:type="dxa" w:w="110"/>
              <w:bottom w:type="dxa" w:w="50"/>
              <w:right w:type="dxa" w:w="110"/>
            </w:tcMar>
          </w:tcPr>
          <w:p>
            <w:pPr>
              <w:spacing w:before="28" w:after="28"/>
            </w:pPr>
            <w:r>
              <w:rPr>
                <w:sz w:val="15"/>
                <w:szCs w:val="15"/>
              </w:rPr>
              <w:t xml:space="preserve">2,400,000</w:t>
            </w:r>
          </w:p>
        </w:tc>
        <w:tc>
          <w:tcPr>
            <w:tcW w:type="pct" w:w="1400"/>
            <w:tcMar>
              <w:top w:type="dxa" w:w="50"/>
              <w:left w:type="dxa" w:w="110"/>
              <w:bottom w:type="dxa" w:w="50"/>
              <w:right w:type="dxa" w:w="110"/>
            </w:tcMar>
          </w:tcPr>
          <w:p>
            <w:pPr>
              <w:spacing w:before="28" w:after="28"/>
            </w:pPr>
            <w:r>
              <w:rPr>
                <w:sz w:val="15"/>
                <w:szCs w:val="15"/>
              </w:rPr>
              <w:t xml:space="preserve">600,000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 Signs a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agreement on February 1 to borrow 80% of inventory; inventory will not fall below 3,125,000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2,500,000</w:t>
            </w:r>
          </w:p>
        </w:tc>
        <w:tc>
          <w:tcPr>
            <w:tcW w:type="pct" w:w="1400"/>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200"/>
            <w:tcMar>
              <w:top w:type="dxa" w:w="50"/>
              <w:left w:type="dxa" w:w="110"/>
              <w:bottom w:type="dxa" w:w="50"/>
              <w:right w:type="dxa" w:w="110"/>
            </w:tcMar>
          </w:tcPr>
          <w:p>
            <w:pPr>
              <w:spacing w:before="28" w:after="28"/>
            </w:pPr>
            <w:r>
              <w:rPr>
                <w:sz w:val="15"/>
                <w:szCs w:val="15"/>
              </w:rPr>
              <w:t xml:space="preserve">E. Same as D, but the lender may cancel if it sees a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adverse change'</w:t>
            </w:r>
          </w:p>
        </w:tc>
        <w:tc>
          <w:tcPr>
            <w:tcW w:type="pct" w:w="1400"/>
            <w:tcMar>
              <w:top w:type="dxa" w:w="50"/>
              <w:left w:type="dxa" w:w="110"/>
              <w:bottom w:type="dxa" w:w="50"/>
              <w:right w:type="dxa" w:w="110"/>
            </w:tcMar>
          </w:tcPr>
          <w:p>
            <w:pPr>
              <w:spacing w:before="28" w:after="28"/>
            </w:pPr>
            <w:r>
              <w:rPr>
                <w:sz w:val="15"/>
                <w:szCs w:val="15"/>
              </w:rPr>
              <w:t xml:space="preserve">0</w:t>
            </w:r>
          </w:p>
        </w:tc>
        <w:tc>
          <w:tcPr>
            <w:tcW w:type="pct" w:w="1400"/>
            <w:tcMar>
              <w:top w:type="dxa" w:w="50"/>
              <w:left w:type="dxa" w:w="110"/>
              <w:bottom w:type="dxa" w:w="50"/>
              <w:right w:type="dxa" w:w="110"/>
            </w:tcMar>
          </w:tcPr>
          <w:p>
            <w:pPr>
              <w:spacing w:before="28" w:after="28"/>
            </w:pPr>
            <w:r>
              <w:rPr>
                <w:sz w:val="15"/>
                <w:szCs w:val="15"/>
              </w:rPr>
              <w:t xml:space="preserve">3,000,000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   February   ·   material   ·   withholding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financing agreement   ·   اتفاقية تمويل مؤهلة   ·   short-term obligation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normally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refinance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qualifying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cancelled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subjective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exceed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It can actually refinance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short-term 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qualifying financing agreement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commercial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A qualifying agreement does not expire within one year, cannot be cancelled except for an objective violation, has no violation, and the lender can pay. An agreement that the lender may cancel for a 'material adverse change' does not qualify, because that clause is subjective. The noncurrent amount cannot exceed the amount refinanced or available. Debt repaid with current assets before the new financing is obtained stays current. Refinanced debt moves to noncurrent liabilities, never to equity, even when shares are issued.</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Nothing moves to equity.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IAS 1 asks only one question: at the reporting date, does the company have a right to defer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at least twelve months?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agreed after the reporting date does not change the classification,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r>
        <w:rPr>
          <w:sz w:val="19"/>
          <w:szCs w:val="19"/>
        </w:rPr>
        <w:t xml:space="preserve">Covenants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logic. </w:t>
      </w:r>
      <w:r>
        <w:rPr>
          <w:sz w:val="19"/>
          <w:szCs w:val="19"/>
        </w:rPr>
        <w:t xml:space="preserve">Under IFRS, only covenants that must be met on or before the reporting date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classification; future covenants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settlement   ·   affect   ·   Refinancing   ·   scenarios   ·   commercial   ·   disclosed   ·   follow   ·   January</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Consider only violations at the balance sheet date   ·   Noncurrent if the waiver lasts more than one year   ·   Can make the debt noncurrent   ·   Accrue if probable (likely) and estimable</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IAS 1 amendments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covenants apply from January 1, 2024, and are testable now as IFRS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They confirm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contrasts   ·   Covenants   ·   classification   ·   management's</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settlement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Noncurrent if the waiver lasts more than one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disclosed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 Covenants follow the same logic. Under IFRS, only covenants that must be met on or before the reporting date affect classification; future covenants are disclosed.</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warranty only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a product will work as agreed. </w:t>
      </w:r>
      <w:r>
        <w:rPr>
          <w:sz w:val="19"/>
          <w:szCs w:val="19"/>
        </w:rPr>
        <w:t xml:space="preserve">It is not a separate performance obligation. </w:t>
      </w:r>
      <w:r>
        <w:rPr>
          <w:sz w:val="19"/>
          <w:szCs w:val="19"/>
        </w:rPr>
        <w:t xml:space="preserve">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repair cost at the time of sale,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warranty expense and a warranty liability, and reduces the liability as repairs are made. </w:t>
      </w:r>
      <w:r>
        <w:rPr>
          <w:sz w:val="19"/>
          <w:szCs w:val="19"/>
        </w:rPr>
        <w:t xml:space="preserve">A service-type warranty gives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 extra service, such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cover. </w:t>
      </w:r>
      <w:r>
        <w:rPr>
          <w:sz w:val="19"/>
          <w:szCs w:val="19"/>
        </w:rPr>
        <w:t xml:space="preserve">It is a separate performance obligation: part of the price is recorded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liability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revenue over the coverage period. </w:t>
      </w:r>
      <w:r>
        <w:rPr>
          <w:sz w:val="19"/>
          <w:szCs w:val="19"/>
        </w:rPr>
        <w:t xml:space="preserve">A warranty that customers can buy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always service-type. </w:t>
      </w:r>
      <w:r>
        <w:rPr>
          <w:sz w:val="19"/>
          <w:szCs w:val="19"/>
        </w:rPr>
        <w:t xml:space="preserve">Suppose Orontes sells 2,000 beverage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2026 for $3,000,000, with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assurance warranty. </w:t>
      </w:r>
      <w:r>
        <w:rPr>
          <w:sz w:val="19"/>
          <w:szCs w:val="19"/>
        </w:rPr>
        <w:t xml:space="preserve">It expects repairs to cost 2% of sales. </w:t>
      </w:r>
      <w:r>
        <w:rPr>
          <w:sz w:val="19"/>
          <w:szCs w:val="19"/>
        </w:rPr>
        <w:t xml:space="preserve">It also sells 400 three-year service plans for $120 each.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estimates   ·   dispensers   ·   customer   ·   recognized   ·   assurance-type   ·   beverage   ·   separately   ·   promises   ·   extended   ·   records   ·   one-year</w:t>
            </w:r>
          </w:p>
        </w:tc>
      </w:tr>
    </w:tbl>
    <w:p/>
    <w:p>
      <w:pPr>
        <w:spacing w:before="44" w:after="10"/>
      </w:pPr>
      <w:r>
        <w:rPr>
          <w:b/>
          <w:bCs/>
          <w:color w:val="353A7C"/>
          <w:sz w:val="18"/>
          <w:szCs w:val="18"/>
        </w:rPr>
        <w:t xml:space="preserve">Suppose: Orontes's warranty entries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Assurance-type: at each sale   ·   Repairs made in 2026</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liability is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$60,000 minus repairs of $22,000: $38,000. </w:t>
      </w:r>
      <w:r>
        <w:rPr>
          <w:sz w:val="19"/>
          <w:szCs w:val="19"/>
        </w:rPr>
        <w:t xml:space="preserve">The service plans are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liability of $32,000, of which the part to be earned in 2027 is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warranty   ·   contract   ·   service   ·   accrual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spacing w:before="44" w:after="14"/>
      </w:pPr>
      <w:r>
        <w:rPr>
          <w:b/>
          <w:bCs/>
          <w:color w:val="353A7C"/>
          <w:sz w:val="18"/>
          <w:szCs w:val="18"/>
        </w:rPr>
        <w:t xml:space="preserve">Summary 3</w:t>
      </w:r>
      <w:r>
        <w:rPr>
          <w:color w:val="6B7280"/>
          <w:sz w:val="16"/>
          <w:szCs w:val="16"/>
        </w:rPr>
        <w:t xml:space="preserve">      gaps 16–18</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warranty costs in the year of the sale, not when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are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Expense   ·   Suppose   ·   repairs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Warranty traps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selected liabilities, December</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Accounts payable</w:t>
            </w:r>
          </w:p>
        </w:tc>
        <w:tc>
          <w:tcPr>
            <w:tcW w:type="pct" w:w="2600"/>
            <w:tcMar>
              <w:top w:type="dxa" w:w="50"/>
              <w:left w:type="dxa" w:w="110"/>
              <w:bottom w:type="dxa" w:w="50"/>
              <w:right w:type="dxa" w:w="110"/>
            </w:tcMar>
          </w:tcPr>
          <w:p>
            <w:pPr>
              <w:spacing w:before="28" w:after="28"/>
            </w:pPr>
            <w:r>
              <w:rPr>
                <w:sz w:val="15"/>
                <w:szCs w:val="15"/>
              </w:rPr>
              <w:t xml:space="preserve">450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Bank loan due April 30, 2028</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Note payable due in 2029 (from the Chapter 2 case)</w:t>
            </w:r>
          </w:p>
        </w:tc>
        <w:tc>
          <w:tcPr>
            <w:tcW w:type="pct" w:w="2600"/>
            <w:tcMar>
              <w:top w:type="dxa" w:w="50"/>
              <w:left w:type="dxa" w:w="110"/>
              <w:bottom w:type="dxa" w:w="50"/>
              <w:right w:type="dxa" w:w="110"/>
            </w:tcMar>
          </w:tcPr>
          <w:p>
            <w:pPr>
              <w:spacing w:before="28" w:after="28"/>
            </w:pPr>
            <w:r>
              <w:rPr>
                <w:sz w:val="15"/>
                <w:szCs w:val="15"/>
              </w:rPr>
              <w:t xml:space="preserve">1,500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60</w:t>
            </w:r>
          </w:p>
        </w:tc>
      </w:tr>
      <w:tr>
        <w:tc>
          <w:tcPr>
            <w:tcW w:type="pct" w:w="2400"/>
            <w:tcMar>
              <w:top w:type="dxa" w:w="50"/>
              <w:left w:type="dxa" w:w="110"/>
              <w:bottom w:type="dxa" w:w="50"/>
              <w:right w:type="dxa" w:w="110"/>
            </w:tcMar>
          </w:tcPr>
          <w:p>
            <w:pPr>
              <w:spacing w:before="28" w:after="28"/>
            </w:pPr>
            <w:r>
              <w:rPr>
                <w:sz w:val="15"/>
                <w:szCs w:val="15"/>
              </w:rPr>
              <w:t xml:space="preserve">Customer deposits for orders to be delivered in 2028</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Wages payable / income tax withheld / employer payroll taxes</w:t>
            </w:r>
          </w:p>
        </w:tc>
        <w:tc>
          <w:tcPr>
            <w:tcW w:type="pct" w:w="2600"/>
            <w:shd w:fill="FBFAF6" w:val="clear"/>
            <w:tcMar>
              <w:top w:type="dxa" w:w="50"/>
              <w:left w:type="dxa" w:w="110"/>
              <w:bottom w:type="dxa" w:w="50"/>
              <w:right w:type="dxa" w:w="110"/>
            </w:tcMar>
          </w:tcPr>
          <w:p>
            <w:pPr>
              <w:spacing w:before="28" w:after="28"/>
            </w:pPr>
            <w:r>
              <w:rPr>
                <w:sz w:val="15"/>
                <w:szCs w:val="15"/>
              </w:rPr>
              <w:t xml:space="preserve">25 / 5 / 3</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On February 15, 2028, before the statements were issued on March 1, 2028, Barada signed a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three-year agreement. The bank will</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2027 Barada began selling kitchen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with a one-year warranty that the product works as agreed. Sales were 1000; expected repairs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Barada also sold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priced three-year service plans for 36, all starting on January 1,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Deferred tax balances are not shown here; Chapter 13 covers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non-cancelable   ·   equipment   ·   Debit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Employer's social security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400"/>
            <w:shd w:fill="FBFAF6" w:val="clear"/>
            <w:tcMar>
              <w:top w:type="dxa" w:w="50"/>
              <w:left w:type="dxa" w:w="110"/>
              <w:bottom w:type="dxa" w:w="50"/>
              <w:right w:type="dxa" w:w="110"/>
            </w:tcMar>
          </w:tcPr>
          <w:p>
            <w:pPr>
              <w:spacing w:before="28" w:after="28"/>
            </w:pPr>
            <w:r>
              <w:rPr>
                <w:sz w:val="15"/>
                <w:szCs w:val="15"/>
              </w:rPr>
              <w:t xml:space="preserve">4,000 + 2,800 + 2,800 = 9,600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 × 40,000 = 2,800 (payroll tax expense)   ·   Split between current and noncurrent   ·   21,000 ÷ 1.05 = 20,000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Note payable due 2029</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Warranty liability (M2)</w:t>
            </w:r>
          </w:p>
        </w:tc>
        <w:tc>
          <w:tcPr>
            <w:tcW w:type="pct" w:w="2600"/>
            <w:tcMar>
              <w:top w:type="dxa" w:w="50"/>
              <w:left w:type="dxa" w:w="110"/>
              <w:bottom w:type="dxa" w:w="50"/>
              <w:right w:type="dxa" w:w="110"/>
            </w:tcMar>
          </w:tcPr>
          <w:p>
            <w:pPr>
              <w:spacing w:before="28" w:after="28"/>
            </w:pPr>
            <w:r>
              <w:rPr>
                <w:sz w:val="15"/>
                <w:szCs w:val="15"/>
              </w:rPr>
              <w:t xml:space="preserve">Current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Service plans (M3)</w:t>
            </w:r>
          </w:p>
        </w:tc>
        <w:tc>
          <w:tcPr>
            <w:tcW w:type="pct" w:w="2600"/>
            <w:shd w:fill="FBFAF6" w:val="clear"/>
            <w:tcMar>
              <w:top w:type="dxa" w:w="50"/>
              <w:left w:type="dxa" w:w="110"/>
              <w:bottom w:type="dxa" w:w="50"/>
              <w:right w:type="dxa" w:w="110"/>
            </w:tcMar>
          </w:tcPr>
          <w:p>
            <w:pPr>
              <w:spacing w:before="28" w:after="28"/>
            </w:pPr>
            <w:r>
              <w:rPr>
                <w:sz w:val="15"/>
                <w:szCs w:val="15"/>
              </w:rPr>
              <w:t xml:space="preserve">Split between current and noncurrent</w:t>
            </w:r>
          </w:p>
        </w:tc>
      </w:tr>
      <w:tr>
        <w:tc>
          <w:tcPr>
            <w:tcW w:type="pct" w:w="2400"/>
            <w:tcMar>
              <w:top w:type="dxa" w:w="50"/>
              <w:left w:type="dxa" w:w="110"/>
              <w:bottom w:type="dxa" w:w="50"/>
              <w:right w:type="dxa" w:w="110"/>
            </w:tcMar>
          </w:tcPr>
          <w:p>
            <w:pPr>
              <w:spacing w:before="28" w:after="28"/>
            </w:pPr>
            <w:r>
              <w:rPr>
                <w:sz w:val="15"/>
                <w:szCs w:val="15"/>
              </w:rPr>
              <w:t xml:space="preserve">Customer deposits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liability   ·   Current liability   ·   Split between current and noncurrent   ·   25 / 5 / 3</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warranty liability   ·   assurance-type warranty   ·   service-type warranty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assurance-type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promises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repairs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non-cancelable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extended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7% × 40,000 = 2,800 (payroll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21,000 ÷ 1.05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Split between current and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one-year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Noncurrent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Repairs made in 2026</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warranty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assurance-type warranty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warranty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 A service-type warranty gives the customer an extra service, such as extended cover. It is a separate performance obligation: part of the price is recorded as a contract liability and recognized as revenue over the coverage period. A warranty that customers can buy separately is always service-type. Suppose Orontes sells 2,000 beverage dispensers in 2026 for $3,000,000, with a one-year assurance warranty. It expects repairs to cost 2% of sales. It also sells 400 three-year service plans for $120 each.</w:t>
      </w:r>
    </w:p>
    <w:p>
      <w:pPr>
        <w:spacing w:before="20" w:after="20"/>
        <w:ind w:left="240" w:hanging="240"/>
      </w:pPr>
      <w:r>
        <w:rPr>
          <w:b/>
          <w:bCs/>
          <w:color w:val="353A7C"/>
          <w:sz w:val="15"/>
          <w:szCs w:val="15"/>
        </w:rPr>
        <w:t xml:space="preserve">Summary 2   </w:t>
      </w:r>
      <w:r>
        <w:rPr>
          <w:color w:val="6B7280"/>
          <w:sz w:val="15"/>
          <w:szCs w:val="15"/>
        </w:rPr>
        <w:t xml:space="preserve">The warranty liability is the accrual of $60,000 minus repairs of $22,000: $38,000. The service plans are a contract liability of $32,000, of which the part to be earned in 2027 is current.</w:t>
      </w:r>
    </w:p>
    <w:p>
      <w:pPr>
        <w:spacing w:before="20" w:after="20"/>
        <w:ind w:left="240" w:hanging="240"/>
      </w:pPr>
      <w:r>
        <w:rPr>
          <w:b/>
          <w:bCs/>
          <w:color w:val="353A7C"/>
          <w:sz w:val="15"/>
          <w:szCs w:val="15"/>
        </w:rPr>
        <w:t xml:space="preserve">Summary 3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Why book income and taxable income differ</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and permanent differences   ·   IFRS differences and disclosures   ·   Rate changes, valuation allowances, losses and</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 U.S. GAAP and are prepared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Tax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tax law and are prepared for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two sets of rules have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goals, so taxable income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not the same as income before income taxes. </w:t>
      </w:r>
      <w:r>
        <w:rPr>
          <w:sz w:val="19"/>
          <w:szCs w:val="19"/>
        </w:rPr>
        <w:t xml:space="preserve">If a company simply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tax it paid, its tax expense would jump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when the rules timed items differently.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tax allocation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this. </w:t>
      </w:r>
      <w:r>
        <w:rPr>
          <w:sz w:val="19"/>
          <w:szCs w:val="19"/>
        </w:rPr>
        <w:t xml:space="preserve">The company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tax effects of transactions in the same periods as the transactions themselves, using deferred taxes. </w:t>
      </w:r>
      <w:r>
        <w:rPr>
          <w:sz w:val="19"/>
          <w:szCs w:val="19"/>
        </w:rPr>
        <w:t xml:space="preserve">Income tax expense of $989,700 has two parts: current tax expense of $889,700, the tax on 2025 taxable income, and deferred tax expense of $100,000. </w:t>
      </w:r>
      <w:r>
        <w:rPr>
          <w:sz w:val="19"/>
          <w:szCs w:val="19"/>
        </w:rPr>
        <w:t xml:space="preserve">Net taxable temporary differences grew by $400,000, mainly because tax depreciation was faster than book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around   ·   recognizes   ·   returns   ·   reported   ·   usually   ·   statements   ·   effects   ·   investors   ·   solves   ·   Interperiod   ·   government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income tax figures for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2025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Income tax expense (25% combined federal and state rate)</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889,700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expense (25% of the 400,000 increase in net taxable temporary differences)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liability, January 1, 2025</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Deferred tax liability, December 31, 2025 (after the 375 tax effect of the OCI loss)</w:t>
            </w:r>
          </w:p>
        </w:tc>
        <w:tc>
          <w:tcPr>
            <w:tcW w:type="pct" w:w="2400"/>
            <w:tcMar>
              <w:top w:type="dxa" w:w="50"/>
              <w:left w:type="dxa" w:w="110"/>
              <w:bottom w:type="dxa" w:w="50"/>
              <w:right w:type="dxa" w:w="110"/>
            </w:tcMar>
          </w:tcPr>
          <w:p>
            <w:pPr>
              <w:spacing w:before="28" w:after="28"/>
            </w:pPr>
            <w:r>
              <w:rPr>
                <w:sz w:val="15"/>
                <w:szCs w:val="15"/>
              </w:rPr>
              <w:t xml:space="preserve">999,625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in cash (Chapter 5)   ·   Income before income taxes   ·   Current tax expense (taxes on 2025 taxable income)   ·   Deferred tax liability, January 1, 2025</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deferred tax expense   ·   current tax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taxable income</w:t>
            </w:r>
          </w:p>
        </w:tc>
        <w:tc>
          <w:tcPr>
            <w:tcW w:type="pct" w:w="2476"/>
            <w:tcMar>
              <w:top w:type="dxa" w:w="50"/>
              <w:left w:type="dxa" w:w="110"/>
              <w:bottom w:type="dxa" w:w="50"/>
              <w:right w:type="dxa" w:w="110"/>
            </w:tcMar>
          </w:tcPr>
          <w:p>
            <w:pPr>
              <w:spacing w:before="26" w:after="26"/>
            </w:pPr>
            <w:r>
              <w:rPr>
                <w:color w:val="232733"/>
                <w:sz w:val="16"/>
                <w:szCs w:val="16"/>
              </w:rPr>
              <w:t xml:space="preserve">الدخل الخاضع للضريبة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توزيع الضريبة بين الفترات</w:t>
            </w:r>
          </w:p>
        </w:tc>
      </w:tr>
      <w:tr>
        <w:tc>
          <w:tcPr>
            <w:tcW w:type="pct" w:w="2524"/>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76"/>
            <w:tcMar>
              <w:top w:type="dxa" w:w="50"/>
              <w:left w:type="dxa" w:w="110"/>
              <w:bottom w:type="dxa" w:w="50"/>
              <w:right w:type="dxa" w:w="110"/>
            </w:tcMar>
          </w:tcPr>
          <w:p>
            <w:pPr>
              <w:spacing w:before="26" w:after="26"/>
            </w:pPr>
            <w:r>
              <w:rPr>
                <w:color w:val="232733"/>
                <w:sz w:val="16"/>
                <w:szCs w:val="16"/>
              </w:rPr>
              <w:t xml:space="preserve">مصروف الضريبة الجارية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مصروف الضريبة المؤجلة</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Why book income and taxable income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Temporary and permanent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around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Rate changes, valuation allowances, losses and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solves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Current tax expense (taxes on 2025 taxable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Income taxes paid in cash (Chapter 5)</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current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deferred tax expense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Financial statements follow U.S. GAAP and are prepared for investors. Tax returns follow tax law and are prepared for the government. The two sets of rules have different goals, so taxable income is usually not the same as income before income taxes. If a company simply reported the tax it paid, its tax expense would jump around when the rules timed items differently. Interperiod tax allocation solves this. The company recognizes the tax effects of transactions in the same periods as the transactions themselves, using deferred taxes. Income tax expense of $989,700 has two parts: current tax expense of $889,700, the tax on 2025 taxable income, and deferred tax expense of $100,000. Net taxable temporary differences grew by $400,000, mainly because tax depreciation was faster than book depreciation.</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Temporary and permanent differences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temporary difference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the tax basis of an asset or liability differs from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amount on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w:t>
      </w:r>
      <w:r>
        <w:rPr>
          <w:sz w:val="19"/>
          <w:szCs w:val="19"/>
        </w:rPr>
        <w:t xml:space="preserve">It reverses in later years. </w:t>
      </w:r>
      <w:r>
        <w:rPr>
          <w:sz w:val="19"/>
          <w:szCs w:val="19"/>
        </w:rPr>
        <w:t xml:space="preserve">A taxable temporary difference will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future taxable income; a deductible temporary difference will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w:t>
      </w:r>
      <w:r>
        <w:rPr>
          <w:sz w:val="19"/>
          <w:szCs w:val="19"/>
        </w:rPr>
        <w:t xml:space="preserve">A permanent difference never reverses. </w:t>
      </w:r>
      <w:r>
        <w:rPr>
          <w:sz w:val="19"/>
          <w:szCs w:val="19"/>
        </w:rPr>
        <w:t xml:space="preserve">The item is in book income but never in taxable income, 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municipal bond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fines are common examples. </w:t>
      </w:r>
      <w:r>
        <w:rPr>
          <w:sz w:val="19"/>
          <w:szCs w:val="19"/>
        </w:rPr>
        <w:t xml:space="preserve">Permanent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create no deferred tax; they only change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tax rate. </w:t>
      </w:r>
      <w:r>
        <w:rPr>
          <w:sz w:val="19"/>
          <w:szCs w:val="19"/>
        </w:rPr>
        <w:t xml:space="preserve">A taxable temporary difference creates a deferred tax liability: tax that will be paid later. </w:t>
      </w:r>
      <w:r>
        <w:rPr>
          <w:sz w:val="19"/>
          <w:szCs w:val="19"/>
        </w:rPr>
        <w:t xml:space="preserve">A deductible temporary difference creates a deferred tax asset: tax that will be saved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differences   ·   increase   ·   effective   ·   Tax-exempt   ·   accrued   ·   balance   ·   carrying   ·   reverse   ·   reduce   ·   interest   ·   arises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55"/>
        <w:gridCol w:w="26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Common temporary and permanent differences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35"/>
            <w:shd w:fill="353A7C" w:val="clear"/>
            <w:tcMar>
              <w:top w:type="dxa" w:w="50"/>
              <w:left w:type="dxa" w:w="110"/>
              <w:bottom w:type="dxa" w:w="50"/>
              <w:right w:type="dxa" w:w="110"/>
            </w:tcMar>
          </w:tcPr>
          <w:p>
            <w:pPr>
              <w:spacing w:before="30" w:after="30"/>
            </w:pPr>
            <w:r>
              <w:rPr>
                <w:b/>
                <w:bCs/>
                <w:color w:val="FFFFFF"/>
                <w:sz w:val="15"/>
                <w:szCs w:val="15"/>
              </w:rPr>
              <w:t xml:space="preserve">Type of difference</w:t>
            </w:r>
          </w:p>
        </w:tc>
        <w:tc>
          <w:tcPr>
            <w:tcW w:type="pct" w:w="1365"/>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 depreciation faster than book (bonus, MACRS)</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365"/>
            <w:tcMar>
              <w:top w:type="dxa" w:w="50"/>
              <w:left w:type="dxa" w:w="110"/>
              <w:bottom w:type="dxa" w:w="50"/>
              <w:right w:type="dxa" w:w="110"/>
            </w:tcMar>
          </w:tcPr>
          <w:p>
            <w:pPr>
              <w:spacing w:before="28" w:after="28"/>
            </w:pPr>
            <w:r>
              <w:rPr>
                <w:sz w:val="15"/>
                <w:szCs w:val="15"/>
              </w:rPr>
              <w:t xml:space="preserve">Deferred tax liability</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Installment sale: revenue now, taxed when cash is collected</w:t>
            </w:r>
          </w:p>
        </w:tc>
        <w:tc>
          <w:tcPr>
            <w:tcW w:type="pct" w:w="1435"/>
            <w:shd w:fill="FBFAF6" w:val="clear"/>
            <w:tcMar>
              <w:top w:type="dxa" w:w="50"/>
              <w:left w:type="dxa" w:w="110"/>
              <w:bottom w:type="dxa" w:w="50"/>
              <w:right w:type="dxa" w:w="110"/>
            </w:tcMar>
          </w:tcPr>
          <w:p>
            <w:pPr>
              <w:spacing w:before="28" w:after="28"/>
            </w:pPr>
            <w:r>
              <w:rPr>
                <w:sz w:val="15"/>
                <w:szCs w:val="15"/>
              </w:rPr>
              <w:t xml:space="preserve">Temporary, taxable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200"/>
            <w:tcMar>
              <w:top w:type="dxa" w:w="50"/>
              <w:left w:type="dxa" w:w="110"/>
              <w:bottom w:type="dxa" w:w="50"/>
              <w:right w:type="dxa" w:w="110"/>
            </w:tcMar>
          </w:tcPr>
          <w:p>
            <w:pPr>
              <w:spacing w:before="28" w:after="28"/>
            </w:pPr>
            <w:r>
              <w:rPr>
                <w:sz w:val="15"/>
                <w:szCs w:val="15"/>
              </w:rPr>
              <w:t xml:space="preserve">Warranty or litigation accrual, deductible when paid</w:t>
            </w:r>
          </w:p>
        </w:tc>
        <w:tc>
          <w:tcPr>
            <w:tcW w:type="pct" w:w="1435"/>
            <w:tcMar>
              <w:top w:type="dxa" w:w="50"/>
              <w:left w:type="dxa" w:w="110"/>
              <w:bottom w:type="dxa" w:w="50"/>
              <w:right w:type="dxa" w:w="110"/>
            </w:tcMar>
          </w:tcPr>
          <w:p>
            <w:pPr>
              <w:spacing w:before="28" w:after="28"/>
            </w:pPr>
            <w:r>
              <w:rPr>
                <w:sz w:val="15"/>
                <w:szCs w:val="15"/>
              </w:rPr>
              <w:t xml:space="preserve">Temporary, deductible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65"/>
            <w:shd w:fill="FBFAF6" w:val="clear"/>
            <w:tcMar>
              <w:top w:type="dxa" w:w="50"/>
              <w:left w:type="dxa" w:w="110"/>
              <w:bottom w:type="dxa" w:w="50"/>
              <w:right w:type="dxa" w:w="110"/>
            </w:tcMar>
          </w:tcPr>
          <w:p>
            <w:pPr>
              <w:spacing w:before="28" w:after="28"/>
            </w:pPr>
            <w:r>
              <w:rPr>
                <w:sz w:val="15"/>
                <w:szCs w:val="15"/>
              </w:rPr>
              <w:t xml:space="preserve">Deferred tax asset</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Fines and penalties</w:t>
            </w:r>
          </w:p>
        </w:tc>
        <w:tc>
          <w:tcPr>
            <w:tcW w:type="pct" w:w="1435"/>
            <w:shd w:fill="FBFAF6" w:val="clear"/>
            <w:tcMar>
              <w:top w:type="dxa" w:w="50"/>
              <w:left w:type="dxa" w:w="110"/>
              <w:bottom w:type="dxa" w:w="50"/>
              <w:right w:type="dxa" w:w="110"/>
            </w:tcMar>
          </w:tcPr>
          <w:p>
            <w:pPr>
              <w:spacing w:before="28" w:after="28"/>
            </w:pPr>
            <w:r>
              <w:rPr>
                <w:sz w:val="15"/>
                <w:szCs w:val="15"/>
              </w:rPr>
              <w:t xml:space="preserve">Permanent</w:t>
            </w:r>
          </w:p>
        </w:tc>
        <w:tc>
          <w:tcPr>
            <w:tcW w:type="pct" w:w="1365"/>
            <w:shd w:fill="FBFAF6" w:val="clear"/>
            <w:tcMar>
              <w:top w:type="dxa" w:w="50"/>
              <w:left w:type="dxa" w:w="110"/>
              <w:bottom w:type="dxa" w:w="50"/>
              <w:right w:type="dxa" w:w="110"/>
            </w:tcMar>
          </w:tcPr>
          <w:p>
            <w:pPr>
              <w:spacing w:before="28" w:after="28"/>
            </w:pPr>
            <w:r>
              <w:rPr>
                <w:sz w:val="15"/>
                <w:szCs w:val="15"/>
              </w:rPr>
              <w:t xml:space="preserve">None</w:t>
            </w:r>
          </w:p>
        </w:tc>
      </w:tr>
      <w:tr>
        <w:tc>
          <w:tcPr>
            <w:tcW w:type="pct" w:w="2200"/>
            <w:tcMar>
              <w:top w:type="dxa" w:w="50"/>
              <w:left w:type="dxa" w:w="110"/>
              <w:bottom w:type="dxa" w:w="50"/>
              <w:right w:type="dxa" w:w="110"/>
            </w:tcMar>
          </w:tcPr>
          <w:p>
            <w:pPr>
              <w:spacing w:before="28" w:after="28"/>
            </w:pPr>
            <w:r>
              <w:rPr>
                <w:sz w:val="15"/>
                <w:szCs w:val="15"/>
              </w:rPr>
              <w:t xml:space="preserve">Life insurance premiums when the company is the beneficiary</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Deferred tax liability   ·   enacted tax rate   ·   Deferred tax asset   ·   Temporary, deductible   ·   Temporary, taxable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way does it go?</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Tax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faster than book: less tax now, more later: deferred tax liability. </w:t>
      </w:r>
      <w:r>
        <w:rPr>
          <w:sz w:val="19"/>
          <w:szCs w:val="19"/>
        </w:rPr>
        <w:t xml:space="preserve">Warranty accrued now,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when paid: more tax now, less later: deferred tax asset. </w:t>
      </w:r>
      <w:r>
        <w:rPr>
          <w:sz w:val="19"/>
          <w:szCs w:val="19"/>
        </w:rPr>
        <w:t xml:space="preserve">Fines and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interest: permanent, no deferred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   depreciation   ·   deductible   ·   municipal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income   ·   tax basis   ·   deductible temporary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مؤقت خاضع للضريبة</w:t>
            </w:r>
          </w:p>
        </w:tc>
      </w:tr>
      <w:tr>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 قابل للخصم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دائم</w:t>
            </w:r>
          </w:p>
        </w:tc>
      </w:tr>
      <w:tr>
        <w:tc>
          <w:tcPr>
            <w:tcW w:type="pct" w:w="2600"/>
            <w:tcMar>
              <w:top w:type="dxa" w:w="50"/>
              <w:left w:type="dxa" w:w="110"/>
              <w:bottom w:type="dxa" w:w="50"/>
              <w:right w:type="dxa" w:w="110"/>
            </w:tcMar>
          </w:tcPr>
          <w:p>
            <w:pPr>
              <w:spacing w:before="26" w:after="26"/>
            </w:pPr>
            <w:r>
              <w:rPr>
                <w:color w:val="232733"/>
                <w:sz w:val="16"/>
                <w:szCs w:val="16"/>
              </w:rPr>
              <w:t xml:space="preserve">tax basis</w:t>
            </w:r>
          </w:p>
        </w:tc>
        <w:tc>
          <w:tcPr>
            <w:tcW w:type="pct" w:w="2400"/>
            <w:tcMar>
              <w:top w:type="dxa" w:w="50"/>
              <w:left w:type="dxa" w:w="110"/>
              <w:bottom w:type="dxa" w:w="50"/>
              <w:right w:type="dxa" w:w="110"/>
            </w:tcMar>
          </w:tcPr>
          <w:p>
            <w:pPr>
              <w:spacing w:before="26" w:after="26"/>
            </w:pPr>
            <w:r>
              <w:rPr>
                <w:color w:val="232733"/>
                <w:sz w:val="16"/>
                <w:szCs w:val="16"/>
              </w:rPr>
              <w:t xml:space="preserve">الأساس الضريبي</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Temporary and permanent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arises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Deferred tax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Deferred tax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Temporary, 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reduce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reverse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Tax-exempt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municipal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deductible temporary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basis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temporary difference arises when the tax basis of an asset or liability differs from its carrying amount on the balance sheet. It reverses in later years. A taxable temporary difference will increase future taxable income; a deductible temporary difference will reduce it. A permanent difference never reverses. The item is in book income but never in taxable income, or the reverse. Tax-exempt municipal bond interest and fines are common examples. Permanent differences create no deferred tax; they only change the effective tax rate. A taxable temporary difference creates a deferred tax liability: tax that will be paid later. A deductible temporary difference creates a deferred tax asset: tax that will be saved later.</w:t>
      </w:r>
    </w:p>
    <w:p>
      <w:pPr>
        <w:spacing w:before="20" w:after="20"/>
        <w:ind w:left="240" w:hanging="240"/>
      </w:pPr>
      <w:r>
        <w:rPr>
          <w:b/>
          <w:bCs/>
          <w:color w:val="353A7C"/>
          <w:sz w:val="15"/>
          <w:szCs w:val="15"/>
        </w:rPr>
        <w:t xml:space="preserve">Summary 2   </w:t>
      </w:r>
      <w:r>
        <w:rPr>
          <w:color w:val="6B7280"/>
          <w:sz w:val="15"/>
          <w:szCs w:val="15"/>
        </w:rPr>
        <w:t xml:space="preserve">Tax depreciation faster than book: less tax now, more later: deferred tax liability. Warranty accrued now, deductible when paid: more tax now, less later: deferred tax asset. Fines and municipal interest: permanent, no deferred tax.</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Measuring current and deferred taxes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U.S. GAAP uses the balance sheet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tax is taxable income times the tax rate. </w:t>
      </w:r>
      <w:r>
        <w:rPr>
          <w:sz w:val="19"/>
          <w:szCs w:val="19"/>
        </w:rPr>
        <w:t xml:space="preserve">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assets are the temporary differences times the enacted tax rate that will apply when they reverse. </w:t>
      </w:r>
      <w:r>
        <w:rPr>
          <w:sz w:val="19"/>
          <w:szCs w:val="19"/>
        </w:rPr>
        <w:t xml:space="preserve">Deferred tax expense is the change in the net deferred tax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during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liability   ·   approach   ·   interest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2026 income tax</w:t>
            </w:r>
          </w:p>
        </w:tc>
      </w:tr>
    </w:tbl>
    <w:p/>
    <w:p>
      <w:pPr>
        <w:spacing w:before="44" w:after="14"/>
      </w:pPr>
      <w:r>
        <w:rPr>
          <w:b/>
          <w:bCs/>
          <w:color w:val="353A7C"/>
          <w:sz w:val="18"/>
          <w:szCs w:val="18"/>
        </w:rPr>
        <w:t xml:space="preserve">Summary 2</w:t>
      </w:r>
      <w:r>
        <w:rPr>
          <w:color w:val="6B7280"/>
          <w:sz w:val="16"/>
          <w:szCs w:val="16"/>
        </w:rPr>
        <w:t xml:space="preserve">      gaps 5–11</w:t>
      </w:r>
    </w:p>
    <w:p>
      <w:pPr>
        <w:spacing w:before="20" w:after="20" w:line="360" w:lineRule="auto"/>
        <w:ind w:left="200"/>
      </w:pPr>
      <w:r>
        <w:rPr>
          <w:sz w:val="19"/>
          <w:szCs w:val="19"/>
        </w:rPr>
        <w:t xml:space="preserve">Suppose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earns $2,000,000 before tax in 2026. </w:t>
      </w:r>
      <w:r>
        <w:rPr>
          <w:sz w:val="19"/>
          <w:szCs w:val="19"/>
        </w:rPr>
        <w:t xml:space="preserve">It removes the permanent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municipal interest of $20,000 and a fine of $10,000. </w:t>
      </w:r>
      <w:r>
        <w:rPr>
          <w:sz w:val="19"/>
          <w:szCs w:val="19"/>
        </w:rPr>
        <w:t xml:space="preserve">New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$900,000. </w:t>
      </w:r>
      <w:r>
        <w:rPr>
          <w:sz w:val="19"/>
          <w:szCs w:val="19"/>
        </w:rPr>
        <w:t xml:space="preserve">Tax law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100% bonus depreciation, but book depreciation is $300,000. </w:t>
      </w:r>
      <w:r>
        <w:rPr>
          <w:sz w:val="19"/>
          <w:szCs w:val="19"/>
        </w:rPr>
        <w:t xml:space="preserve">The difference of $600,000 reduces taxable income now: a taxable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difference.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warranty from,000, but only $22,000 of repairs were paid. </w:t>
      </w:r>
      <w:r>
        <w:rPr>
          <w:sz w:val="19"/>
          <w:szCs w:val="19"/>
        </w:rPr>
        <w:t xml:space="preserve">The $38,000 not yet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increases taxable income now. </w:t>
      </w:r>
      <w:r>
        <w:rPr>
          <w:sz w:val="19"/>
          <w:szCs w:val="19"/>
        </w:rPr>
        <w:t xml:space="preserve">Taxable income is $1,428,000, so current tax is $357,000.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dispenser   ·   balance   ·   temporary   ·   equipment   ·   differences   ·   deductible   ·   allows   ·   Orontes</w:t>
            </w:r>
          </w:p>
        </w:tc>
      </w:tr>
    </w:tbl>
    <w:p/>
    <w:p>
      <w:pPr>
        <w:spacing w:before="44" w:after="10"/>
      </w:pPr>
      <w:r>
        <w:rPr>
          <w:b/>
          <w:bCs/>
          <w:color w:val="353A7C"/>
          <w:sz w:val="18"/>
          <w:szCs w:val="18"/>
        </w:rPr>
        <w:t xml:space="preserve">Suppose: Orontes's 2026 taxable income and current tax</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(book)   ·   Current tax expense at 25%</w:t>
            </w:r>
          </w:p>
        </w:tc>
      </w:tr>
    </w:tbl>
    <w:p/>
    <w:p>
      <w:pPr>
        <w:spacing w:before="44" w:after="14"/>
      </w:pPr>
      <w:r>
        <w:rPr>
          <w:b/>
          <w:bCs/>
          <w:color w:val="353A7C"/>
          <w:sz w:val="18"/>
          <w:szCs w:val="18"/>
        </w:rPr>
        <w:t xml:space="preserve">Summary 3</w:t>
      </w:r>
      <w:r>
        <w:rPr>
          <w:color w:val="6B7280"/>
          <w:sz w:val="16"/>
          <w:szCs w:val="16"/>
        </w:rPr>
        <w:t xml:space="preserve">      gaps 13–17</w:t>
      </w:r>
    </w:p>
    <w:p>
      <w:pPr>
        <w:spacing w:before="20" w:after="20" w:line="360" w:lineRule="auto"/>
        <w:ind w:left="200"/>
      </w:pPr>
      <w:r>
        <w:rPr>
          <w:sz w:val="19"/>
          <w:szCs w:val="19"/>
        </w:rPr>
        <w:t xml:space="preserve">Deferred taxes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same differences.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creates a deferred tax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$150,000, and the warranty a deferred tax asset of $9,500. </w:t>
      </w:r>
      <w:r>
        <w:rPr>
          <w:sz w:val="19"/>
          <w:szCs w:val="19"/>
        </w:rPr>
        <w:t xml:space="preserve">Deferred tax expense is $140,500, so total income tax expense is $497,500.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tax rate is total tax expense divided by pretax income: 24.875%. </w:t>
      </w:r>
      <w:r>
        <w:rPr>
          <w:sz w:val="19"/>
          <w:szCs w:val="19"/>
        </w:rPr>
        <w:t xml:space="preserve">It differs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25% only because of the permanent differences.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depreciation   ·   effective   ·   equipment   ·   statutory   ·   follow</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2026 income tax expense and rate reconciliation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 of pretax income</w:t>
            </w:r>
          </w:p>
        </w:tc>
      </w:tr>
      <w:tr>
        <w:tc>
          <w:tcPr>
            <w:tcW w:type="pct" w:w="2200"/>
            <w:tcMar>
              <w:top w:type="dxa" w:w="50"/>
              <w:left w:type="dxa" w:w="110"/>
              <w:bottom w:type="dxa" w:w="50"/>
              <w:right w:type="dxa" w:w="110"/>
            </w:tcMar>
          </w:tcPr>
          <w:p>
            <w:pPr>
              <w:spacing w:before="28" w:after="28"/>
            </w:pPr>
            <w:r>
              <w:rPr>
                <w:sz w:val="15"/>
                <w:szCs w:val="15"/>
              </w:rPr>
              <w:t xml:space="preserve">Current tax expense</w:t>
            </w:r>
          </w:p>
        </w:tc>
        <w:tc>
          <w:tcPr>
            <w:tcW w:type="pct" w:w="1400"/>
            <w:tcMar>
              <w:top w:type="dxa" w:w="50"/>
              <w:left w:type="dxa" w:w="110"/>
              <w:bottom w:type="dxa" w:w="50"/>
              <w:right w:type="dxa" w:w="110"/>
            </w:tcMar>
          </w:tcPr>
          <w:p>
            <w:pPr>
              <w:spacing w:before="28" w:after="28"/>
            </w:pPr>
            <w:r>
              <w:rPr>
                <w:sz w:val="15"/>
                <w:szCs w:val="15"/>
              </w:rPr>
              <w:t xml:space="preserve">357,000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25% × 600,000</w:t>
            </w:r>
          </w:p>
        </w:tc>
        <w:tc>
          <w:tcPr>
            <w:tcW w:type="pct" w:w="1400"/>
            <w:shd w:fill="FBFAF6" w:val="clear"/>
            <w:tcMar>
              <w:top w:type="dxa" w:w="50"/>
              <w:left w:type="dxa" w:w="110"/>
              <w:bottom w:type="dxa" w:w="50"/>
              <w:right w:type="dxa" w:w="110"/>
            </w:tcMar>
          </w:tcPr>
          <w:p>
            <w:pPr>
              <w:spacing w:before="28" w:after="28"/>
            </w:pPr>
            <w:r>
              <w:rPr>
                <w:sz w:val="15"/>
                <w:szCs w:val="15"/>
              </w:rPr>
              <w:t xml:space="preserve">150,000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25% × 38,000</w:t>
            </w:r>
          </w:p>
        </w:tc>
        <w:tc>
          <w:tcPr>
            <w:tcW w:type="pct" w:w="1400"/>
            <w:tcMar>
              <w:top w:type="dxa" w:w="50"/>
              <w:left w:type="dxa" w:w="110"/>
              <w:bottom w:type="dxa" w:w="50"/>
              <w:right w:type="dxa" w:w="110"/>
            </w:tcMar>
          </w:tcPr>
          <w:p>
            <w:pPr>
              <w:spacing w:before="28" w:after="28"/>
            </w:pPr>
            <w:r>
              <w:rPr>
                <w:sz w:val="15"/>
                <w:szCs w:val="15"/>
              </w:rPr>
              <w:t xml:space="preserve">(9,500)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0"/>
            <w:shd w:fill="FBFAF6" w:val="clear"/>
            <w:tcMar>
              <w:top w:type="dxa" w:w="50"/>
              <w:left w:type="dxa" w:w="110"/>
              <w:bottom w:type="dxa" w:w="50"/>
              <w:right w:type="dxa" w:w="110"/>
            </w:tcMar>
          </w:tcPr>
          <w:p>
            <w:pPr>
              <w:spacing w:before="28" w:after="28"/>
            </w:pPr>
            <w:r>
              <w:rPr>
                <w:sz w:val="15"/>
                <w:szCs w:val="15"/>
              </w:rPr>
              <w:t xml:space="preserve">140,500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0"/>
            <w:tcMar>
              <w:top w:type="dxa" w:w="50"/>
              <w:left w:type="dxa" w:w="110"/>
              <w:bottom w:type="dxa" w:w="50"/>
              <w:right w:type="dxa" w:w="110"/>
            </w:tcMar>
          </w:tcPr>
          <w:p>
            <w:pPr>
              <w:spacing w:before="28" w:after="28"/>
            </w:pPr>
            <w:r>
              <w:rPr>
                <w:sz w:val="15"/>
                <w:szCs w:val="15"/>
              </w:rPr>
              <w:t xml:space="preserve">497,500</w:t>
            </w:r>
          </w:p>
        </w:tc>
        <w:tc>
          <w:tcPr>
            <w:tcW w:type="pct" w:w="1400"/>
            <w:tcMar>
              <w:top w:type="dxa" w:w="50"/>
              <w:left w:type="dxa" w:w="110"/>
              <w:bottom w:type="dxa" w:w="50"/>
              <w:right w:type="dxa" w:w="110"/>
            </w:tcMar>
          </w:tcPr>
          <w:p>
            <w:pPr>
              <w:spacing w:before="28" w:after="28"/>
            </w:pPr>
            <w:r>
              <w:rPr>
                <w:sz w:val="15"/>
                <w:szCs w:val="15"/>
              </w:rPr>
              <w:t xml:space="preserve">24.875%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Rate reconciliation (ASU 2023-09 style)</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Tax at the statutory rate: 25% × 2,000,000</w:t>
            </w:r>
          </w:p>
        </w:tc>
        <w:tc>
          <w:tcPr>
            <w:tcW w:type="pct" w:w="1400"/>
            <w:tcMar>
              <w:top w:type="dxa" w:w="50"/>
              <w:left w:type="dxa" w:w="110"/>
              <w:bottom w:type="dxa" w:w="50"/>
              <w:right w:type="dxa" w:w="110"/>
            </w:tcMar>
          </w:tcPr>
          <w:p>
            <w:pPr>
              <w:spacing w:before="28" w:after="28"/>
            </w:pPr>
            <w:r>
              <w:rPr>
                <w:sz w:val="15"/>
                <w:szCs w:val="15"/>
              </w:rPr>
              <w:t xml:space="preserve">500,000</w:t>
            </w:r>
          </w:p>
        </w:tc>
        <w:tc>
          <w:tcPr>
            <w:tcW w:type="pct" w:w="1400"/>
            <w:tcMar>
              <w:top w:type="dxa" w:w="50"/>
              <w:left w:type="dxa" w:w="110"/>
              <w:bottom w:type="dxa" w:w="50"/>
              <w:right w:type="dxa" w:w="110"/>
            </w:tcMar>
          </w:tcPr>
          <w:p>
            <w:pPr>
              <w:spacing w:before="28" w:after="28"/>
            </w:pPr>
            <w:r>
              <w:rPr>
                <w:sz w:val="15"/>
                <w:szCs w:val="15"/>
              </w:rPr>
              <w:t xml:space="preserve">25.000%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Nontaxable or nondeductible items: municipal interest</w:t>
            </w:r>
          </w:p>
        </w:tc>
        <w:tc>
          <w:tcPr>
            <w:tcW w:type="pct" w:w="1400"/>
            <w:shd w:fill="FBFAF6" w:val="clear"/>
            <w:tcMar>
              <w:top w:type="dxa" w:w="50"/>
              <w:left w:type="dxa" w:w="110"/>
              <w:bottom w:type="dxa" w:w="50"/>
              <w:right w:type="dxa" w:w="110"/>
            </w:tcMar>
          </w:tcPr>
          <w:p>
            <w:pPr>
              <w:spacing w:before="28" w:after="28"/>
            </w:pPr>
            <w:r>
              <w:rPr>
                <w:sz w:val="15"/>
                <w:szCs w:val="15"/>
              </w:rPr>
              <w:t xml:space="preserve">(5,000)</w:t>
            </w:r>
          </w:p>
        </w:tc>
        <w:tc>
          <w:tcPr>
            <w:tcW w:type="pct" w:w="1400"/>
            <w:shd w:fill="FBFAF6" w:val="clear"/>
            <w:tcMar>
              <w:top w:type="dxa" w:w="50"/>
              <w:left w:type="dxa" w:w="110"/>
              <w:bottom w:type="dxa" w:w="50"/>
              <w:right w:type="dxa" w:w="110"/>
            </w:tcMar>
          </w:tcPr>
          <w:p>
            <w:pPr>
              <w:spacing w:before="28" w:after="28"/>
            </w:pPr>
            <w:r>
              <w:rPr>
                <w:sz w:val="15"/>
                <w:szCs w:val="15"/>
              </w:rPr>
              <w:t xml:space="preserve">-0.250%</w:t>
            </w:r>
          </w:p>
        </w:tc>
      </w:tr>
      <w:tr>
        <w:tc>
          <w:tcPr>
            <w:tcW w:type="pct" w:w="2200"/>
            <w:tcMar>
              <w:top w:type="dxa" w:w="50"/>
              <w:left w:type="dxa" w:w="110"/>
              <w:bottom w:type="dxa" w:w="50"/>
              <w:right w:type="dxa" w:w="110"/>
            </w:tcMar>
          </w:tcPr>
          <w:p>
            <w:pPr>
              <w:spacing w:before="28" w:after="28"/>
            </w:pPr>
            <w:r>
              <w:rPr>
                <w:sz w:val="15"/>
                <w:szCs w:val="15"/>
              </w:rPr>
              <w:t xml:space="preserve">Nontaxable or nondeductible items: fine</w:t>
            </w:r>
          </w:p>
        </w:tc>
        <w:tc>
          <w:tcPr>
            <w:tcW w:type="pct" w:w="1400"/>
            <w:tcMar>
              <w:top w:type="dxa" w:w="50"/>
              <w:left w:type="dxa" w:w="110"/>
              <w:bottom w:type="dxa" w:w="50"/>
              <w:right w:type="dxa" w:w="110"/>
            </w:tcMar>
          </w:tcPr>
          <w:p>
            <w:pPr>
              <w:spacing w:before="28" w:after="28"/>
            </w:pPr>
            <w:r>
              <w:rPr>
                <w:sz w:val="15"/>
                <w:szCs w:val="15"/>
              </w:rPr>
              <w:t xml:space="preserve">2,500</w:t>
            </w:r>
          </w:p>
        </w:tc>
        <w:tc>
          <w:tcPr>
            <w:tcW w:type="pct" w:w="1400"/>
            <w:tcMar>
              <w:top w:type="dxa" w:w="50"/>
              <w:left w:type="dxa" w:w="110"/>
              <w:bottom w:type="dxa" w:w="50"/>
              <w:right w:type="dxa" w:w="110"/>
            </w:tcMar>
          </w:tcPr>
          <w:p>
            <w:pPr>
              <w:spacing w:before="28" w:after="28"/>
            </w:pPr>
            <w:r>
              <w:rPr>
                <w:sz w:val="15"/>
                <w:szCs w:val="15"/>
              </w:rPr>
              <w:t xml:space="preserve">0.125%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Income tax expense and effective tax rate</w:t>
            </w:r>
          </w:p>
        </w:tc>
        <w:tc>
          <w:tcPr>
            <w:tcW w:type="pct" w:w="1400"/>
            <w:shd w:fill="FBFAF6" w:val="clear"/>
            <w:tcMar>
              <w:top w:type="dxa" w:w="50"/>
              <w:left w:type="dxa" w:w="110"/>
              <w:bottom w:type="dxa" w:w="50"/>
              <w:right w:type="dxa" w:w="110"/>
            </w:tcMar>
          </w:tcPr>
          <w:p>
            <w:pPr>
              <w:spacing w:before="28" w:after="28"/>
            </w:pPr>
            <w:r>
              <w:rPr>
                <w:sz w:val="15"/>
                <w:szCs w:val="15"/>
              </w:rPr>
              <w:t xml:space="preserve">497,500</w:t>
            </w:r>
          </w:p>
        </w:tc>
        <w:tc>
          <w:tcPr>
            <w:tcW w:type="pct" w:w="1400"/>
            <w:shd w:fill="FBFAF6" w:val="clear"/>
            <w:tcMar>
              <w:top w:type="dxa" w:w="50"/>
              <w:left w:type="dxa" w:w="110"/>
              <w:bottom w:type="dxa" w:w="50"/>
              <w:right w:type="dxa" w:w="110"/>
            </w:tcMar>
          </w:tcPr>
          <w:p>
            <w:pPr>
              <w:spacing w:before="28" w:after="28"/>
            </w:pPr>
            <w:r>
              <w:rPr>
                <w:sz w:val="15"/>
                <w:szCs w:val="15"/>
              </w:rPr>
              <w:t xml:space="preserve">24.875%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expense   ·   Nontaxable or nondeductible items   ·   Deferred tax liability created   ·   Deferred tax asset created   ·   Total income tax expense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the differences</w:t>
            </w:r>
          </w:p>
        </w:tc>
      </w:tr>
    </w:tbl>
    <w:p/>
    <w:p>
      <w:pPr>
        <w:spacing w:before="20" w:after="20" w:line="360" w:lineRule="auto"/>
        <w:ind w:left="200"/>
      </w:pPr>
      <w:r>
        <w:rPr>
          <w:sz w:val="19"/>
          <w:szCs w:val="19"/>
        </w:rPr>
        <w:t xml:space="preserve">The first two are done. Classify the other four and say what each creates.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the differences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00"/>
            <w:tcMar>
              <w:top w:type="dxa" w:w="50"/>
              <w:left w:type="dxa" w:w="110"/>
              <w:bottom w:type="dxa" w:w="50"/>
              <w:right w:type="dxa" w:w="110"/>
            </w:tcMar>
          </w:tcPr>
          <w:p>
            <w:pPr>
              <w:spacing w:before="28" w:after="28"/>
            </w:pPr>
            <w:r>
              <w:rPr>
                <w:sz w:val="15"/>
                <w:szCs w:val="15"/>
              </w:rPr>
              <w:t xml:space="preserve">Permanent</w:t>
            </w:r>
          </w:p>
        </w:tc>
        <w:tc>
          <w:tcPr>
            <w:tcW w:type="pct" w:w="1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Tax depreciation faster than book depreciation</w:t>
            </w:r>
          </w:p>
        </w:tc>
        <w:tc>
          <w:tcPr>
            <w:tcW w:type="pct" w:w="14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400"/>
            <w:shd w:fill="FBFAF6" w:val="clear"/>
            <w:tcMar>
              <w:top w:type="dxa" w:w="50"/>
              <w:left w:type="dxa" w:w="110"/>
              <w:bottom w:type="dxa" w:w="50"/>
              <w:right w:type="dxa" w:w="110"/>
            </w:tcMar>
          </w:tcPr>
          <w:p>
            <w:pPr>
              <w:spacing w:before="28" w:after="28"/>
            </w:pPr>
            <w:r>
              <w:rPr>
                <w:sz w:val="15"/>
                <w:szCs w:val="15"/>
              </w:rPr>
              <w:t xml:space="preserve">DTL</w:t>
            </w:r>
          </w:p>
        </w:tc>
      </w:tr>
      <w:tr>
        <w:tc>
          <w:tcPr>
            <w:tcW w:type="pct" w:w="2200"/>
            <w:tcMar>
              <w:top w:type="dxa" w:w="50"/>
              <w:left w:type="dxa" w:w="110"/>
              <w:bottom w:type="dxa" w:w="50"/>
              <w:right w:type="dxa" w:w="110"/>
            </w:tcMar>
          </w:tcPr>
          <w:p>
            <w:pPr>
              <w:spacing w:before="28" w:after="28"/>
            </w:pPr>
            <w:r>
              <w:rPr>
                <w:sz w:val="15"/>
                <w:szCs w:val="15"/>
              </w:rPr>
              <w:t xml:space="preserve">Warranty expense accrued now, deducted for tax when repairs are paid</w:t>
            </w:r>
          </w:p>
        </w:tc>
        <w:tc>
          <w:tcPr>
            <w:tcW w:type="pct" w:w="1400"/>
            <w:tcMar>
              <w:top w:type="dxa" w:w="50"/>
              <w:left w:type="dxa" w:w="110"/>
              <w:bottom w:type="dxa" w:w="50"/>
              <w:right w:type="dxa" w:w="110"/>
            </w:tcMar>
          </w:tcPr>
          <w:p>
            <w:pPr>
              <w:spacing w:before="28" w:after="28"/>
            </w:pPr>
            <w:r>
              <w:rPr>
                <w:sz w:val="15"/>
                <w:szCs w:val="15"/>
              </w:rPr>
              <w:t xml:space="preserve">________</w:t>
            </w:r>
          </w:p>
        </w:tc>
        <w:tc>
          <w:tcPr>
            <w:tcW w:type="pct" w:w="1400"/>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 for breaking an environmental law</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00"/>
            <w:tcMar>
              <w:top w:type="dxa" w:w="50"/>
              <w:left w:type="dxa" w:w="110"/>
              <w:bottom w:type="dxa" w:w="50"/>
              <w:right w:type="dxa" w:w="110"/>
            </w:tcMar>
          </w:tcPr>
          <w:p>
            <w:pPr>
              <w:spacing w:before="28" w:after="28"/>
            </w:pPr>
            <w:r>
              <w:rPr>
                <w:sz w:val="15"/>
                <w:szCs w:val="15"/>
              </w:rPr>
              <w:t xml:space="preserve">________</w:t>
            </w:r>
          </w:p>
        </w:tc>
        <w:tc>
          <w:tcPr>
            <w:tcW w:type="pct" w:w="1400"/>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Equity-method income, taxed only when dividends are received</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Temporary, taxable   ·   valuation allowance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أصل ضريبي مؤجل   ·   enacted tax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ضريبي مؤجل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ضريبي مؤجل</w:t>
            </w:r>
          </w:p>
        </w:tc>
      </w:tr>
      <w:tr>
        <w:tc>
          <w:tcPr>
            <w:tcW w:type="pct" w:w="2400"/>
            <w:tcMar>
              <w:top w:type="dxa" w:w="50"/>
              <w:left w:type="dxa" w:w="110"/>
              <w:bottom w:type="dxa" w:w="50"/>
              <w:right w:type="dxa" w:w="110"/>
            </w:tcMar>
          </w:tcPr>
          <w:p>
            <w:pPr>
              <w:spacing w:before="26" w:after="26"/>
            </w:pPr>
            <w:r>
              <w:rPr>
                <w:color w:val="232733"/>
                <w:sz w:val="16"/>
                <w:szCs w:val="16"/>
              </w:rPr>
              <w:t xml:space="preserve">enacted tax rate</w:t>
            </w:r>
          </w:p>
        </w:tc>
        <w:tc>
          <w:tcPr>
            <w:tcW w:type="pct" w:w="2600"/>
            <w:tcMar>
              <w:top w:type="dxa" w:w="50"/>
              <w:left w:type="dxa" w:w="110"/>
              <w:bottom w:type="dxa" w:w="50"/>
              <w:right w:type="dxa" w:w="110"/>
            </w:tcMar>
          </w:tcPr>
          <w:p>
            <w:pPr>
              <w:spacing w:before="26" w:after="26"/>
            </w:pPr>
            <w:r>
              <w:rPr>
                <w:color w:val="232733"/>
                <w:sz w:val="16"/>
                <w:szCs w:val="16"/>
              </w:rPr>
              <w:t xml:space="preserve">معدل الضريبة المُقر (المسنون)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tax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الضريبة الفعلي</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Measuring current and deferred taxes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statutory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Deferred tax liability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Deferred tax asset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Deferred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 income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temporary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enacted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Current tax expense at 25%</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effective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follow</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before="20" w:after="20"/>
        <w:ind w:left="240" w:hanging="240"/>
      </w:pPr>
      <w:r>
        <w:rPr>
          <w:b/>
          <w:bCs/>
          <w:color w:val="353A7C"/>
          <w:sz w:val="15"/>
          <w:szCs w:val="15"/>
        </w:rPr>
        <w:t xml:space="preserve">Summary 2   </w:t>
      </w:r>
      <w:r>
        <w:rPr>
          <w:color w:val="6B7280"/>
          <w:sz w:val="15"/>
          <w:szCs w:val="15"/>
        </w:rPr>
        <w:t xml:space="preserve">Suppose Orontes earns $2,000,000 before tax in 2026. It removes the permanent differences: municipal interest of $20,000 and a fine of $10,000. New equipment costs $900,000. Tax law allows 100% bonus depreciation, but book depreciation is $300,000. The difference of $600,000 reduces taxable income now: a taxable temporary difference. The dispenser warranty from,000, but only $22,000 of repairs were paid. The $38,000 not yet deductible increases taxable income now. Taxable income is $1,428,000, so current tax is $357,000.</w:t>
      </w:r>
    </w:p>
    <w:p>
      <w:pPr>
        <w:spacing w:before="20" w:after="20"/>
        <w:ind w:left="240" w:hanging="240"/>
      </w:pPr>
      <w:r>
        <w:rPr>
          <w:b/>
          <w:bCs/>
          <w:color w:val="353A7C"/>
          <w:sz w:val="15"/>
          <w:szCs w:val="15"/>
        </w:rPr>
        <w:t xml:space="preserve">Summary 3   </w:t>
      </w:r>
      <w:r>
        <w:rPr>
          <w:color w:val="6B7280"/>
          <w:sz w:val="15"/>
          <w:szCs w:val="15"/>
        </w:rPr>
        <w:t xml:space="preserve">Deferred taxes follow from the same differences. The equipment creates a deferred tax liability of $150,000, and the warranty a deferred tax asset of $9,500. Deferred tax expense is $140,500, so total income tax expense is $497,500. The effective tax rate is total tax expense divided by pretax income: 24.875%. It differs from the statutory 25% only because of the permanent differences.</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Rate changes, valuation allowances, losses and presentation</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new tax law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rate,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deferred taxes at once. </w:t>
      </w:r>
      <w:r>
        <w:rPr>
          <w:sz w:val="19"/>
          <w:szCs w:val="19"/>
        </w:rPr>
        <w:t xml:space="preserve">The whole effect goes to income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operations in the period that includes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date, even if the original item was in OCI. </w:t>
      </w:r>
      <w:r>
        <w:rPr>
          <w:sz w:val="19"/>
          <w:szCs w:val="19"/>
        </w:rPr>
        <w:t xml:space="preserve">For example, a U.S. tax law signed on July 4, 2025 changed 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companies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effects in the quarter that included that date.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law enacted in 2027 cuts the rate to 21% from 2028. </w:t>
      </w:r>
      <w:r>
        <w:rPr>
          <w:sz w:val="19"/>
          <w:szCs w:val="19"/>
        </w:rPr>
        <w:t xml:space="preserve">At the end of 2027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falls from $75,000 to $63,000. </w:t>
      </w:r>
      <w:r>
        <w:rPr>
          <w:sz w:val="19"/>
          <w:szCs w:val="19"/>
        </w:rPr>
        <w:t xml:space="preserve">The $12,000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 benefit in 2027. </w:t>
      </w:r>
      <w:r>
        <w:rPr>
          <w:sz w:val="19"/>
          <w:szCs w:val="19"/>
        </w:rPr>
        <w:t xml:space="preserve">A deferred tax asset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only if the company will have enough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income to use it. </w:t>
      </w:r>
      <w:r>
        <w:rPr>
          <w:sz w:val="19"/>
          <w:szCs w:val="19"/>
        </w:rPr>
        <w:t xml:space="preserve">If it is more likely than not that some of the asset will not be realized, the company records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useful   ·   deduction   ·   operating   ·   remeasures   ·   recorded   ·   valuation   ·   taxable   ·   changes   ·   liability   ·   continuing   ·   Suppose   ·   enactment   ·   decrease</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A tax loss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net operating loss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which is a deferred tax asset. </w:t>
      </w:r>
      <w:r>
        <w:rPr>
          <w:sz w:val="19"/>
          <w:szCs w:val="19"/>
        </w:rPr>
        <w:t xml:space="preserve">Under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U.S. federal law, most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cannot be carried back. </w:t>
      </w:r>
      <w:r>
        <w:rPr>
          <w:sz w:val="19"/>
          <w:szCs w:val="19"/>
        </w:rPr>
        <w:t xml:space="preserve">They can be carried forward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 time limit, but they can reduce only 80% of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income in any year. </w:t>
      </w:r>
      <w:r>
        <w:rPr>
          <w:sz w:val="19"/>
          <w:szCs w:val="19"/>
        </w:rPr>
        <w:t xml:space="preserve">All deferred tax assets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are noncurrent. </w:t>
      </w:r>
      <w:r>
        <w:rPr>
          <w:sz w:val="19"/>
          <w:szCs w:val="19"/>
        </w:rPr>
        <w:t xml:space="preserve">Within one tax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they are offset and shown as one net amount. </w:t>
      </w:r>
      <w:r>
        <w:rPr>
          <w:sz w:val="19"/>
          <w:szCs w:val="19"/>
        </w:rPr>
        <w:t xml:space="preserve">Tax is also allocated within the period: Orontes's OCI loss was shown net of its $375 tax effect, and discontinued operations carry their own tax. </w:t>
      </w:r>
      <w:r>
        <w:rPr>
          <w:sz w:val="19"/>
          <w:szCs w:val="19"/>
        </w:rPr>
        <w:t xml:space="preserve">This is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creates   ·   jurisdiction   ·   without   ·   current   ·   quarter   ·   liabilities   ·   carryforward   ·   losses   ·   taxable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Rate and allowance traps</w:t>
            </w:r>
          </w:p>
        </w:tc>
      </w:tr>
    </w:tbl>
    <w:p/>
    <w:p>
      <w:pPr>
        <w:spacing w:before="44" w:after="14"/>
      </w:pPr>
      <w:r>
        <w:rPr>
          <w:b/>
          <w:bCs/>
          <w:color w:val="353A7C"/>
          <w:sz w:val="18"/>
          <w:szCs w:val="18"/>
        </w:rPr>
        <w:t xml:space="preserve">Summary 3</w:t>
      </w:r>
      <w:r>
        <w:rPr>
          <w:color w:val="6B7280"/>
          <w:sz w:val="16"/>
          <w:szCs w:val="16"/>
        </w:rPr>
        <w:t xml:space="preserve">      gaps 21–27</w:t>
      </w:r>
    </w:p>
    <w:p>
      <w:pPr>
        <w:spacing w:before="20" w:after="20" w:line="360" w:lineRule="auto"/>
        <w:ind w:left="200"/>
      </w:pPr>
      <w:r>
        <w:rPr>
          <w:sz w:val="19"/>
          <w:szCs w:val="19"/>
        </w:rPr>
        <w:t xml:space="preserve">Use enacted rates only;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but unsigned rate is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Record the full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of a rate change in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operations when the law is enacted. </w:t>
      </w:r>
      <w:r>
        <w:rPr>
          <w:sz w:val="19"/>
          <w:szCs w:val="19"/>
        </w:rPr>
        <w:t xml:space="preserve">Record the full DTA, then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allowance: do not record only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w:t>
      </w:r>
      <w:r>
        <w:rPr>
          <w:sz w:val="19"/>
          <w:szCs w:val="19"/>
        </w:rPr>
        <w:t xml:space="preserve">An uncertain tax position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only if it is more likely than not to be accepted by the tax authority. </w:t>
      </w:r>
      <w:r>
        <w:rPr>
          <w:sz w:val="19"/>
          <w:szCs w:val="19"/>
        </w:rPr>
        <w:t xml:space="preserve">The global minimum tax (Pillar Two) is treated as a current cost in the year it arises, with no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probable   ·   recognized   ·   ignored   ·   effect   ·   valuation   ·   current   ·   continuing   ·   announced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intraperiod tax allocation   ·   net operating loss carryforward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tcMar>
              <w:top w:type="dxa" w:w="50"/>
              <w:left w:type="dxa" w:w="110"/>
              <w:bottom w:type="dxa" w:w="50"/>
              <w:right w:type="dxa" w:w="110"/>
            </w:tcMar>
          </w:tcPr>
          <w:p>
            <w:pPr>
              <w:spacing w:before="26" w:after="26"/>
            </w:pPr>
            <w:r>
              <w:rPr>
                <w:color w:val="232733"/>
                <w:sz w:val="16"/>
                <w:szCs w:val="16"/>
              </w:rPr>
              <w:t xml:space="preserve">مخصص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ترحيل صافي الخسارة التشغيلية</w:t>
            </w:r>
          </w:p>
        </w:tc>
      </w:tr>
      <w:tr>
        <w:tc>
          <w:tcPr>
            <w:tcW w:type="pct" w:w="2600"/>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tcMar>
              <w:top w:type="dxa" w:w="50"/>
              <w:left w:type="dxa" w:w="110"/>
              <w:bottom w:type="dxa" w:w="50"/>
              <w:right w:type="dxa" w:w="110"/>
            </w:tcMar>
          </w:tcPr>
          <w:p>
            <w:pPr>
              <w:spacing w:before="26" w:after="26"/>
            </w:pPr>
            <w:r>
              <w:rPr>
                <w:color w:val="232733"/>
                <w:sz w:val="16"/>
                <w:szCs w:val="16"/>
              </w:rPr>
              <w:t xml:space="preserve">مركز ضريبي غير مؤكد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Rate changes, valuation allowances, losses and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enactment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announced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ignored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decrease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useful</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taxable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net operating loss carryforward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carryforward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intraperiod tax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current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quarter that included that date. Suppose a law enacted in 2027 cuts the rate to 21% from 2028. At the end of 2027 the liability falls from $75,000 to $63,000. The $12,000 decrease is a benefit in 2027. A deferred tax asset is useful only if the company will have enough taxable income to use it. If it is more likely than not that some of the asset will not be realized, the company records a valuation allowance.</w:t>
      </w:r>
    </w:p>
    <w:p>
      <w:pPr>
        <w:spacing w:before="20" w:after="20"/>
        <w:ind w:left="240" w:hanging="240"/>
      </w:pPr>
      <w:r>
        <w:rPr>
          <w:b/>
          <w:bCs/>
          <w:color w:val="353A7C"/>
          <w:sz w:val="15"/>
          <w:szCs w:val="15"/>
        </w:rPr>
        <w:t xml:space="preserve">Summary 2   </w:t>
      </w:r>
      <w:r>
        <w:rPr>
          <w:color w:val="6B7280"/>
          <w:sz w:val="15"/>
          <w:szCs w:val="15"/>
        </w:rPr>
        <w:t xml:space="preserve">A tax loss creates a net operating loss carryforward, which is a deferred tax asset. Under current U.S. federal law, most losses cannot be carried back. They can be carried forward without a time limit, but they can reduce only 80% of taxable income in any year. All deferred tax assets and liabilities are noncurrent. Within one tax jurisdiction they are offset and shown as one net amount. Tax is also allocated within the period: Orontes's OCI loss was shown net of its $375 tax effect, and discontinued operations carry their own tax. This is intraperiod tax allocation.</w:t>
      </w:r>
    </w:p>
    <w:p>
      <w:pPr>
        <w:spacing w:before="20" w:after="20"/>
        <w:ind w:left="240" w:hanging="240"/>
      </w:pPr>
      <w:r>
        <w:rPr>
          <w:b/>
          <w:bCs/>
          <w:color w:val="353A7C"/>
          <w:sz w:val="15"/>
          <w:szCs w:val="15"/>
        </w:rPr>
        <w:t xml:space="preserve">Summary 3   </w:t>
      </w:r>
      <w:r>
        <w:rPr>
          <w:color w:val="6B7280"/>
          <w:sz w:val="15"/>
          <w:szCs w:val="15"/>
        </w:rPr>
        <w:t xml:space="preserve">Use enacted rates only; an announced but unsigned rate is ignored. Record the full effect of a rate change in continuing operations when the law is enacted. Record the full DTA, then a valuation allowance: do not record only the probable part. An uncertain tax position is recognized only if it is more likely than not to be accepted by the tax authority. The global minimum tax (Pillar Two) is treated as a current cost in the year it arises, with no deferred taxes.</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IFRS differences and disclosures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biggest one for the exam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tax asset: IFRS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only the amount it is probable to use, while U.S. GAAP records the full asset and a separate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deferred   ·   recognizes   ·   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72"/>
        <w:gridCol w:w="4032"/>
        <w:gridCol w:w="34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taxes: U.S. GAAP (ASC 740) and IFRS (IAS 12)</w:t>
            </w:r>
          </w:p>
        </w:tc>
      </w:tr>
      <w:tr>
        <w:tc>
          <w:tcPr>
            <w:tcW w:type="pct" w:w="1079"/>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100"/>
            <w:shd w:fill="353A7C" w:val="clear"/>
            <w:tcMar>
              <w:top w:type="dxa" w:w="50"/>
              <w:left w:type="dxa" w:w="110"/>
              <w:bottom w:type="dxa" w:w="50"/>
              <w:right w:type="dxa" w:w="110"/>
            </w:tcMar>
          </w:tcPr>
          <w:p>
            <w:pPr>
              <w:spacing w:before="30" w:after="30"/>
            </w:pPr>
            <w:r>
              <w:rPr>
                <w:b/>
                <w:bCs/>
                <w:color w:val="FFFFFF"/>
                <w:sz w:val="15"/>
                <w:szCs w:val="15"/>
              </w:rPr>
              <w:t xml:space="preserve">U.S. GAAP (ASC 740)</w:t>
            </w:r>
          </w:p>
        </w:tc>
        <w:tc>
          <w:tcPr>
            <w:tcW w:type="pct" w:w="1821"/>
            <w:shd w:fill="353A7C" w:val="clear"/>
            <w:tcMar>
              <w:top w:type="dxa" w:w="50"/>
              <w:left w:type="dxa" w:w="110"/>
              <w:bottom w:type="dxa" w:w="50"/>
              <w:right w:type="dxa" w:w="110"/>
            </w:tcMar>
          </w:tcPr>
          <w:p>
            <w:pPr>
              <w:spacing w:before="30" w:after="30"/>
            </w:pPr>
            <w:r>
              <w:rPr>
                <w:b/>
                <w:bCs/>
                <w:color w:val="FFFFFF"/>
                <w:sz w:val="15"/>
                <w:szCs w:val="15"/>
              </w:rPr>
              <w:t xml:space="preserve">IFRS (IAS 12)</w:t>
            </w:r>
          </w:p>
        </w:tc>
      </w:tr>
      <w:tr>
        <w:tc>
          <w:tcPr>
            <w:tcW w:type="pct" w:w="1079"/>
            <w:tcMar>
              <w:top w:type="dxa" w:w="50"/>
              <w:left w:type="dxa" w:w="110"/>
              <w:bottom w:type="dxa" w:w="50"/>
              <w:right w:type="dxa" w:w="110"/>
            </w:tcMar>
          </w:tcPr>
          <w:p>
            <w:pPr>
              <w:spacing w:before="28" w:after="28"/>
            </w:pPr>
            <w:r>
              <w:rPr>
                <w:sz w:val="15"/>
                <w:szCs w:val="15"/>
              </w:rPr>
              <w:t xml:space="preserve">Recognizing deferred tax assets</w:t>
            </w:r>
          </w:p>
        </w:tc>
        <w:tc>
          <w:tcPr>
            <w:tcW w:type="pct" w:w="2100"/>
            <w:tcMar>
              <w:top w:type="dxa" w:w="50"/>
              <w:left w:type="dxa" w:w="110"/>
              <w:bottom w:type="dxa" w:w="50"/>
              <w:right w:type="dxa" w:w="110"/>
            </w:tcMar>
          </w:tcPr>
          <w:p>
            <w:pPr>
              <w:spacing w:before="28" w:after="28"/>
            </w:pPr>
            <w:r>
              <w:rPr>
                <w:sz w:val="15"/>
                <w:szCs w:val="15"/>
              </w:rPr>
              <w:t xml:space="preserve">Record the full DTA, then a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if realization is not more likely than not</w:t>
            </w:r>
          </w:p>
        </w:tc>
        <w:tc>
          <w:tcPr>
            <w:tcW w:type="pct" w:w="1821"/>
            <w:tcMar>
              <w:top w:type="dxa" w:w="50"/>
              <w:left w:type="dxa" w:w="110"/>
              <w:bottom w:type="dxa" w:w="50"/>
              <w:right w:type="dxa" w:w="110"/>
            </w:tcMar>
          </w:tcPr>
          <w:p>
            <w:pPr>
              <w:spacing w:before="28" w:after="28"/>
            </w:pPr>
            <w:r>
              <w:rPr>
                <w:sz w:val="15"/>
                <w:szCs w:val="15"/>
              </w:rPr>
              <w:t xml:space="preserve">Recognize only the amount for which taxable profit is probable</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Tax rate</w:t>
            </w:r>
          </w:p>
        </w:tc>
        <w:tc>
          <w:tcPr>
            <w:tcW w:type="pct" w:w="2100"/>
            <w:shd w:fill="FBFAF6" w:val="clear"/>
            <w:tcMar>
              <w:top w:type="dxa" w:w="50"/>
              <w:left w:type="dxa" w:w="110"/>
              <w:bottom w:type="dxa" w:w="50"/>
              <w:right w:type="dxa" w:w="110"/>
            </w:tcMar>
          </w:tcPr>
          <w:p>
            <w:pPr>
              <w:spacing w:before="28" w:after="28"/>
            </w:pPr>
            <w:r>
              <w:rPr>
                <w:sz w:val="15"/>
                <w:szCs w:val="15"/>
              </w:rPr>
              <w:t xml:space="preserve">Enacted rates only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079"/>
            <w:tcMar>
              <w:top w:type="dxa" w:w="50"/>
              <w:left w:type="dxa" w:w="110"/>
              <w:bottom w:type="dxa" w:w="50"/>
              <w:right w:type="dxa" w:w="110"/>
            </w:tcMar>
          </w:tcPr>
          <w:p>
            <w:pPr>
              <w:spacing w:before="28" w:after="28"/>
            </w:pPr>
            <w:r>
              <w:rPr>
                <w:sz w:val="15"/>
                <w:szCs w:val="15"/>
              </w:rPr>
              <w:t xml:space="preserve">Initial recognition exemption</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821"/>
            <w:tcMar>
              <w:top w:type="dxa" w:w="50"/>
              <w:left w:type="dxa" w:w="110"/>
              <w:bottom w:type="dxa" w:w="50"/>
              <w:right w:type="dxa" w:w="110"/>
            </w:tcMar>
          </w:tcPr>
          <w:p>
            <w:pPr>
              <w:spacing w:before="28" w:after="28"/>
            </w:pPr>
            <w:r>
              <w:rPr>
                <w:sz w:val="15"/>
                <w:szCs w:val="15"/>
              </w:rPr>
              <w:t xml:space="preserve">Yes, outside business combinations (narrowed in 2021)</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Uncertain tax positions</w:t>
            </w:r>
          </w:p>
        </w:tc>
        <w:tc>
          <w:tcPr>
            <w:tcW w:type="pct" w:w="2100"/>
            <w:shd w:fill="FBFAF6" w:val="clear"/>
            <w:tcMar>
              <w:top w:type="dxa" w:w="50"/>
              <w:left w:type="dxa" w:w="110"/>
              <w:bottom w:type="dxa" w:w="50"/>
              <w:right w:type="dxa" w:w="110"/>
            </w:tcMar>
          </w:tcPr>
          <w:p>
            <w:pPr>
              <w:spacing w:before="28" w:after="28"/>
            </w:pPr>
            <w:r>
              <w:rPr>
                <w:sz w:val="15"/>
                <w:szCs w:val="15"/>
              </w:rPr>
              <w:t xml:space="preserve">Two steps: more likely than not, then largest amount over 50% likely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079"/>
            <w:tcMar>
              <w:top w:type="dxa" w:w="50"/>
              <w:left w:type="dxa" w:w="110"/>
              <w:bottom w:type="dxa" w:w="50"/>
              <w:right w:type="dxa" w:w="110"/>
            </w:tcMar>
          </w:tcPr>
          <w:p>
            <w:pPr>
              <w:spacing w:before="28" w:after="28"/>
            </w:pPr>
            <w:r>
              <w:rPr>
                <w:sz w:val="15"/>
                <w:szCs w:val="15"/>
              </w:rPr>
              <w:t xml:space="preserve">Balance sheet classification</w:t>
            </w:r>
          </w:p>
        </w:tc>
        <w:tc>
          <w:tcPr>
            <w:tcW w:type="pct" w:w="2100"/>
            <w:tcMar>
              <w:top w:type="dxa" w:w="50"/>
              <w:left w:type="dxa" w:w="110"/>
              <w:bottom w:type="dxa" w:w="50"/>
              <w:right w:type="dxa" w:w="110"/>
            </w:tcMar>
          </w:tcPr>
          <w:p>
            <w:pPr>
              <w:spacing w:before="28" w:after="28"/>
            </w:pPr>
            <w:r>
              <w:rPr>
                <w:sz w:val="15"/>
                <w:szCs w:val="15"/>
              </w:rPr>
              <w:t xml:space="preserve">Noncurrent</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Pillar Two top-up tax</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821"/>
            <w:shd w:fill="FBFAF6" w:val="clear"/>
            <w:tcMar>
              <w:top w:type="dxa" w:w="50"/>
              <w:left w:type="dxa" w:w="110"/>
              <w:bottom w:type="dxa" w:w="50"/>
              <w:right w:type="dxa" w:w="110"/>
            </w:tcMar>
          </w:tcPr>
          <w:p>
            <w:pPr>
              <w:spacing w:before="28" w:after="28"/>
            </w:pPr>
            <w:r>
              <w:rPr>
                <w:sz w:val="15"/>
                <w:szCs w:val="15"/>
              </w:rPr>
              <w:t xml:space="preserve">Mandatory exception; no deferred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in general   ·   Period cost; no deferred tax   ·   Mandatory exception; no deferred tax   ·   IFRIC 23: most likely amount or expected value   ·   valuation allowance   ·   Non-current   ·   Enacted or substantively enacted rates</w:t>
            </w:r>
          </w:p>
        </w:tc>
      </w:tr>
    </w:tbl>
    <w:p/>
    <w:p>
      <w:pPr>
        <w:spacing w:before="44" w:after="14"/>
      </w:pPr>
      <w:r>
        <w:rPr>
          <w:b/>
          <w:bCs/>
          <w:color w:val="353A7C"/>
          <w:sz w:val="18"/>
          <w:szCs w:val="18"/>
        </w:rPr>
        <w:t xml:space="preserve">Summary 2</w:t>
      </w:r>
      <w:r>
        <w:rPr>
          <w:color w:val="6B7280"/>
          <w:sz w:val="16"/>
          <w:szCs w:val="16"/>
        </w:rPr>
        <w:t xml:space="preserve">      gaps 10–16</w:t>
      </w:r>
    </w:p>
    <w:p>
      <w:pPr>
        <w:spacing w:before="20" w:after="20" w:line="360" w:lineRule="auto"/>
        <w:ind w:left="200"/>
      </w:pPr>
      <w:r>
        <w:rPr>
          <w:sz w:val="19"/>
          <w:szCs w:val="19"/>
        </w:rPr>
        <w:t xml:space="preserve">ASU 2023-09 is testable now for public companies. </w:t>
      </w:r>
      <w:r>
        <w:rPr>
          <w:sz w:val="19"/>
          <w:szCs w:val="19"/>
        </w:rPr>
        <w:t xml:space="preserve">They show a 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dollars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eight standard categories, and they list separately any item of at least 5% of pretax income times the statutory rate. </w:t>
      </w:r>
      <w:r>
        <w:rPr>
          <w:sz w:val="19"/>
          <w:szCs w:val="19"/>
        </w:rPr>
        <w:t xml:space="preserve">They also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taxes paid by federal, state and foreign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companies that are not public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entities, ASU 2023-09 applies to annual periods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after December 15, 2025. </w:t>
      </w:r>
      <w:r>
        <w:rPr>
          <w:sz w:val="19"/>
          <w:szCs w:val="19"/>
        </w:rPr>
        <w:t xml:space="preserve">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federal   ·   version   ·   reconciliation   ·   business   ·   beginning   ·   jurisdictions   ·   disclose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'Provision for income taxes'</w:t>
            </w:r>
          </w:p>
        </w:tc>
      </w:tr>
    </w:tbl>
    <w:p/>
    <w:p>
      <w:pPr>
        <w:spacing w:before="20" w:after="20" w:line="360" w:lineRule="auto"/>
        <w:ind w:left="200"/>
      </w:pPr>
      <w:r>
        <w:rPr>
          <w:sz w:val="19"/>
          <w:szCs w:val="19"/>
        </w:rPr>
        <w:t xml:space="preserve">U.S. companies often call income tax expense the provision for income taxes. It is an expense, not an IAS 37 provision and not a reserve.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6"/>
        <w:gridCol w:w="477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'Provision for income taxes'</w:t>
            </w:r>
          </w:p>
        </w:tc>
      </w:tr>
      <w:tr>
        <w:tc>
          <w:tcPr>
            <w:tcW w:type="pct" w:w="2514"/>
            <w:shd w:fill="353A7C" w:val="clear"/>
            <w:tcMar>
              <w:top w:type="dxa" w:w="50"/>
              <w:left w:type="dxa" w:w="110"/>
              <w:bottom w:type="dxa" w:w="50"/>
              <w:right w:type="dxa" w:w="110"/>
            </w:tcMar>
          </w:tcPr>
          <w:p>
            <w:pPr>
              <w:spacing w:before="30" w:after="30"/>
            </w:pPr>
            <w:r>
              <w:rPr>
                <w:b/>
                <w:bCs/>
                <w:color w:val="FFFFFF"/>
                <w:sz w:val="15"/>
                <w:szCs w:val="15"/>
              </w:rPr>
              <w:t xml:space="preserve">Barada Wholesale, 2027 (whole USD)</w:t>
            </w:r>
          </w:p>
        </w:tc>
        <w:tc>
          <w:tcPr>
            <w:tcW w:type="pct" w:w="2486"/>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514"/>
            <w:tcMar>
              <w:top w:type="dxa" w:w="50"/>
              <w:left w:type="dxa" w:w="110"/>
              <w:bottom w:type="dxa" w:w="50"/>
              <w:right w:type="dxa" w:w="110"/>
            </w:tcMar>
          </w:tcPr>
          <w:p>
            <w:pPr>
              <w:spacing w:before="28" w:after="28"/>
            </w:pPr>
            <w:r>
              <w:rPr>
                <w:sz w:val="15"/>
                <w:szCs w:val="15"/>
              </w:rPr>
              <w:t xml:space="preserve">Income before income taxes, 2027</w:t>
            </w:r>
          </w:p>
        </w:tc>
        <w:tc>
          <w:tcPr>
            <w:tcW w:type="pct" w:w="2486"/>
            <w:tcMar>
              <w:top w:type="dxa" w:w="50"/>
              <w:left w:type="dxa" w:w="110"/>
              <w:bottom w:type="dxa" w:w="50"/>
              <w:right w:type="dxa" w:w="110"/>
            </w:tcMar>
          </w:tcPr>
          <w:p>
            <w:pPr>
              <w:spacing w:before="28" w:after="28"/>
            </w:pPr>
            <w:r>
              <w:rPr>
                <w:sz w:val="15"/>
                <w:szCs w:val="15"/>
              </w:rPr>
              <w:t xml:space="preserve">400,000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Tax-exempt municipal bond interest included in income</w:t>
            </w:r>
          </w:p>
        </w:tc>
        <w:tc>
          <w:tcPr>
            <w:tcW w:type="pct" w:w="2486"/>
            <w:shd w:fill="FBFAF6" w:val="clear"/>
            <w:tcMar>
              <w:top w:type="dxa" w:w="50"/>
              <w:left w:type="dxa" w:w="110"/>
              <w:bottom w:type="dxa" w:w="50"/>
              <w:right w:type="dxa" w:w="110"/>
            </w:tcMar>
          </w:tcPr>
          <w:p>
            <w:pPr>
              <w:spacing w:before="28" w:after="28"/>
            </w:pPr>
            <w:r>
              <w:rPr>
                <w:sz w:val="15"/>
                <w:szCs w:val="15"/>
              </w:rPr>
              <w:t xml:space="preserve">12,000</w:t>
            </w:r>
          </w:p>
        </w:tc>
      </w:tr>
      <w:tr>
        <w:tc>
          <w:tcPr>
            <w:tcW w:type="pct" w:w="2514"/>
            <w:tcMar>
              <w:top w:type="dxa" w:w="50"/>
              <w:left w:type="dxa" w:w="110"/>
              <w:bottom w:type="dxa" w:w="50"/>
              <w:right w:type="dxa" w:w="110"/>
            </w:tcMar>
          </w:tcPr>
          <w:p>
            <w:pPr>
              <w:spacing w:before="28" w:after="28"/>
            </w:pPr>
            <w:r>
              <w:rPr>
                <w:sz w:val="15"/>
                <w:szCs w:val="15"/>
              </w:rPr>
              <w:t xml:space="preserve">Fine for a late customs filing (not deductible)</w:t>
            </w:r>
          </w:p>
        </w:tc>
        <w:tc>
          <w:tcPr>
            <w:tcW w:type="pct" w:w="2486"/>
            <w:tcMar>
              <w:top w:type="dxa" w:w="50"/>
              <w:left w:type="dxa" w:w="110"/>
              <w:bottom w:type="dxa" w:w="50"/>
              <w:right w:type="dxa" w:w="110"/>
            </w:tcMar>
          </w:tcPr>
          <w:p>
            <w:pPr>
              <w:spacing w:before="28" w:after="28"/>
            </w:pPr>
            <w:r>
              <w:rPr>
                <w:sz w:val="15"/>
                <w:szCs w:val="15"/>
              </w:rPr>
              <w:t xml:space="preserve">6,000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 depreciation above book depreciation in 2027</w:t>
            </w:r>
          </w:p>
        </w:tc>
        <w:tc>
          <w:tcPr>
            <w:tcW w:type="pct" w:w="2486"/>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514"/>
            <w:tcMar>
              <w:top w:type="dxa" w:w="50"/>
              <w:left w:type="dxa" w:w="110"/>
              <w:bottom w:type="dxa" w:w="50"/>
              <w:right w:type="dxa" w:w="110"/>
            </w:tcMar>
          </w:tcPr>
          <w:p>
            <w:pPr>
              <w:spacing w:before="28" w:after="28"/>
            </w:pPr>
            <w:r>
              <w:rPr>
                <w:sz w:val="15"/>
                <w:szCs w:val="15"/>
              </w:rPr>
              <w:t xml:space="preserve">Warranty liability at December 31, 2027 (Chapter 12 case); repairs are deductible when paid</w:t>
            </w:r>
          </w:p>
        </w:tc>
        <w:tc>
          <w:tcPr>
            <w:tcW w:type="pct" w:w="2486"/>
            <w:tcMar>
              <w:top w:type="dxa" w:w="50"/>
              <w:left w:type="dxa" w:w="110"/>
              <w:bottom w:type="dxa" w:w="50"/>
              <w:right w:type="dxa" w:w="110"/>
            </w:tcMar>
          </w:tcPr>
          <w:p>
            <w:pPr>
              <w:spacing w:before="28" w:after="28"/>
            </w:pPr>
            <w:r>
              <w:rPr>
                <w:sz w:val="15"/>
                <w:szCs w:val="15"/>
              </w:rPr>
              <w:t xml:space="preserve">18,000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M1</w:t>
            </w:r>
          </w:p>
        </w:tc>
        <w:tc>
          <w:tcPr>
            <w:tcW w:type="pct" w:w="2486"/>
            <w:shd w:fill="FBFAF6" w:val="clear"/>
            <w:tcMar>
              <w:top w:type="dxa" w:w="50"/>
              <w:left w:type="dxa" w:w="110"/>
              <w:bottom w:type="dxa" w:w="50"/>
              <w:right w:type="dxa" w:w="110"/>
            </w:tcMar>
          </w:tcPr>
          <w:p>
            <w:pPr>
              <w:spacing w:before="28" w:after="28"/>
            </w:pPr>
            <w:r>
              <w:rPr>
                <w:sz w:val="15"/>
                <w:szCs w:val="15"/>
              </w:rPr>
              <w:t xml:space="preserve">The enacted combined tax rate is 25% for 2027 and all later years.</w:t>
            </w:r>
          </w:p>
        </w:tc>
      </w:tr>
      <w:tr>
        <w:tc>
          <w:tcPr>
            <w:tcW w:type="pct" w:w="2514"/>
            <w:tcMar>
              <w:top w:type="dxa" w:w="50"/>
              <w:left w:type="dxa" w:w="110"/>
              <w:bottom w:type="dxa" w:w="50"/>
              <w:right w:type="dxa" w:w="110"/>
            </w:tcMar>
          </w:tcPr>
          <w:p>
            <w:pPr>
              <w:spacing w:before="28" w:after="28"/>
            </w:pPr>
            <w:r>
              <w:rPr>
                <w:sz w:val="15"/>
                <w:szCs w:val="15"/>
              </w:rPr>
              <w:t xml:space="preserve">M2</w:t>
            </w:r>
          </w:p>
        </w:tc>
        <w:tc>
          <w:tcPr>
            <w:tcW w:type="pct" w:w="2486"/>
            <w:tcMar>
              <w:top w:type="dxa" w:w="50"/>
              <w:left w:type="dxa" w:w="110"/>
              <w:bottom w:type="dxa" w:w="50"/>
              <w:right w:type="dxa" w:w="110"/>
            </w:tcMar>
          </w:tcPr>
          <w:p>
            <w:pPr>
              <w:spacing w:before="28" w:after="28"/>
            </w:pPr>
            <w:r>
              <w:rPr>
                <w:sz w:val="15"/>
                <w:szCs w:val="15"/>
              </w:rPr>
              <w:t xml:space="preserve">Barada had no temporary differences at January 1, 2027. All deferred taxes are in one tax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M3</w:t>
            </w:r>
          </w:p>
        </w:tc>
        <w:tc>
          <w:tcPr>
            <w:tcW w:type="pct" w:w="2486"/>
            <w:shd w:fill="FBFAF6" w:val="clear"/>
            <w:tcMar>
              <w:top w:type="dxa" w:w="50"/>
              <w:left w:type="dxa" w:w="110"/>
              <w:bottom w:type="dxa" w:w="50"/>
              <w:right w:type="dxa" w:w="110"/>
            </w:tcMar>
          </w:tcPr>
          <w:p>
            <w:pPr>
              <w:spacing w:before="28" w:after="28"/>
            </w:pPr>
            <w:r>
              <w:rPr>
                <w:sz w:val="15"/>
                <w:szCs w:val="15"/>
              </w:rPr>
              <w:t xml:space="preserve">Barada has been profitable for many years and expects to stay profitable.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jurisdiction   ·   profitable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Warranty expense accrued now</w:t>
            </w:r>
          </w:p>
        </w:tc>
        <w:tc>
          <w:tcPr>
            <w:tcW w:type="pct" w:w="2600"/>
            <w:tcMar>
              <w:top w:type="dxa" w:w="50"/>
              <w:left w:type="dxa" w:w="110"/>
              <w:bottom w:type="dxa" w:w="50"/>
              <w:right w:type="dxa" w:w="110"/>
            </w:tcMar>
          </w:tcPr>
          <w:p>
            <w:pPr>
              <w:spacing w:before="28" w:after="28"/>
            </w:pPr>
            <w:r>
              <w:rPr>
                <w:sz w:val="15"/>
                <w:szCs w:val="15"/>
              </w:rPr>
              <w:t xml:space="preserve">Temporary, deductible: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Fine for breaking the law</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Rent received in advance</w:t>
            </w:r>
          </w:p>
        </w:tc>
        <w:tc>
          <w:tcPr>
            <w:tcW w:type="pct" w:w="2600"/>
            <w:tcMar>
              <w:top w:type="dxa" w:w="50"/>
              <w:left w:type="dxa" w:w="110"/>
              <w:bottom w:type="dxa" w:w="50"/>
              <w:right w:type="dxa" w:w="110"/>
            </w:tcMar>
          </w:tcPr>
          <w:p>
            <w:pPr>
              <w:spacing w:before="28" w:after="28"/>
            </w:pPr>
            <w:r>
              <w:rPr>
                <w:sz w:val="15"/>
                <w:szCs w:val="15"/>
              </w:rPr>
              <w:t xml:space="preserve">Temporary, deductible (taxed now, earned later):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taxable (taxed later): DTL   ·   Permanent: no deferred tax   ·   Barada Wholesale, 2027 (whole USD)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8"/>
        <w:gridCol w:w="498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5"/>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95"/>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5"/>
            <w:tcMar>
              <w:top w:type="dxa" w:w="50"/>
              <w:left w:type="dxa" w:w="110"/>
              <w:bottom w:type="dxa" w:w="50"/>
              <w:right w:type="dxa" w:w="110"/>
            </w:tcMar>
          </w:tcPr>
          <w:p>
            <w:pPr>
              <w:spacing w:before="28" w:after="28"/>
            </w:pPr>
            <w:r>
              <w:rPr>
                <w:sz w:val="15"/>
                <w:szCs w:val="15"/>
              </w:rPr>
              <w:t xml:space="preserve">Municipal bond interest</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Late-filing fine</w:t>
            </w:r>
          </w:p>
        </w:tc>
        <w:tc>
          <w:tcPr>
            <w:tcW w:type="pct" w:w="2595"/>
            <w:shd w:fill="FBFAF6" w:val="clear"/>
            <w:tcMar>
              <w:top w:type="dxa" w:w="50"/>
              <w:left w:type="dxa" w:w="110"/>
              <w:bottom w:type="dxa" w:w="50"/>
              <w:right w:type="dxa" w:w="110"/>
            </w:tcMar>
          </w:tcPr>
          <w:p>
            <w:pPr>
              <w:spacing w:before="28" w:after="28"/>
            </w:pPr>
            <w:r>
              <w:rPr>
                <w:sz w:val="15"/>
                <w:szCs w:val="15"/>
              </w:rPr>
              <w:t xml:space="preserve">Permanent difference</w:t>
            </w:r>
          </w:p>
        </w:tc>
      </w:tr>
      <w:tr>
        <w:tc>
          <w:tcPr>
            <w:tcW w:type="pct" w:w="2405"/>
            <w:tcMar>
              <w:top w:type="dxa" w:w="50"/>
              <w:left w:type="dxa" w:w="110"/>
              <w:bottom w:type="dxa" w:w="50"/>
              <w:right w:type="dxa" w:w="110"/>
            </w:tcMar>
          </w:tcPr>
          <w:p>
            <w:pPr>
              <w:spacing w:before="28" w:after="28"/>
            </w:pPr>
            <w:r>
              <w:rPr>
                <w:sz w:val="15"/>
                <w:szCs w:val="15"/>
              </w:rPr>
              <w:t xml:space="preserve">Tax depreciation above book</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Warranty liability</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5"/>
            <w:tcMar>
              <w:top w:type="dxa" w:w="50"/>
              <w:left w:type="dxa" w:w="110"/>
              <w:bottom w:type="dxa" w:w="50"/>
              <w:right w:type="dxa" w:w="110"/>
            </w:tcMar>
          </w:tcPr>
          <w:p>
            <w:pPr>
              <w:spacing w:before="28" w:after="28"/>
            </w:pPr>
            <w:r>
              <w:rPr>
                <w:sz w:val="15"/>
                <w:szCs w:val="15"/>
              </w:rPr>
              <w:t xml:space="preserve">Rent received in advance</w:t>
            </w:r>
          </w:p>
        </w:tc>
        <w:tc>
          <w:tcPr>
            <w:tcW w:type="pct" w:w="2595"/>
            <w:tcMar>
              <w:top w:type="dxa" w:w="50"/>
              <w:left w:type="dxa" w:w="110"/>
              <w:bottom w:type="dxa" w:w="50"/>
              <w:right w:type="dxa" w:w="110"/>
            </w:tcMar>
          </w:tcPr>
          <w:p>
            <w:pPr>
              <w:spacing w:before="28" w:after="28"/>
            </w:pPr>
            <w:r>
              <w:rPr>
                <w:sz w:val="15"/>
                <w:szCs w:val="15"/>
              </w:rPr>
              <w:t xml:space="preserve">Deductible temporary difference (DTA)</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temporary difference (DTL)   ·   Deductible temporary difference (DTA)   ·   Amount / details   ·   Permanent difference</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IFRS differences and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jurisdictions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valuation allowance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Enacted or substantively enacted rates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None in general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IFRIC 23: most likely amount or 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Permanent: no deferred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Temporary, taxable (taxed later):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 cost; no deferred tax</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Permanent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Taxable temporary difference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percentages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Deductible temporary difference (DTA)</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biggest one for the exam is the deferred tax asset: IFRS recognizes only the amount it is probable to use, while U.S. GAAP records the full asset and a separate valuation allowance.</w:t>
      </w:r>
    </w:p>
    <w:p>
      <w:pPr>
        <w:spacing w:before="20" w:after="20"/>
        <w:ind w:left="240" w:hanging="240"/>
      </w:pPr>
      <w:r>
        <w:rPr>
          <w:b/>
          <w:bCs/>
          <w:color w:val="353A7C"/>
          <w:sz w:val="15"/>
          <w:szCs w:val="15"/>
        </w:rPr>
        <w:t xml:space="preserve">Summary 2   </w:t>
      </w:r>
      <w:r>
        <w:rPr>
          <w:color w:val="6B7280"/>
          <w:sz w:val="15"/>
          <w:szCs w:val="15"/>
        </w:rPr>
        <w:t xml:space="preserve">ASU 2023-09 is testable now for public companies. They show a rate reconciliation in dollars and percentages with eight standard categories, and they list separately any item of at least 5% of pretax income times the statutory rate. They also disclose income taxes paid by federal, state and foreign jurisdictions. For companies that are not public business entities, ASU 2023-09 applies to annual periods beginning after December 15, 2025. That version is not testable before about January 2027.</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is a lease?</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Presentation   ·   What is a lease?   ·   Initial measurement   ·   operating lease</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lease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gives the right to control the use of an identified asset for a period of time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payment. </w:t>
      </w:r>
      <w:r>
        <w:rPr>
          <w:sz w:val="19"/>
          <w:szCs w:val="19"/>
        </w:rPr>
        <w:t xml:space="preserve">The lessee uses the asset;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provides it. </w:t>
      </w:r>
      <w:r>
        <w:rPr>
          <w:sz w:val="19"/>
          <w:szCs w:val="19"/>
        </w:rPr>
        <w:t xml:space="preserve">The asset must be identified,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must not have a real right to swap it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lessee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asset if it gets almost all of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benefits and decides how it is used. </w:t>
      </w:r>
      <w:r>
        <w:rPr>
          <w:sz w:val="19"/>
          <w:szCs w:val="19"/>
        </w:rPr>
        <w:t xml:space="preserve">The lease term is the period the lessee cannot cancel, plus any renewal periods it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certain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lessor   ·   exchange   ·   supplier   ·   contract   ·   periods   ·   another   ·   reasonably   ·   economic</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term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lease</w:t>
            </w:r>
          </w:p>
        </w:tc>
        <w:tc>
          <w:tcPr>
            <w:tcW w:type="pct" w:w="2600"/>
            <w:tcMar>
              <w:top w:type="dxa" w:w="50"/>
              <w:left w:type="dxa" w:w="110"/>
              <w:bottom w:type="dxa" w:w="50"/>
              <w:right w:type="dxa" w:w="110"/>
            </w:tcMar>
          </w:tcPr>
          <w:p>
            <w:pPr>
              <w:spacing w:before="26" w:after="26"/>
            </w:pPr>
            <w:r>
              <w:rPr>
                <w:color w:val="232733"/>
                <w:sz w:val="16"/>
                <w:szCs w:val="16"/>
              </w:rPr>
              <w:t xml:space="preserve">عقد الإيجار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المستأجر</w:t>
            </w:r>
          </w:p>
        </w:tc>
      </w:tr>
      <w:tr>
        <w:tc>
          <w:tcPr>
            <w:tcW w:type="pct" w:w="2400"/>
            <w:tcMar>
              <w:top w:type="dxa" w:w="50"/>
              <w:left w:type="dxa" w:w="110"/>
              <w:bottom w:type="dxa" w:w="50"/>
              <w:right w:type="dxa" w:w="110"/>
            </w:tcMar>
          </w:tcPr>
          <w:p>
            <w:pPr>
              <w:spacing w:before="26" w:after="26"/>
            </w:pPr>
            <w:r>
              <w:rPr>
                <w:color w:val="232733"/>
                <w:sz w:val="16"/>
                <w:szCs w:val="16"/>
              </w:rPr>
              <w:t xml:space="preserve">lessor</w:t>
            </w:r>
          </w:p>
        </w:tc>
        <w:tc>
          <w:tcPr>
            <w:tcW w:type="pct" w:w="2600"/>
            <w:tcMar>
              <w:top w:type="dxa" w:w="50"/>
              <w:left w:type="dxa" w:w="110"/>
              <w:bottom w:type="dxa" w:w="50"/>
              <w:right w:type="dxa" w:w="110"/>
            </w:tcMar>
          </w:tcPr>
          <w:p>
            <w:pPr>
              <w:spacing w:before="26" w:after="26"/>
            </w:pPr>
            <w:r>
              <w:rPr>
                <w:color w:val="232733"/>
                <w:sz w:val="16"/>
                <w:szCs w:val="16"/>
              </w:rPr>
              <w:t xml:space="preserve">المؤجر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مدة عقد الإيجار</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is a lease?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is a lease?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Initial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economic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reasonably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lessor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lease 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Finance or operating? The five criteria</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classifies each lease at the start. </w:t>
      </w:r>
      <w:r>
        <w:rPr>
          <w:sz w:val="19"/>
          <w:szCs w:val="19"/>
        </w:rPr>
        <w:t xml:space="preserve">It is a finance lease if it meets any one of five criteria;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an operating lease. </w:t>
      </w:r>
      <w:r>
        <w:rPr>
          <w:sz w:val="19"/>
          <w:szCs w:val="19"/>
        </w:rPr>
        <w:t xml:space="preserve">Many companies use about 75% or more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life as a major part, and about 90% or more of fair value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all.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lease runs 5 years in a building that will last 30 years, and its payments are worth only 28% of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an operating lease.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line was built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the lease covers most of its life: a finance lease.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substantially   ·   classifies   ·   building's   ·   lessee   ·   economic   ·   otherwise   ·   olive-press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957"/>
        <w:gridCol w:w="241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classifying Orontes's two leases, January 1, 2026</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Criterion</w:t>
            </w:r>
          </w:p>
        </w:tc>
        <w:tc>
          <w:tcPr>
            <w:tcW w:type="pct" w:w="1540"/>
            <w:shd w:fill="353A7C" w:val="clear"/>
            <w:tcMar>
              <w:top w:type="dxa" w:w="50"/>
              <w:left w:type="dxa" w:w="110"/>
              <w:bottom w:type="dxa" w:w="50"/>
              <w:right w:type="dxa" w:w="110"/>
            </w:tcMar>
          </w:tcPr>
          <w:p>
            <w:pPr>
              <w:spacing w:before="30" w:after="30"/>
            </w:pPr>
            <w:r>
              <w:rPr>
                <w:b/>
                <w:bCs/>
                <w:color w:val="FFFFFF"/>
                <w:sz w:val="15"/>
                <w:szCs w:val="15"/>
              </w:rPr>
              <w:t xml:space="preserve">Warehouse (5 years, 100,000 a year)</w:t>
            </w:r>
          </w:p>
        </w:tc>
        <w:tc>
          <w:tcPr>
            <w:tcW w:type="pct" w:w="1260"/>
            <w:shd w:fill="353A7C" w:val="clear"/>
            <w:tcMar>
              <w:top w:type="dxa" w:w="50"/>
              <w:left w:type="dxa" w:w="110"/>
              <w:bottom w:type="dxa" w:w="50"/>
              <w:right w:type="dxa" w:w="110"/>
            </w:tcMar>
          </w:tcPr>
          <w:p>
            <w:pPr>
              <w:spacing w:before="30" w:after="30"/>
            </w:pPr>
            <w:r>
              <w:rPr>
                <w:b/>
                <w:bCs/>
                <w:color w:val="FFFFFF"/>
                <w:sz w:val="15"/>
                <w:szCs w:val="15"/>
              </w:rPr>
              <w:t xml:space="preserve">Olive press (4 years, 250,000 a year)</w:t>
            </w:r>
          </w:p>
        </w:tc>
      </w:tr>
      <w:tr>
        <w:tc>
          <w:tcPr>
            <w:tcW w:type="pct" w:w="2200"/>
            <w:tcMar>
              <w:top w:type="dxa" w:w="50"/>
              <w:left w:type="dxa" w:w="110"/>
              <w:bottom w:type="dxa" w:w="50"/>
              <w:right w:type="dxa" w:w="110"/>
            </w:tcMar>
          </w:tcPr>
          <w:p>
            <w:pPr>
              <w:spacing w:before="28" w:after="28"/>
            </w:pPr>
            <w:r>
              <w:rPr>
                <w:sz w:val="15"/>
                <w:szCs w:val="15"/>
              </w:rPr>
              <w:t xml:space="preserve">1. Ownership transfers</w:t>
            </w:r>
          </w:p>
        </w:tc>
        <w:tc>
          <w:tcPr>
            <w:tcW w:type="pct" w:w="1540"/>
            <w:tcMar>
              <w:top w:type="dxa" w:w="50"/>
              <w:left w:type="dxa" w:w="110"/>
              <w:bottom w:type="dxa" w:w="50"/>
              <w:right w:type="dxa" w:w="110"/>
            </w:tcMar>
          </w:tcPr>
          <w:p>
            <w:pPr>
              <w:spacing w:before="28" w:after="28"/>
            </w:pPr>
            <w:r>
              <w:rPr>
                <w:sz w:val="15"/>
                <w:szCs w:val="15"/>
              </w:rPr>
              <w:t xml:space="preserve">No</w:t>
            </w:r>
          </w:p>
        </w:tc>
        <w:tc>
          <w:tcPr>
            <w:tcW w:type="pct" w:w="1260"/>
            <w:tcMar>
              <w:top w:type="dxa" w:w="50"/>
              <w:left w:type="dxa" w:w="110"/>
              <w:bottom w:type="dxa" w:w="50"/>
              <w:right w:type="dxa" w:w="110"/>
            </w:tcMar>
          </w:tcPr>
          <w:p>
            <w:pPr>
              <w:spacing w:before="28" w:after="28"/>
            </w:pPr>
            <w:r>
              <w:rPr>
                <w:sz w:val="15"/>
                <w:szCs w:val="15"/>
              </w:rPr>
              <w:t xml:space="preserve">No</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2. Purchase option reasonably certain</w:t>
            </w:r>
          </w:p>
        </w:tc>
        <w:tc>
          <w:tcPr>
            <w:tcW w:type="pct" w:w="1540"/>
            <w:shd w:fill="FBFAF6" w:val="clear"/>
            <w:tcMar>
              <w:top w:type="dxa" w:w="50"/>
              <w:left w:type="dxa" w:w="110"/>
              <w:bottom w:type="dxa" w:w="50"/>
              <w:right w:type="dxa" w:w="110"/>
            </w:tcMar>
          </w:tcPr>
          <w:p>
            <w:pPr>
              <w:spacing w:before="28" w:after="28"/>
            </w:pPr>
            <w:r>
              <w:rPr>
                <w:sz w:val="15"/>
                <w:szCs w:val="15"/>
              </w:rPr>
              <w:t xml:space="preserve">No</w:t>
            </w:r>
          </w:p>
        </w:tc>
        <w:tc>
          <w:tcPr>
            <w:tcW w:type="pct" w:w="1260"/>
            <w:shd w:fill="FBFAF6" w:val="clear"/>
            <w:tcMar>
              <w:top w:type="dxa" w:w="50"/>
              <w:left w:type="dxa" w:w="110"/>
              <w:bottom w:type="dxa" w:w="50"/>
              <w:right w:type="dxa" w:w="110"/>
            </w:tcMar>
          </w:tcPr>
          <w:p>
            <w:pPr>
              <w:spacing w:before="28" w:after="28"/>
            </w:pPr>
            <w:r>
              <w:rPr>
                <w:sz w:val="15"/>
                <w:szCs w:val="15"/>
              </w:rPr>
              <w:t xml:space="preserve">No</w:t>
            </w:r>
          </w:p>
        </w:tc>
      </w:tr>
      <w:tr>
        <w:tc>
          <w:tcPr>
            <w:tcW w:type="pct" w:w="2200"/>
            <w:tcMar>
              <w:top w:type="dxa" w:w="50"/>
              <w:left w:type="dxa" w:w="110"/>
              <w:bottom w:type="dxa" w:w="50"/>
              <w:right w:type="dxa" w:w="110"/>
            </w:tcMar>
          </w:tcPr>
          <w:p>
            <w:pPr>
              <w:spacing w:before="28" w:after="28"/>
            </w:pPr>
            <w:r>
              <w:rPr>
                <w:sz w:val="15"/>
                <w:szCs w:val="15"/>
              </w:rPr>
              <w:t xml:space="preserve">3. Major part of economic life</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60"/>
            <w:tcMar>
              <w:top w:type="dxa" w:w="50"/>
              <w:left w:type="dxa" w:w="110"/>
              <w:bottom w:type="dxa" w:w="50"/>
              <w:right w:type="dxa" w:w="110"/>
            </w:tcMar>
          </w:tcPr>
          <w:p>
            <w:pPr>
              <w:spacing w:before="28" w:after="28"/>
            </w:pPr>
            <w:r>
              <w:rPr>
                <w:sz w:val="15"/>
                <w:szCs w:val="15"/>
              </w:rPr>
              <w:t xml:space="preserve">Yes: 4 of 5 years (80%)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4. PV ≥ substantially all of fair value</w:t>
            </w:r>
          </w:p>
        </w:tc>
        <w:tc>
          <w:tcPr>
            <w:tcW w:type="pct" w:w="1540"/>
            <w:shd w:fill="FBFAF6" w:val="clear"/>
            <w:tcMar>
              <w:top w:type="dxa" w:w="50"/>
              <w:left w:type="dxa" w:w="110"/>
              <w:bottom w:type="dxa" w:w="50"/>
              <w:right w:type="dxa" w:w="110"/>
            </w:tcMar>
          </w:tcPr>
          <w:p>
            <w:pPr>
              <w:spacing w:before="28" w:after="28"/>
            </w:pPr>
            <w:r>
              <w:rPr>
                <w:sz w:val="15"/>
                <w:szCs w:val="15"/>
              </w:rPr>
              <w:t xml:space="preserve">No: 421,236 of 1,500,000 (28%)</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200"/>
            <w:tcMar>
              <w:top w:type="dxa" w:w="50"/>
              <w:left w:type="dxa" w:w="110"/>
              <w:bottom w:type="dxa" w:w="50"/>
              <w:right w:type="dxa" w:w="110"/>
            </w:tcMar>
          </w:tcPr>
          <w:p>
            <w:pPr>
              <w:spacing w:before="28" w:after="28"/>
            </w:pPr>
            <w:r>
              <w:rPr>
                <w:sz w:val="15"/>
                <w:szCs w:val="15"/>
              </w:rPr>
              <w:t xml:space="preserve">5. Specialized asset</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60"/>
            <w:tcMar>
              <w:top w:type="dxa" w:w="50"/>
              <w:left w:type="dxa" w:w="110"/>
              <w:bottom w:type="dxa" w:w="50"/>
              <w:right w:type="dxa" w:w="110"/>
            </w:tcMar>
          </w:tcPr>
          <w:p>
            <w:pPr>
              <w:spacing w:before="28" w:after="28"/>
            </w:pPr>
            <w:r>
              <w:rPr>
                <w:sz w:val="15"/>
                <w:szCs w:val="15"/>
              </w:rPr>
              <w:t xml:space="preserve">Yes: built for Orontes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Classification</w:t>
            </w:r>
          </w:p>
        </w:tc>
        <w:tc>
          <w:tcPr>
            <w:tcW w:type="pct" w:w="1540"/>
            <w:shd w:fill="FBFAF6" w:val="clear"/>
            <w:tcMar>
              <w:top w:type="dxa" w:w="50"/>
              <w:left w:type="dxa" w:w="110"/>
              <w:bottom w:type="dxa" w:w="50"/>
              <w:right w:type="dxa" w:w="110"/>
            </w:tcMar>
          </w:tcPr>
          <w:p>
            <w:pPr>
              <w:spacing w:before="28" w:after="28"/>
            </w:pPr>
            <w:r>
              <w:rPr>
                <w:sz w:val="15"/>
                <w:szCs w:val="15"/>
              </w:rPr>
              <w:t xml:space="preserve">Operating lease</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needed   ·   No: any company could use it   ·   Finance lease   ·   residual value guarantee   ·   No: 5 of 30 years (17%)</w:t>
            </w:r>
          </w:p>
        </w:tc>
      </w:tr>
    </w:tbl>
    <w:p/>
    <w:p>
      <w:pPr>
        <w:spacing w:before="20" w:after="20" w:line="360" w:lineRule="auto"/>
        <w:ind w:left="200"/>
      </w:pPr>
      <w:r>
        <w:rPr>
          <w:sz w:val="19"/>
          <w:szCs w:val="19"/>
        </w:rPr>
        <w:t xml:space="preserve">Under ASC 842, the class depends only on the five criteria.</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lease   ·   short-term lease   ·   operating lease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0"/>
        <w:gridCol w:w="48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4"/>
            <w:tcMar>
              <w:top w:type="dxa" w:w="50"/>
              <w:left w:type="dxa" w:w="110"/>
              <w:bottom w:type="dxa" w:w="50"/>
              <w:right w:type="dxa" w:w="110"/>
            </w:tcMar>
          </w:tcPr>
          <w:p>
            <w:pPr>
              <w:spacing w:before="26" w:after="26"/>
            </w:pPr>
            <w:r>
              <w:rPr>
                <w:color w:val="232733"/>
                <w:sz w:val="16"/>
                <w:szCs w:val="16"/>
              </w:rPr>
              <w:t xml:space="preserve">finance lease</w:t>
            </w:r>
          </w:p>
        </w:tc>
        <w:tc>
          <w:tcPr>
            <w:tcW w:type="pct" w:w="2516"/>
            <w:tcMar>
              <w:top w:type="dxa" w:w="50"/>
              <w:left w:type="dxa" w:w="110"/>
              <w:bottom w:type="dxa" w:w="50"/>
              <w:right w:type="dxa" w:w="110"/>
            </w:tcMar>
          </w:tcPr>
          <w:p>
            <w:pPr>
              <w:spacing w:before="26" w:after="26"/>
            </w:pPr>
            <w:r>
              <w:rPr>
                <w:color w:val="232733"/>
                <w:sz w:val="16"/>
                <w:szCs w:val="16"/>
              </w:rPr>
              <w:t xml:space="preserve">عقد إيجار تمويلي</w:t>
            </w:r>
          </w:p>
        </w:tc>
      </w:tr>
      <w:tr>
        <w:tc>
          <w:tcPr>
            <w:tcW w:type="pct" w:w="2484"/>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عقد إيجار تشغيلي</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Finance or operating? The five criteria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 5 of 30 years (17%)</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Not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any company could use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warehouse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building's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olive-press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lessee classifies each lease at the start. It is a finance lease if it meets any one of five criteria; otherwise it is an operating lease. Many companies use about 75% or more of economic life as a major part, and about 90% or more of fair value as substantially all. The warehouse lease runs 5 years in a building that will last 30 years, and its payments are worth only 28% of the building's value: an operating lease. The olive-press line was built for Orontes and the lease covers most of its life: a finance lease.</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Initial measurement</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For both types, the lessee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lease liability and a right-of-use asset at the start. </w:t>
      </w:r>
      <w:r>
        <w:rPr>
          <w:sz w:val="19"/>
          <w:szCs w:val="19"/>
        </w:rPr>
        <w:t xml:space="preserve">The liability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value of the lease payments not yet paid. </w:t>
      </w:r>
      <w:r>
        <w:rPr>
          <w:sz w:val="19"/>
          <w:szCs w:val="19"/>
        </w:rPr>
        <w:t xml:space="preserve">The discount rate is the rate implicit in the lease if the lessee can find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the lessee's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borrowing rate. </w:t>
      </w:r>
      <w:r>
        <w:rPr>
          <w:sz w:val="19"/>
          <w:szCs w:val="19"/>
        </w:rPr>
        <w:t xml:space="preserve">Lease payments include fixed payments, payments that depend on an index such as CPI, a purchase price the lessee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certain to pay, and amounts it expects to pay under a residual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right-of-use asset starts at the liability, plus 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payments and initial direct costs, minus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6%, the rate on its bank note.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payments are higher, because part of each payment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incentives   ·   reasonably   ·   incremental   ·   guarantee   ·   purchase   ·   interest   ·   undiscounted   ·   otherwise   ·   records   ·   Orontes   ·   present   ·   prepaid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initial measurement of Orontes's leases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January 1, 2026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Warehouse</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Olive press</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400"/>
            <w:tcMar>
              <w:top w:type="dxa" w:w="50"/>
              <w:left w:type="dxa" w:w="110"/>
              <w:bottom w:type="dxa" w:w="50"/>
              <w:right w:type="dxa" w:w="110"/>
            </w:tcMar>
          </w:tcPr>
          <w:p>
            <w:pPr>
              <w:spacing w:before="28" w:after="28"/>
            </w:pPr>
            <w:r>
              <w:rPr>
                <w:sz w:val="15"/>
                <w:szCs w:val="15"/>
              </w:rPr>
              <w:t xml:space="preserve">100,000</w:t>
            </w:r>
          </w:p>
        </w:tc>
        <w:tc>
          <w:tcPr>
            <w:tcW w:type="pct" w:w="1400"/>
            <w:tcMar>
              <w:top w:type="dxa" w:w="50"/>
              <w:left w:type="dxa" w:w="110"/>
              <w:bottom w:type="dxa" w:w="50"/>
              <w:right w:type="dxa" w:w="110"/>
            </w:tcMar>
          </w:tcPr>
          <w:p>
            <w:pPr>
              <w:spacing w:before="28" w:after="28"/>
            </w:pPr>
            <w:r>
              <w:rPr>
                <w:sz w:val="15"/>
                <w:szCs w:val="15"/>
              </w:rPr>
              <w:t xml:space="preserve">250,000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Number of payments</w:t>
            </w:r>
          </w:p>
        </w:tc>
        <w:tc>
          <w:tcPr>
            <w:tcW w:type="pct" w:w="1400"/>
            <w:shd w:fill="FBFAF6" w:val="clear"/>
            <w:tcMar>
              <w:top w:type="dxa" w:w="50"/>
              <w:left w:type="dxa" w:w="110"/>
              <w:bottom w:type="dxa" w:w="50"/>
              <w:right w:type="dxa" w:w="110"/>
            </w:tcMar>
          </w:tcPr>
          <w:p>
            <w:pPr>
              <w:spacing w:before="28" w:after="28"/>
            </w:pPr>
            <w:r>
              <w:rPr>
                <w:sz w:val="15"/>
                <w:szCs w:val="15"/>
              </w:rPr>
              <w:t xml:space="preserve">5</w:t>
            </w:r>
          </w:p>
        </w:tc>
        <w:tc>
          <w:tcPr>
            <w:tcW w:type="pct" w:w="1400"/>
            <w:shd w:fill="FBFAF6" w:val="clear"/>
            <w:tcMar>
              <w:top w:type="dxa" w:w="50"/>
              <w:left w:type="dxa" w:w="110"/>
              <w:bottom w:type="dxa" w:w="50"/>
              <w:right w:type="dxa" w:w="110"/>
            </w:tcMar>
          </w:tcPr>
          <w:p>
            <w:pPr>
              <w:spacing w:before="28" w:after="28"/>
            </w:pPr>
            <w:r>
              <w:rPr>
                <w:sz w:val="15"/>
                <w:szCs w:val="15"/>
              </w:rPr>
              <w:t xml:space="preserve">4</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tcMar>
              <w:top w:type="dxa" w:w="50"/>
              <w:left w:type="dxa" w:w="110"/>
              <w:bottom w:type="dxa" w:w="50"/>
              <w:right w:type="dxa" w:w="110"/>
            </w:tcMar>
          </w:tcPr>
          <w:p>
            <w:pPr>
              <w:spacing w:before="28" w:after="28"/>
            </w:pPr>
            <w:r>
              <w:rPr>
                <w:sz w:val="15"/>
                <w:szCs w:val="15"/>
              </w:rPr>
              <w:t xml:space="preserve">6%</w:t>
            </w:r>
          </w:p>
        </w:tc>
        <w:tc>
          <w:tcPr>
            <w:tcW w:type="pct" w:w="1400"/>
            <w:tcMar>
              <w:top w:type="dxa" w:w="50"/>
              <w:left w:type="dxa" w:w="110"/>
              <w:bottom w:type="dxa" w:w="50"/>
              <w:right w:type="dxa" w:w="110"/>
            </w:tcMar>
          </w:tcPr>
          <w:p>
            <w:pPr>
              <w:spacing w:before="28" w:after="28"/>
            </w:pPr>
            <w:r>
              <w:rPr>
                <w:sz w:val="15"/>
                <w:szCs w:val="15"/>
              </w:rPr>
              <w:t xml:space="preserve">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shd w:fill="FBFAF6" w:val="clear"/>
            <w:tcMar>
              <w:top w:type="dxa" w:w="50"/>
              <w:left w:type="dxa" w:w="110"/>
              <w:bottom w:type="dxa" w:w="50"/>
              <w:right w:type="dxa" w:w="110"/>
            </w:tcMar>
          </w:tcPr>
          <w:p>
            <w:pPr>
              <w:spacing w:before="28" w:after="28"/>
            </w:pPr>
            <w:r>
              <w:rPr>
                <w:sz w:val="15"/>
                <w:szCs w:val="15"/>
              </w:rPr>
              <w:t xml:space="preserve">500,000</w:t>
            </w:r>
          </w:p>
        </w:tc>
        <w:tc>
          <w:tcPr>
            <w:tcW w:type="pct" w:w="1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200"/>
            <w:tcMar>
              <w:top w:type="dxa" w:w="50"/>
              <w:left w:type="dxa" w:w="110"/>
              <w:bottom w:type="dxa" w:w="50"/>
              <w:right w:type="dxa" w:w="110"/>
            </w:tcMar>
          </w:tcPr>
          <w:p>
            <w:pPr>
              <w:spacing w:before="28" w:after="28"/>
            </w:pPr>
            <w:r>
              <w:rPr>
                <w:sz w:val="15"/>
                <w:szCs w:val="15"/>
              </w:rPr>
              <w:t xml:space="preserve">Lease liability = present value of payments</w:t>
            </w:r>
          </w:p>
        </w:tc>
        <w:tc>
          <w:tcPr>
            <w:tcW w:type="pct" w:w="1400"/>
            <w:tcMar>
              <w:top w:type="dxa" w:w="50"/>
              <w:left w:type="dxa" w:w="110"/>
              <w:bottom w:type="dxa" w:w="50"/>
              <w:right w:type="dxa" w:w="110"/>
            </w:tcMar>
          </w:tcPr>
          <w:p>
            <w:pPr>
              <w:spacing w:before="28" w:after="28"/>
            </w:pPr>
            <w:r>
              <w:rPr>
                <w:sz w:val="15"/>
                <w:szCs w:val="15"/>
              </w:rPr>
              <w:t xml:space="preserve">421,236</w:t>
            </w:r>
          </w:p>
        </w:tc>
        <w:tc>
          <w:tcPr>
            <w:tcW w:type="pct" w:w="1400"/>
            <w:tcMar>
              <w:top w:type="dxa" w:w="50"/>
              <w:left w:type="dxa" w:w="110"/>
              <w:bottom w:type="dxa" w:w="50"/>
              <w:right w:type="dxa" w:w="110"/>
            </w:tcMar>
          </w:tcPr>
          <w:p>
            <w:pPr>
              <w:spacing w:before="28" w:after="28"/>
            </w:pPr>
            <w:r>
              <w:rPr>
                <w:sz w:val="15"/>
                <w:szCs w:val="15"/>
              </w:rPr>
              <w:t xml:space="preserve">866,276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Right-of-use asset (no prepayments, costs or incentives)</w:t>
            </w:r>
          </w:p>
        </w:tc>
        <w:tc>
          <w:tcPr>
            <w:tcW w:type="pct" w:w="1400"/>
            <w:shd w:fill="FBFAF6" w:val="clear"/>
            <w:tcMar>
              <w:top w:type="dxa" w:w="50"/>
              <w:left w:type="dxa" w:w="110"/>
              <w:bottom w:type="dxa" w:w="50"/>
              <w:right w:type="dxa" w:w="110"/>
            </w:tcMar>
          </w:tcPr>
          <w:p>
            <w:pPr>
              <w:spacing w:before="28" w:after="28"/>
            </w:pPr>
            <w:r>
              <w:rPr>
                <w:sz w:val="15"/>
                <w:szCs w:val="15"/>
              </w:rPr>
              <w:t xml:space="preserve">421,236</w:t>
            </w:r>
          </w:p>
        </w:tc>
        <w:tc>
          <w:tcPr>
            <w:tcW w:type="pct" w:w="1400"/>
            <w:shd w:fill="FBFAF6" w:val="clear"/>
            <w:tcMar>
              <w:top w:type="dxa" w:w="50"/>
              <w:left w:type="dxa" w:w="110"/>
              <w:bottom w:type="dxa" w:w="50"/>
              <w:right w:type="dxa" w:w="110"/>
            </w:tcMar>
          </w:tcPr>
          <w:p>
            <w:pPr>
              <w:spacing w:before="28" w:after="28"/>
            </w:pPr>
            <w:r>
              <w:rPr>
                <w:sz w:val="15"/>
                <w:szCs w:val="15"/>
              </w:rPr>
              <w:t xml:space="preserve">866,276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 rate (incremental borrowing rate)   ·   Annual payment (end of each year)   ·   Undiscounted payments   ·   short-term lease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lease   ·   lease liability   ·   right-of-use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right-of-use asset</w:t>
            </w:r>
          </w:p>
        </w:tc>
        <w:tc>
          <w:tcPr>
            <w:tcW w:type="pct" w:w="2400"/>
            <w:tcMar>
              <w:top w:type="dxa" w:w="50"/>
              <w:left w:type="dxa" w:w="110"/>
              <w:bottom w:type="dxa" w:w="50"/>
              <w:right w:type="dxa" w:w="110"/>
            </w:tcMar>
          </w:tcPr>
          <w:p>
            <w:pPr>
              <w:spacing w:before="26" w:after="26"/>
            </w:pPr>
            <w:r>
              <w:rPr>
                <w:color w:val="232733"/>
                <w:sz w:val="16"/>
                <w:szCs w:val="16"/>
              </w:rPr>
              <w:t xml:space="preserve">أصل حق الاستخدام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lease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التزام عقد الإيجار</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الاقتراض الإضافي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القيمة المتبقية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Initial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Annual payment (end of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Discount rate (incremental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guarantee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Undiscounted 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prepaid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incentives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lease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 The right-of-use asset starts at the liability, plus any prepaid payments and initial direct costs, minus incentives received. Orontes uses 6%, the rate on its bank note. The undiscounted payments are higher, because part of each payment is interest.</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Subsequent measurement: two expense patterns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For a finance lease,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records interest on the liability and, separately, amortization of the right-of-use asset, usually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Interest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start, when the liability is largest, so total expense falls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   ·   lessee   ·   highest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olive-press finance lease in 2026</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Interest: 6% × $866,276 = $51,977. </w:t>
      </w:r>
      <w:r>
        <w:rPr>
          <w:sz w:val="19"/>
          <w:szCs w:val="19"/>
        </w:rPr>
        <w:t xml:space="preserve">Payment of $250,000: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falls to $668,253.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$866,276 ÷ 4 years = $216,569, so the ROU asset is $649,707. </w:t>
      </w:r>
      <w:r>
        <w:rPr>
          <w:sz w:val="19"/>
          <w:szCs w:val="19"/>
        </w:rPr>
        <w:t xml:space="preserve">Total 2026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$268,546, which is $18,546 more than the payment.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   ·   expense   ·   liability   ·   Amortization</w:t>
            </w:r>
          </w:p>
        </w:tc>
      </w:tr>
    </w:tbl>
    <w:p/>
    <w:p>
      <w:pPr>
        <w:spacing w:before="44" w:after="10"/>
      </w:pPr>
      <w:r>
        <w:rPr>
          <w:b/>
          <w:bCs/>
          <w:color w:val="353A7C"/>
          <w:sz w:val="18"/>
          <w:szCs w:val="18"/>
        </w:rPr>
        <w:t xml:space="preserve">Suppose: olive-press finance lease schedule, 2026–2029</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2027   ·   668,253   ·   2029</w:t>
            </w:r>
          </w:p>
        </w:tc>
      </w:tr>
    </w:tbl>
    <w:p/>
    <w:p>
      <w:pPr>
        <w:spacing w:before="44" w:after="14"/>
      </w:pPr>
      <w:r>
        <w:rPr>
          <w:b/>
          <w:bCs/>
          <w:color w:val="353A7C"/>
          <w:sz w:val="18"/>
          <w:szCs w:val="18"/>
        </w:rPr>
        <w:t xml:space="preserve">Summary 3</w:t>
      </w:r>
      <w:r>
        <w:rPr>
          <w:color w:val="6B7280"/>
          <w:sz w:val="16"/>
          <w:szCs w:val="16"/>
        </w:rPr>
        <w:t xml:space="preserve">      gaps 9–13</w:t>
      </w:r>
    </w:p>
    <w:p>
      <w:pPr>
        <w:spacing w:before="20" w:after="20" w:line="360" w:lineRule="auto"/>
        <w:ind w:left="200"/>
      </w:pPr>
      <w:r>
        <w:rPr>
          <w:sz w:val="19"/>
          <w:szCs w:val="19"/>
        </w:rPr>
        <w:t xml:space="preserve">For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records one lease cost, normally the same each year. </w:t>
      </w:r>
      <w:r>
        <w:rPr>
          <w:sz w:val="19"/>
          <w:szCs w:val="19"/>
        </w:rPr>
        <w:t xml:space="preserve">The liability still grows by interest and falls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right-of-use asset is simply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the lease cost and the interest, so the asset and the liability stay equal when there are no prepayments or incentives.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payments   ·   operating   ·   difference   ·   largest   ·   lessee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warehouse schedule</w:t>
            </w:r>
          </w:p>
        </w:tc>
      </w:tr>
    </w:tbl>
    <w:p/>
    <w:p>
      <w:pPr>
        <w:spacing w:before="20" w:after="20" w:line="360" w:lineRule="auto"/>
        <w:ind w:left="200"/>
      </w:pPr>
      <w:r>
        <w:rPr>
          <w:sz w:val="19"/>
          <w:szCs w:val="19"/>
        </w:rPr>
        <w:t xml:space="preserve">Complete years 2028 to 2030. The lease cost is $100,000 every year.</w:t>
      </w:r>
    </w:p>
    <w:p>
      <w:pPr>
        <w:pageBreakBefore w:val="true"/>
        <w:spacing w:after="0"/>
      </w:pPr>
      <w:r>
        <w:rPr>
          <w:sz w:val="2"/>
        </w:rPr>
        <w:t xml:space="preserve"> </w:t>
      </w:r>
    </w:p>
    <w:p>
      <w:pPr>
        <w:spacing w:before="44" w:after="10"/>
      </w:pPr>
      <w:r>
        <w:rPr>
          <w:b/>
          <w:bCs/>
          <w:color w:val="353A7C"/>
          <w:sz w:val="18"/>
          <w:szCs w:val="18"/>
        </w:rPr>
        <w:t xml:space="preserve">Suppose: warehouse operating lease schedule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2030   ·   lessee   ·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Measurement traps</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The liability is a present value, not the total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Each payment covers interest first; do not deduct the whole payment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liability. </w:t>
      </w:r>
      <w:r>
        <w:rPr>
          <w:sz w:val="19"/>
          <w:szCs w:val="19"/>
        </w:rPr>
        <w:t xml:space="preserve">Operating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one straight-line cost; do not show interest and amortization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payments   ·   lease   ·   opening   ·   separately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lease   ·   lessor   ·   lessee   ·   right-of-use asset</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Subsequent measurement: two expense patterns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2027</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2029</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a finance lease, the lessee records interest on the liability and, separately, amortization of the right-of-use asset, usually straight-line. Interest is highest at the start, when the liability is largest, so total expense falls each year.</w:t>
      </w:r>
    </w:p>
    <w:p>
      <w:pPr>
        <w:spacing w:before="20" w:after="20"/>
        <w:ind w:left="240" w:hanging="240"/>
      </w:pPr>
      <w:r>
        <w:rPr>
          <w:b/>
          <w:bCs/>
          <w:color w:val="353A7C"/>
          <w:sz w:val="15"/>
          <w:szCs w:val="15"/>
        </w:rPr>
        <w:t xml:space="preserve">Summary 2   </w:t>
      </w:r>
      <w:r>
        <w:rPr>
          <w:color w:val="6B7280"/>
          <w:sz w:val="15"/>
          <w:szCs w:val="15"/>
        </w:rPr>
        <w:t xml:space="preserve">Interest: 6% × $866,276 = $51,977. Payment of $250,000: the liability falls to $668,253. Amortization: $866,276 ÷ 4 years = $216,569, so the ROU asset is $649,707. Total 2026 expense is $268,546, which is $18,546 more than the payment.</w:t>
      </w:r>
    </w:p>
    <w:p>
      <w:pPr>
        <w:spacing w:before="20" w:after="20"/>
        <w:ind w:left="240" w:hanging="240"/>
      </w:pPr>
      <w:r>
        <w:rPr>
          <w:b/>
          <w:bCs/>
          <w:color w:val="353A7C"/>
          <w:sz w:val="15"/>
          <w:szCs w:val="15"/>
        </w:rPr>
        <w:t xml:space="preserve">Summary 3   </w:t>
      </w:r>
      <w:r>
        <w:rPr>
          <w:color w:val="6B7280"/>
          <w:sz w:val="15"/>
          <w:szCs w:val="15"/>
        </w:rPr>
        <w:t xml:space="preserve">For an operating lease, the lessee records one lease cost, normally the same each year. The liability still grows by interest and falls by payments. The amortization of the right-of-use asset is simply the difference between the lease cost and the interest, so the asset and the liability stay equal when there are no prepayments or incentives.</w:t>
      </w:r>
    </w:p>
    <w:p>
      <w:pPr>
        <w:spacing w:before="20" w:after="20"/>
        <w:ind w:left="240" w:hanging="240"/>
      </w:pPr>
      <w:r>
        <w:rPr>
          <w:b/>
          <w:bCs/>
          <w:color w:val="353A7C"/>
          <w:sz w:val="15"/>
          <w:szCs w:val="15"/>
        </w:rPr>
        <w:t xml:space="preserve">Summary 4   </w:t>
      </w:r>
      <w:r>
        <w:rPr>
          <w:color w:val="6B7280"/>
          <w:sz w:val="15"/>
          <w:szCs w:val="15"/>
        </w:rPr>
        <w:t xml:space="preserve">The liability is a present value, not the total of the payments. Each payment covers interest first; do not deduct the whole payment from the opening liability. Operating lease: one straight-line cost; do not show interest and amortization separately.</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Presentation</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On the balance sheet,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assets and lease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finance leases are shown separately from those of operating leases, or disclosed with the line items that contain them. </w:t>
      </w:r>
      <w:r>
        <w:rPr>
          <w:sz w:val="19"/>
          <w:szCs w:val="19"/>
        </w:rPr>
        <w:t xml:space="preserve">Each liability is split into a current part, the principal due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year, and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w:t>
      </w:r>
      <w:r>
        <w:rPr>
          <w:sz w:val="19"/>
          <w:szCs w:val="19"/>
        </w:rPr>
        <w:t xml:space="preserve">On the income statement, a finance lease shows interest expense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separately; an operating lease shows one lease cost in operating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the statement of cash flows,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principal is financing; its interest and all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payments are operating. </w:t>
      </w:r>
      <w:r>
        <w:rPr>
          <w:sz w:val="19"/>
          <w:szCs w:val="19"/>
        </w:rPr>
        <w:t xml:space="preserve">New leases are a noncash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financing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disclosed separately. </w:t>
      </w:r>
      <w:r>
        <w:rPr>
          <w:sz w:val="19"/>
          <w:szCs w:val="19"/>
        </w:rPr>
        <w:t xml:space="preserve">The olive-press liability of $668,253 includes a current part of $209,905, the principal that will be paid in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expenses   ·   investing   ·   liabilities   ·   principal   ·   operating-lease   ·   activity   ·   finance-lease   ·   within   ·   amortization   ·   right-of-use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74"/>
        <w:gridCol w:w="4175"/>
        <w:gridCol w:w="38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Presentation of finance and operating leases, with Orontes at December 31, 2026</w:t>
            </w:r>
          </w:p>
        </w:tc>
      </w:tr>
      <w:tr>
        <w:tc>
          <w:tcPr>
            <w:tcW w:type="pct" w:w="82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175"/>
            <w:shd w:fill="353A7C" w:val="clear"/>
            <w:tcMar>
              <w:top w:type="dxa" w:w="50"/>
              <w:left w:type="dxa" w:w="110"/>
              <w:bottom w:type="dxa" w:w="50"/>
              <w:right w:type="dxa" w:w="110"/>
            </w:tcMar>
          </w:tcPr>
          <w:p>
            <w:pPr>
              <w:spacing w:before="30" w:after="30"/>
            </w:pPr>
            <w:r>
              <w:rPr>
                <w:b/>
                <w:bCs/>
                <w:color w:val="FFFFFF"/>
                <w:sz w:val="15"/>
                <w:szCs w:val="15"/>
              </w:rPr>
              <w:t xml:space="preserve">Finance lease (olive press)</w:t>
            </w:r>
          </w:p>
        </w:tc>
        <w:tc>
          <w:tcPr>
            <w:tcW w:type="pct" w:w="2005"/>
            <w:shd w:fill="353A7C" w:val="clear"/>
            <w:tcMar>
              <w:top w:type="dxa" w:w="50"/>
              <w:left w:type="dxa" w:w="110"/>
              <w:bottom w:type="dxa" w:w="50"/>
              <w:right w:type="dxa" w:w="110"/>
            </w:tcMar>
          </w:tcPr>
          <w:p>
            <w:pPr>
              <w:spacing w:before="30" w:after="30"/>
            </w:pPr>
            <w:r>
              <w:rPr>
                <w:b/>
                <w:bCs/>
                <w:color w:val="FFFFFF"/>
                <w:sz w:val="15"/>
                <w:szCs w:val="15"/>
              </w:rPr>
              <w:t xml:space="preserve">Operating lease (warehouse)</w:t>
            </w:r>
          </w:p>
        </w:tc>
      </w:tr>
      <w:tr>
        <w:tc>
          <w:tcPr>
            <w:tcW w:type="pct" w:w="820"/>
            <w:tcMar>
              <w:top w:type="dxa" w:w="50"/>
              <w:left w:type="dxa" w:w="110"/>
              <w:bottom w:type="dxa" w:w="50"/>
              <w:right w:type="dxa" w:w="110"/>
            </w:tcMar>
          </w:tcPr>
          <w:p>
            <w:pPr>
              <w:spacing w:before="28" w:after="28"/>
            </w:pPr>
            <w:r>
              <w:rPr>
                <w:sz w:val="15"/>
                <w:szCs w:val="15"/>
              </w:rPr>
              <w:t xml:space="preserve">Balance sheet</w:t>
            </w:r>
          </w:p>
        </w:tc>
        <w:tc>
          <w:tcPr>
            <w:tcW w:type="pct" w:w="2175"/>
            <w:tcMar>
              <w:top w:type="dxa" w:w="50"/>
              <w:left w:type="dxa" w:w="110"/>
              <w:bottom w:type="dxa" w:w="50"/>
              <w:right w:type="dxa" w:w="110"/>
            </w:tcMar>
          </w:tcPr>
          <w:p>
            <w:pPr>
              <w:spacing w:before="28" w:after="28"/>
            </w:pPr>
            <w:r>
              <w:rPr>
                <w:sz w:val="15"/>
                <w:szCs w:val="15"/>
              </w:rPr>
              <w:t xml:space="preserve">ROU asset and lease liability, shown separately from operating leases (or disclosed)</w:t>
            </w:r>
          </w:p>
        </w:tc>
        <w:tc>
          <w:tcPr>
            <w:tcW w:type="pct" w:w="2005"/>
            <w:tcMar>
              <w:top w:type="dxa" w:w="50"/>
              <w:left w:type="dxa" w:w="110"/>
              <w:bottom w:type="dxa" w:w="50"/>
              <w:right w:type="dxa" w:w="110"/>
            </w:tcMar>
          </w:tcPr>
          <w:p>
            <w:pPr>
              <w:spacing w:before="28" w:after="28"/>
            </w:pPr>
            <w:r>
              <w:rPr>
                <w:sz w:val="15"/>
                <w:szCs w:val="15"/>
              </w:rPr>
              <w:t xml:space="preserve">ROU asset and lease liability, shown separately from finance leases (or disclosed)</w:t>
            </w:r>
          </w:p>
        </w:tc>
      </w:tr>
      <w:tr>
        <w:tc>
          <w:tcPr>
            <w:tcW w:type="pct" w:w="820"/>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217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005"/>
            <w:shd w:fill="FBFAF6" w:val="clear"/>
            <w:tcMar>
              <w:top w:type="dxa" w:w="50"/>
              <w:left w:type="dxa" w:w="110"/>
              <w:bottom w:type="dxa" w:w="50"/>
              <w:right w:type="dxa" w:w="110"/>
            </w:tcMar>
          </w:tcPr>
          <w:p>
            <w:pPr>
              <w:spacing w:before="28" w:after="28"/>
            </w:pPr>
            <w:r>
              <w:rPr>
                <w:sz w:val="15"/>
                <w:szCs w:val="15"/>
              </w:rPr>
              <w:t xml:space="preserve">One lease cost in operating expenses</w:t>
            </w:r>
          </w:p>
        </w:tc>
      </w:tr>
      <w:tr>
        <w:tc>
          <w:tcPr>
            <w:tcW w:type="pct" w:w="820"/>
            <w:tcMar>
              <w:top w:type="dxa" w:w="50"/>
              <w:left w:type="dxa" w:w="110"/>
              <w:bottom w:type="dxa" w:w="50"/>
              <w:right w:type="dxa" w:w="110"/>
            </w:tcMar>
          </w:tcPr>
          <w:p>
            <w:pPr>
              <w:spacing w:before="28" w:after="28"/>
            </w:pPr>
            <w:r>
              <w:rPr>
                <w:sz w:val="15"/>
                <w:szCs w:val="15"/>
              </w:rPr>
              <w:t xml:space="preserve">Cash flow: principal</w:t>
            </w:r>
          </w:p>
        </w:tc>
        <w:tc>
          <w:tcPr>
            <w:tcW w:type="pct" w:w="2175"/>
            <w:tcMar>
              <w:top w:type="dxa" w:w="50"/>
              <w:left w:type="dxa" w:w="110"/>
              <w:bottom w:type="dxa" w:w="50"/>
              <w:right w:type="dxa" w:w="110"/>
            </w:tcMar>
          </w:tcPr>
          <w:p>
            <w:pPr>
              <w:spacing w:before="28" w:after="28"/>
            </w:pPr>
            <w:r>
              <w:rPr>
                <w:sz w:val="15"/>
                <w:szCs w:val="15"/>
              </w:rPr>
              <w:t xml:space="preserve">Financing</w:t>
            </w:r>
          </w:p>
        </w:tc>
        <w:tc>
          <w:tcPr>
            <w:tcW w:type="pct" w:w="2005"/>
            <w:tcMar>
              <w:top w:type="dxa" w:w="50"/>
              <w:left w:type="dxa" w:w="110"/>
              <w:bottom w:type="dxa" w:w="50"/>
              <w:right w:type="dxa" w:w="110"/>
            </w:tcMar>
          </w:tcPr>
          <w:p>
            <w:pPr>
              <w:spacing w:before="28" w:after="28"/>
            </w:pPr>
            <w:r>
              <w:rPr>
                <w:sz w:val="15"/>
                <w:szCs w:val="15"/>
              </w:rPr>
              <w:t xml:space="preserve">Operating</w:t>
            </w:r>
          </w:p>
        </w:tc>
      </w:tr>
      <w:tr>
        <w:tc>
          <w:tcPr>
            <w:tcW w:type="pct" w:w="820"/>
            <w:shd w:fill="FBFAF6" w:val="clear"/>
            <w:tcMar>
              <w:top w:type="dxa" w:w="50"/>
              <w:left w:type="dxa" w:w="110"/>
              <w:bottom w:type="dxa" w:w="50"/>
              <w:right w:type="dxa" w:w="110"/>
            </w:tcMar>
          </w:tcPr>
          <w:p>
            <w:pPr>
              <w:spacing w:before="28" w:after="28"/>
            </w:pPr>
            <w:r>
              <w:rPr>
                <w:sz w:val="15"/>
                <w:szCs w:val="15"/>
              </w:rPr>
              <w:t xml:space="preserve">Cash flow: interest</w:t>
            </w:r>
          </w:p>
        </w:tc>
        <w:tc>
          <w:tcPr>
            <w:tcW w:type="pct" w:w="2175"/>
            <w:shd w:fill="FBFAF6" w:val="clear"/>
            <w:tcMar>
              <w:top w:type="dxa" w:w="50"/>
              <w:left w:type="dxa" w:w="110"/>
              <w:bottom w:type="dxa" w:w="50"/>
              <w:right w:type="dxa" w:w="110"/>
            </w:tcMar>
          </w:tcPr>
          <w:p>
            <w:pPr>
              <w:spacing w:before="28" w:after="28"/>
            </w:pPr>
            <w:r>
              <w:rPr>
                <w:sz w:val="15"/>
                <w:szCs w:val="15"/>
              </w:rPr>
              <w:t xml:space="preserve">Operating</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820"/>
            <w:tcMar>
              <w:top w:type="dxa" w:w="50"/>
              <w:left w:type="dxa" w:w="110"/>
              <w:bottom w:type="dxa" w:w="50"/>
              <w:right w:type="dxa" w:w="110"/>
            </w:tcMar>
          </w:tcPr>
          <w:p>
            <w:pPr>
              <w:spacing w:before="28" w:after="28"/>
            </w:pPr>
            <w:r>
              <w:rPr>
                <w:sz w:val="15"/>
                <w:szCs w:val="15"/>
              </w:rPr>
              <w:t xml:space="preserve">Orontes at December 31, 2026</w:t>
            </w:r>
          </w:p>
        </w:tc>
        <w:tc>
          <w:tcPr>
            <w:tcW w:type="pct" w:w="2175"/>
            <w:tcMar>
              <w:top w:type="dxa" w:w="50"/>
              <w:left w:type="dxa" w:w="110"/>
              <w:bottom w:type="dxa" w:w="50"/>
              <w:right w:type="dxa" w:w="110"/>
            </w:tcMar>
          </w:tcPr>
          <w:p>
            <w:pPr>
              <w:spacing w:before="28" w:after="28"/>
            </w:pPr>
            <w:r>
              <w:rPr>
                <w:sz w:val="15"/>
                <w:szCs w:val="15"/>
              </w:rPr>
              <w:t xml:space="preserve">Liability 668,253: current 209,905, noncurrent 458,348; ROU asset 649,707</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346,510; ROU asset 346,510   ·   One lease cost in operating expenses   ·   Interest expense and amortization, shown separately   ·   Operating (part of the single payment)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flow traps</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Operating-lease payments are operating cash flows, even though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on the balance sheet.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interest is operating under U.S. GAAP, not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Finance-lease   ·   liability   ·   expense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عقد الإيجار   ·   finance lease   ·   operating lease</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expense and amortization,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within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 (part of the single 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 346,510; ROU asset 346,510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finance-lease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operating-lease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 On the income statement, a finance lease shows interest expense and amortization separately; an operating lease shows one lease cost in operating expenses. In the statement of cash flows, finance-lease principal is financing; its interest and all operating-lease payments are operating. New leases are a noncash investing and financing activity, disclosed separately. The olive-press liability of $668,253 includes a current part of $209,905, the principal that will be paid in 2027.</w:t>
      </w:r>
    </w:p>
    <w:p>
      <w:pPr>
        <w:spacing w:before="20" w:after="20"/>
        <w:ind w:left="240" w:hanging="240"/>
      </w:pPr>
      <w:r>
        <w:rPr>
          <w:b/>
          <w:bCs/>
          <w:color w:val="353A7C"/>
          <w:sz w:val="15"/>
          <w:szCs w:val="15"/>
        </w:rPr>
        <w:t xml:space="preserve">Summary 2   </w:t>
      </w:r>
      <w:r>
        <w:rPr>
          <w:color w:val="6B7280"/>
          <w:sz w:val="15"/>
          <w:szCs w:val="15"/>
        </w:rPr>
        <w:t xml:space="preserve">Operating-lease payments are operating cash flows, even though a liability is on the balance sheet. Finance-lease interest is operating under U.S. GAAP, not financing.</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Short-term leases, sale and leaseback, and IFRS 16</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lease lasts 12 months or less and has no purchase option that the lessee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certain to use. </w:t>
      </w:r>
      <w:r>
        <w:rPr>
          <w:sz w:val="19"/>
          <w:szCs w:val="19"/>
        </w:rPr>
        <w:t xml:space="preserve">A lessee may choose, by class of asset, to keep such leases off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and expense the payments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U.S. GAAP has no exemption for low-value assets. </w:t>
      </w:r>
      <w:r>
        <w:rPr>
          <w:sz w:val="19"/>
          <w:szCs w:val="19"/>
        </w:rPr>
        <w:t xml:space="preserve">In a sale and leaseback, a company sells an asset and leases it back. </w:t>
      </w:r>
      <w:r>
        <w:rPr>
          <w:sz w:val="19"/>
          <w:szCs w:val="19"/>
        </w:rPr>
        <w:t xml:space="preserve">It is a sale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passes to the buyer under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rules. </w:t>
      </w:r>
      <w:r>
        <w:rPr>
          <w:sz w:val="19"/>
          <w:szCs w:val="19"/>
        </w:rPr>
        <w:t xml:space="preserve">If the leaseback is a finance lease,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buy the asset back, there is no sale: the 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loan. </w:t>
      </w:r>
      <w:r>
        <w:rPr>
          <w:sz w:val="19"/>
          <w:szCs w:val="19"/>
        </w:rPr>
        <w:t xml:space="preserve">IFRS 16 has one lessee model: every lease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 like a finance lease,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interest. </w:t>
      </w:r>
      <w:r>
        <w:rPr>
          <w:sz w:val="19"/>
          <w:szCs w:val="19"/>
        </w:rPr>
        <w:t xml:space="preserve">It allows an exemption for low-value assets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liability when an index such as CPI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seller   ·   control   ·   remeasures   ·   balance   ·   short-term   ·   depreciation   ·   accounted   ·   revenue   ·   reasonably   ·   changes   ·   purchase   ·   received</w:t>
            </w:r>
          </w:p>
        </w:tc>
      </w:tr>
    </w:tbl>
    <w:p/>
    <w:p>
      <w:pPr>
        <w:spacing w:before="44" w:after="10"/>
      </w:pPr>
      <w:r>
        <w:rPr>
          <w:b/>
          <w:bCs/>
          <w:color w:val="353A7C"/>
          <w:sz w:val="18"/>
          <w:szCs w:val="18"/>
        </w:rPr>
        <w:t xml:space="preserve">Leases: U.S. GAAP (ASC 842)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Exemption by class of asset   ·   Two: finance and operating   ·   Remeasure the liability   ·   finance lease   ·   Depreciation plus interest: higher early   ·   Operating or financing (IAS 7 today)   ·   Exemption allowed</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ASU 2023-01, on leases between companies under common control, is testable now 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level. </w:t>
      </w:r>
      <w:r>
        <w:rPr>
          <w:sz w:val="19"/>
          <w:szCs w:val="19"/>
        </w:rPr>
        <w:t xml:space="preserve">ASU 2025-12 changes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disclosure only;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reasonably   ·   awareness   ·   lessor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leases signed in 2028 (whole U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leases signed in 2028 (whole U</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Details</w:t>
            </w:r>
          </w:p>
        </w:tc>
      </w:tr>
      <w:tr>
        <w:tc>
          <w:tcPr>
            <w:tcW w:type="pct" w:w="2400"/>
            <w:tcMar>
              <w:top w:type="dxa" w:w="50"/>
              <w:left w:type="dxa" w:w="110"/>
              <w:bottom w:type="dxa" w:w="50"/>
              <w:right w:type="dxa" w:w="110"/>
            </w:tcMar>
          </w:tcPr>
          <w:p>
            <w:pPr>
              <w:spacing w:before="28" w:after="28"/>
            </w:pPr>
            <w:r>
              <w:rPr>
                <w:sz w:val="15"/>
                <w:szCs w:val="15"/>
              </w:rPr>
              <w:t xml:space="preserve">L1 Delivery trucks</w:t>
            </w:r>
          </w:p>
        </w:tc>
        <w:tc>
          <w:tcPr>
            <w:tcW w:type="pct" w:w="2600"/>
            <w:tcMar>
              <w:top w:type="dxa" w:w="50"/>
              <w:left w:type="dxa" w:w="110"/>
              <w:bottom w:type="dxa" w:w="50"/>
              <w:right w:type="dxa" w:w="110"/>
            </w:tcMar>
          </w:tcPr>
          <w:p>
            <w:pPr>
              <w:spacing w:before="28" w:after="28"/>
            </w:pPr>
            <w:r>
              <w:rPr>
                <w:sz w:val="15"/>
                <w:szCs w:val="15"/>
              </w:rPr>
              <w:t xml:space="preserve">3-year lease from January 1, 2028; 30,000 at the end of each year; economic life 8 years; fair value 150,000; no ownership transfer, no purc</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L2 Forklift</w:t>
            </w:r>
          </w:p>
        </w:tc>
        <w:tc>
          <w:tcPr>
            <w:tcW w:type="pct" w:w="2600"/>
            <w:shd w:fill="FBFAF6" w:val="clear"/>
            <w:tcMar>
              <w:top w:type="dxa" w:w="50"/>
              <w:left w:type="dxa" w:w="110"/>
              <w:bottom w:type="dxa" w:w="50"/>
              <w:right w:type="dxa" w:w="110"/>
            </w:tcMar>
          </w:tcPr>
          <w:p>
            <w:pPr>
              <w:spacing w:before="28" w:after="28"/>
            </w:pPr>
            <w:r>
              <w:rPr>
                <w:sz w:val="15"/>
                <w:szCs w:val="15"/>
              </w:rPr>
              <w:t xml:space="preserve">5-year lease with an option to buy the forklift for $1 at the end; Barada is reasonably certain to use it.</w:t>
            </w:r>
          </w:p>
        </w:tc>
      </w:tr>
      <w:tr>
        <w:tc>
          <w:tcPr>
            <w:tcW w:type="pct" w:w="2400"/>
            <w:tcMar>
              <w:top w:type="dxa" w:w="50"/>
              <w:left w:type="dxa" w:w="110"/>
              <w:bottom w:type="dxa" w:w="50"/>
              <w:right w:type="dxa" w:w="110"/>
            </w:tcMar>
          </w:tcPr>
          <w:p>
            <w:pPr>
              <w:spacing w:before="28" w:after="28"/>
            </w:pPr>
            <w:r>
              <w:rPr>
                <w:sz w:val="15"/>
                <w:szCs w:val="15"/>
              </w:rPr>
              <w:t xml:space="preserve">L3 Storage room</w:t>
            </w:r>
          </w:p>
        </w:tc>
        <w:tc>
          <w:tcPr>
            <w:tcW w:type="pct" w:w="2600"/>
            <w:tcMar>
              <w:top w:type="dxa" w:w="50"/>
              <w:left w:type="dxa" w:w="110"/>
              <w:bottom w:type="dxa" w:w="50"/>
              <w:right w:type="dxa" w:w="110"/>
            </w:tcMar>
          </w:tcPr>
          <w:p>
            <w:pPr>
              <w:spacing w:before="28" w:after="28"/>
            </w:pPr>
            <w:r>
              <w:rPr>
                <w:sz w:val="15"/>
                <w:szCs w:val="15"/>
              </w:rPr>
              <w:t xml:space="preserve">10-month lease; no purchase option. Barada applies the short-term exemption.</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L4 Laptops</w:t>
            </w:r>
          </w:p>
        </w:tc>
        <w:tc>
          <w:tcPr>
            <w:tcW w:type="pct" w:w="2600"/>
            <w:shd w:fill="FBFAF6" w:val="clear"/>
            <w:tcMar>
              <w:top w:type="dxa" w:w="50"/>
              <w:left w:type="dxa" w:w="110"/>
              <w:bottom w:type="dxa" w:w="50"/>
              <w:right w:type="dxa" w:w="110"/>
            </w:tcMar>
          </w:tcPr>
          <w:p>
            <w:pPr>
              <w:spacing w:before="28" w:after="28"/>
            </w:pPr>
            <w:r>
              <w:rPr>
                <w:sz w:val="15"/>
                <w:szCs w:val="15"/>
              </w:rPr>
              <w:t xml:space="preserve">3-year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of office laptops; standard terms; no transfer or option.</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Barada's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is 8%. The rate implicit in the leases is not known. Barada is not a public business entity but does not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value of an annuity of $1 for 3 years at 8%: 2.5771.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Remeasure the liability   ·   Present   ·   lease</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amortization   ·   2029   ·   lessee</w:t>
            </w:r>
          </w:p>
        </w:tc>
      </w:tr>
    </w:tbl>
    <w:p/>
    <w:p>
      <w:pPr>
        <w:pageBreakBefore w:val="true"/>
        <w:spacing w:after="0"/>
      </w:pPr>
      <w:r>
        <w:rPr>
          <w:sz w:val="2"/>
        </w:rPr>
        <w:t xml:space="preserve"> </w:t>
      </w:r>
    </w:p>
    <w:p>
      <w:pPr>
        <w:spacing w:before="44" w:after="10"/>
      </w:pPr>
      <w:r>
        <w:rPr>
          <w:b/>
          <w:bCs/>
          <w:color w:val="353A7C"/>
          <w:sz w:val="18"/>
          <w:szCs w:val="18"/>
        </w:rPr>
        <w:t xml:space="preserve">Lease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L1 Delivery trucks   ·   incremental borrowing rate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   المؤجر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short-term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قصير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البيع وإعادة الاستئجار</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Short-term leases, sale and leaseback, and IFRS 16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Exemption by class of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Remeasure the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or financing (IAS 7 today)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awareness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seller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Present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L1 Delivery trucks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Two: finance and operating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 plus interest: higher early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Exemption allowed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lessor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 In a sale and leaseback, a company sells an asset and leases it back. It is a sale only if control passes to the buyer under the revenue rules. If the leaseback is a finance lease, or the seller can buy the asset back, there is no sale: the cash received is a loan. IFRS 16 has one lessee model: every lease is accounted for like a finance lease, with depreciation and interest. It allows an exemption for low-value assets and remeasures the liability when an index such as CPI changes.</w:t>
      </w:r>
    </w:p>
    <w:p>
      <w:pPr>
        <w:spacing w:before="20" w:after="20"/>
        <w:ind w:left="240" w:hanging="240"/>
      </w:pPr>
      <w:r>
        <w:rPr>
          <w:b/>
          <w:bCs/>
          <w:color w:val="353A7C"/>
          <w:sz w:val="15"/>
          <w:szCs w:val="15"/>
        </w:rPr>
        <w:t xml:space="preserve">Summary 2   </w:t>
      </w:r>
      <w:r>
        <w:rPr>
          <w:color w:val="6B7280"/>
          <w:sz w:val="15"/>
          <w:szCs w:val="15"/>
        </w:rPr>
        <w:t xml:space="preserve">ASU 2023-01, on leases between companies under common control, is testable now at awareness level. ASU 2025-12 changes a lessor disclosure only; it is not testable before about January 2028.</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Gains and losses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Gains and losses   ·   holding gain or loss   ·   Presentation and IFRS differences   ·   Comprehensive income and reclassification</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gain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an increase or decrease in equity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transaction: something other than the company's main activities and other than a transaction with owners. </w:t>
      </w:r>
      <w:r>
        <w:rPr>
          <w:sz w:val="19"/>
          <w:szCs w:val="19"/>
        </w:rPr>
        <w:t xml:space="preserve">Selling an old machine,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lawsuit and a change in the value of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examples. </w:t>
      </w:r>
      <w:r>
        <w:rPr>
          <w:sz w:val="19"/>
          <w:szCs w:val="19"/>
        </w:rPr>
        <w:t xml:space="preserve">Gains and losses are shown net. </w:t>
      </w:r>
      <w:r>
        <w:rPr>
          <w:sz w:val="19"/>
          <w:szCs w:val="19"/>
        </w:rPr>
        <w:t xml:space="preserve">When Orontes sold its old Dubai oven, it did not report the proceeds as revenue;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w:t>
      </w:r>
      <w:r>
        <w:rPr>
          <w:sz w:val="19"/>
          <w:szCs w:val="19"/>
        </w:rPr>
        <w:t xml:space="preserve">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statement, most gains and losses appear in other income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below operating income. </w:t>
      </w:r>
      <w:r>
        <w:rPr>
          <w:sz w:val="19"/>
          <w:szCs w:val="19"/>
        </w:rPr>
        <w:t xml:space="preserve">Losses that arise from operating assets,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usually shown within operating expenses. </w:t>
      </w:r>
      <w:r>
        <w:rPr>
          <w:sz w:val="19"/>
          <w:szCs w:val="19"/>
        </w:rPr>
        <w:t xml:space="preserve">Items that are unusual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get a separate line within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before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carrying   ·   continuing   ·   multi-step   ·   expense   ·   reported   ·   loss   ·   settling   ·   operating   ·   investment   ·   impairments   ·   peripheral</w:t>
            </w:r>
          </w:p>
        </w:tc>
      </w:tr>
    </w:tbl>
    <w:p/>
    <w:p>
      <w:pPr>
        <w:pageBreakBefore w:val="true"/>
        <w:spacing w:after="0"/>
      </w:pPr>
      <w:r>
        <w:rPr>
          <w:sz w:val="2"/>
        </w:rPr>
        <w:t xml:space="preserve"> </w:t>
      </w:r>
    </w:p>
    <w:p>
      <w:pPr>
        <w:spacing w:before="44" w:after="10"/>
      </w:pPr>
      <w:r>
        <w:rPr>
          <w:b/>
          <w:bCs/>
          <w:color w:val="353A7C"/>
          <w:sz w:val="18"/>
          <w:szCs w:val="18"/>
        </w:rPr>
        <w:t xml:space="preserve">Where Orontes's 2025 gains and losses appear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gains on securities (Chapter 9)   ·   Unrealized loss on AFS debt securities, net of tax   ·   Impairment losses (Chapter 10)   ·   holding gain or loss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   gain   ·   خسارة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600"/>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Gains and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Gains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Comprehensive income and 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impairments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Unrealized gains on securities (Chapter 9)</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settling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Impairment losses (Chapter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loss on AFS debt securities, net of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multi-step</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 Gains and losses are shown net. When Orontes sold its old Dubai oven, it did not report the proceeds as revenue; it reported a gain of $3,000: the proceeds minus the carrying amount. In a multi-step statement, most gains and losses appear in other income and expense, below operating income. Losses that arise from operating assets, such as impairments, are usually shown within operating expenses. Items that are unusual or infrequent get a separate line within continuing operations, before tax.</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Expense recognition</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When there is a clear cause and effect   ·   Depreciation   ·   recognized   ·   fair value less cost to sell   ·   period cost   ·   principle   ·   systematic   ·   When a cost has no clear link to future revenue</w:t>
            </w:r>
          </w:p>
        </w:tc>
      </w:tr>
    </w:tbl>
    <w:p/>
    <w:p>
      <w:pPr>
        <w:spacing w:before="44" w:after="14"/>
      </w:pPr>
      <w:r>
        <w:rPr>
          <w:b/>
          <w:bCs/>
          <w:color w:val="353A7C"/>
          <w:sz w:val="18"/>
          <w:szCs w:val="18"/>
        </w:rPr>
        <w:t xml:space="preserve">Summary 1</w:t>
      </w:r>
      <w:r>
        <w:rPr>
          <w:color w:val="6B7280"/>
          <w:sz w:val="16"/>
          <w:szCs w:val="16"/>
        </w:rPr>
        <w:t xml:space="preserve">      gaps 8–9</w:t>
      </w:r>
    </w:p>
    <w:p>
      <w:pPr>
        <w:spacing w:before="20" w:after="20" w:line="360" w:lineRule="auto"/>
        <w:ind w:left="200"/>
      </w:pPr>
      <w:r>
        <w:rPr>
          <w:sz w:val="19"/>
          <w:szCs w:val="19"/>
        </w:rPr>
        <w:t xml:space="preserve">Advertising and research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expensed when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even if they may bring future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development   ·   recognition   ·   incurred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36"/>
        <w:gridCol w:w="2640"/>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expense recognition approaches</w:t>
            </w:r>
          </w:p>
        </w:tc>
      </w:tr>
      <w:tr>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Approach</w:t>
            </w:r>
          </w:p>
        </w:tc>
        <w:tc>
          <w:tcPr>
            <w:tcW w:type="pct" w:w="1375"/>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w:t>
            </w:r>
          </w:p>
        </w:tc>
      </w:tr>
      <w:tr>
        <w:tc>
          <w:tcPr>
            <w:tcW w:type="pct" w:w="1425"/>
            <w:tcMar>
              <w:top w:type="dxa" w:w="50"/>
              <w:left w:type="dxa" w:w="110"/>
              <w:bottom w:type="dxa" w:w="50"/>
              <w:right w:type="dxa" w:w="110"/>
            </w:tcMar>
          </w:tcPr>
          <w:p>
            <w:pPr>
              <w:spacing w:before="28" w:after="28"/>
            </w:pPr>
            <w:r>
              <w:rPr>
                <w:sz w:val="15"/>
                <w:szCs w:val="15"/>
              </w:rPr>
              <w:t xml:space="preserve">Cause and effect (matching)</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Cost of goods sold; sales commissions (capitalized, Chapter 11)</w:t>
            </w:r>
          </w:p>
        </w:tc>
      </w:tr>
      <w:tr>
        <w:tc>
          <w:tcPr>
            <w:tcW w:type="pct" w:w="1425"/>
            <w:shd w:fill="FBFAF6" w:val="clear"/>
            <w:tcMar>
              <w:top w:type="dxa" w:w="50"/>
              <w:left w:type="dxa" w:w="110"/>
              <w:bottom w:type="dxa" w:w="50"/>
              <w:right w:type="dxa" w:w="110"/>
            </w:tcMar>
          </w:tcPr>
          <w:p>
            <w:pPr>
              <w:spacing w:before="28" w:after="28"/>
            </w:pPr>
            <w:r>
              <w:rPr>
                <w:sz w:val="15"/>
                <w:szCs w:val="15"/>
              </w:rPr>
              <w:t xml:space="preserve">Systematic and rational allocation</w:t>
            </w:r>
          </w:p>
        </w:tc>
        <w:tc>
          <w:tcPr>
            <w:tcW w:type="pct" w:w="1375"/>
            <w:shd w:fill="FBFAF6" w:val="clear"/>
            <w:tcMar>
              <w:top w:type="dxa" w:w="50"/>
              <w:left w:type="dxa" w:w="110"/>
              <w:bottom w:type="dxa" w:w="50"/>
              <w:right w:type="dxa" w:w="110"/>
            </w:tcMar>
          </w:tcPr>
          <w:p>
            <w:pPr>
              <w:spacing w:before="28" w:after="28"/>
            </w:pPr>
            <w:r>
              <w:rPr>
                <w:sz w:val="15"/>
                <w:szCs w:val="15"/>
              </w:rPr>
              <w:t xml:space="preserve">Cost spread over the periods that benefit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25"/>
            <w:tcMar>
              <w:top w:type="dxa" w:w="50"/>
              <w:left w:type="dxa" w:w="110"/>
              <w:bottom w:type="dxa" w:w="50"/>
              <w:right w:type="dxa" w:w="110"/>
            </w:tcMar>
          </w:tcPr>
          <w:p>
            <w:pPr>
              <w:spacing w:before="28" w:after="28"/>
            </w:pPr>
            <w:r>
              <w:rPr>
                <w:sz w:val="15"/>
                <w:szCs w:val="15"/>
              </w:rPr>
              <w:t xml:space="preserve">Immediate recognition</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Advertising; research and development; most general administration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follows the related revenue   ·   Cost spread over the periods that benefit   ·   No clear link to future revenue: a period cost   ·   Depreciation of the bottling line; prepaid rent</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ASU 2024-03 will require public companies to break down some expense captions in the notes, for example into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purchases, employee pay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It does not change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examples   ·   recognition   ·   depreciation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Expense recognition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there is a clear cause and effect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Expense follows the related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 of the bottling line; 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 clear link to future revenue: a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When a cost has no clear link to future revenue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period cost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recognition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development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Advertising and research and development are expensed when incurred, even if they may bring future sales.</w:t>
      </w:r>
    </w:p>
    <w:p>
      <w:pPr>
        <w:spacing w:before="20" w:after="20"/>
        <w:ind w:left="240" w:hanging="240"/>
      </w:pPr>
      <w:r>
        <w:rPr>
          <w:b/>
          <w:bCs/>
          <w:color w:val="353A7C"/>
          <w:sz w:val="15"/>
          <w:szCs w:val="15"/>
        </w:rPr>
        <w:t xml:space="preserve">Summary 2   </w:t>
      </w:r>
      <w:r>
        <w:rPr>
          <w:color w:val="6B7280"/>
          <w:sz w:val="15"/>
          <w:szCs w:val="15"/>
        </w:rPr>
        <w:t xml:space="preserve">ASU 2024-03 will require public companies to break down some expense captions in the notes, for example into inventory purchases, employee pay and depreciation. It does not change recognition, and it is not testable before about January 2028.</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Comprehensive income and reclassification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Comprehensive income is net income plus other comprehensive income. </w:t>
      </w:r>
      <w:r>
        <w:rPr>
          <w:sz w:val="19"/>
          <w:szCs w:val="19"/>
        </w:rPr>
        <w:t xml:space="preserve">U.S. OCI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holding gains and losses 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debt securities, foreign currency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adjustments,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of cash-flow hedges, and some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gains and losses.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gains on equity securities are not OCI; they go to net income. </w:t>
      </w:r>
      <w:r>
        <w:rPr>
          <w:sz w:val="19"/>
          <w:szCs w:val="19"/>
        </w:rPr>
        <w:t xml:space="preserve">When an OCI item is realized, for example when an AFS bond is sold, the gain moves into net income. </w:t>
      </w:r>
      <w:r>
        <w:rPr>
          <w:sz w:val="19"/>
          <w:szCs w:val="19"/>
        </w:rPr>
        <w:t xml:space="preserve">At the same time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from OCI.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this adjustment, the same gain would be counted twice in comprehensive income: once in OCI when it arose, and again in net income on the sale. </w:t>
      </w:r>
      <w:r>
        <w:rPr>
          <w:sz w:val="19"/>
          <w:szCs w:val="19"/>
        </w:rPr>
        <w:t xml:space="preserve">Its value rises to $108,000 at the end of 2026,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sells it for $110,000 in 2027. </w:t>
      </w:r>
      <w:r>
        <w:rPr>
          <w:sz w:val="19"/>
          <w:szCs w:val="19"/>
        </w:rPr>
        <w:t xml:space="preserve">Over the two years, comprehensive income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tax is $10,000: the total gain, counted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before   ·   Orontes   ·   pension   ·   effective   ·   Unrealized   ·   includes   ·   adjustments   ·   Without   ·   removes   ·   reclassification   ·   translation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reclassification adjustment</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After tax at 25%, OCI is $6,000, and AOCI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up by the same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OCI for 2027 shows the holding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$2,000 and a reclassification of −$10,000: a net OCI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$8,000 before tax, $6,000 after tax. </w:t>
      </w:r>
      <w:r>
        <w:rPr>
          <w:sz w:val="19"/>
          <w:szCs w:val="19"/>
        </w:rPr>
        <w:t xml:space="preserve">AOCI for this bond returns to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amount   ·   returns   ·   gain   ·   loss   ·   builds</w:t>
            </w:r>
          </w:p>
        </w:tc>
      </w:tr>
    </w:tbl>
    <w:p/>
    <w:p>
      <w:pPr>
        <w:spacing w:before="44" w:after="10"/>
      </w:pPr>
      <w:r>
        <w:rPr>
          <w:b/>
          <w:bCs/>
          <w:color w:val="353A7C"/>
          <w:sz w:val="18"/>
          <w:szCs w:val="18"/>
        </w:rPr>
        <w:t xml:space="preserve">Suppose: OCI and the reclassification adjustment for an AFS bond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Tax at 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Forgetting the reclassification counts a realized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twice.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income adds this year's OCI, not the AOCI balance.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OCI net of tax, or before tax with one tax line: do not mix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   gain   ·   effective   ·   Comprehensive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comprehensive income   ·   disposal group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Comprehensive income and reclassification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builds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translation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pension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Tax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before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 When an OCI item is realized, for example when an AFS bond is sold, the gain moves into net income. At the same time a reclassification adjustment removes it from OCI. Without this adjustment, the same gain would be counted twice in comprehensive income: once in OCI when it arose, and again in net income on the sale. Its value rises to $108,000 at the end of 2026, and Orontes sells it for $110,000 in 2027. Over the two years, comprehensive income before tax is $10,000: the total gain, counted once.</w:t>
      </w:r>
    </w:p>
    <w:p>
      <w:pPr>
        <w:spacing w:before="20" w:after="20"/>
        <w:ind w:left="240" w:hanging="240"/>
      </w:pPr>
      <w:r>
        <w:rPr>
          <w:b/>
          <w:bCs/>
          <w:color w:val="353A7C"/>
          <w:sz w:val="15"/>
          <w:szCs w:val="15"/>
        </w:rPr>
        <w:t xml:space="preserve">Summary 2   </w:t>
      </w:r>
      <w:r>
        <w:rPr>
          <w:color w:val="6B7280"/>
          <w:sz w:val="15"/>
          <w:szCs w:val="15"/>
        </w:rPr>
        <w:t xml:space="preserve">After tax at 25%, OCI is $6,000, and AOCI builds up by the same amount. OCI for 2027 shows the holding gain of $2,000 and a reclassification of −$10,000: a net OCI loss of $8,000 before tax, $6,000 after tax. AOCI for this bond returns to zero.</w:t>
      </w:r>
    </w:p>
    <w:p>
      <w:pPr>
        <w:spacing w:before="20" w:after="20"/>
        <w:ind w:left="240" w:hanging="240"/>
      </w:pPr>
      <w:r>
        <w:rPr>
          <w:b/>
          <w:bCs/>
          <w:color w:val="353A7C"/>
          <w:sz w:val="15"/>
          <w:szCs w:val="15"/>
        </w:rPr>
        <w:t xml:space="preserve">Summary 3   </w:t>
      </w:r>
      <w:r>
        <w:rPr>
          <w:color w:val="6B7280"/>
          <w:sz w:val="15"/>
          <w:szCs w:val="15"/>
        </w:rPr>
        <w:t xml:space="preserve">Forgetting the reclassification counts a realized gain twice. Comprehensive income adds this year's OCI, not the AOCI balance. Report OCI net of tax, or before tax with one tax line: do not mix them.</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Is it a discontinued operation?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reported as a discontinued operation only if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true. </w:t>
      </w:r>
      <w:r>
        <w:rPr>
          <w:sz w:val="19"/>
          <w:szCs w:val="19"/>
        </w:rPr>
        <w:t xml:space="preserve">There is no official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'major'; it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machine, one store or one small product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shift. </w:t>
      </w:r>
      <w:r>
        <w:rPr>
          <w:sz w:val="19"/>
          <w:szCs w:val="19"/>
        </w:rPr>
        <w:t xml:space="preserve">The gain or loss stays in continuing operations, as for the Dubai oven. </w:t>
      </w:r>
      <w:r>
        <w:rPr>
          <w:sz w:val="19"/>
          <w:szCs w:val="19"/>
        </w:rPr>
        <w:t xml:space="preserve">A business that meets the held-for-sale criteria when it is acquired is also a discontinued operation.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   ·   things   ·   criteria   ·   Selling   ·   disposal   ·   strategic   ·   judgment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Strategic shift or not?</w:t>
            </w:r>
          </w:p>
        </w:tc>
      </w:tr>
    </w:tbl>
    <w:p/>
    <w:p>
      <w:pPr>
        <w:spacing w:before="20" w:after="20" w:line="360" w:lineRule="auto"/>
        <w:ind w:left="200"/>
      </w:pPr>
      <w:r>
        <w:rPr>
          <w:sz w:val="19"/>
          <w:szCs w:val="19"/>
        </w:rPr>
        <w:t xml:space="preserve">The first two are done. Decide whether each of the others is a discontinued operation.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Strategic shift or not?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these disposals happen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Discontinued operation?</w:t>
            </w:r>
          </w:p>
        </w:tc>
      </w:tr>
      <w:tr>
        <w:tc>
          <w:tcPr>
            <w:tcW w:type="pct" w:w="2600"/>
            <w:tcMar>
              <w:top w:type="dxa" w:w="50"/>
              <w:left w:type="dxa" w:w="110"/>
              <w:bottom w:type="dxa" w:w="50"/>
              <w:right w:type="dxa" w:w="110"/>
            </w:tcMar>
          </w:tcPr>
          <w:p>
            <w:pPr>
              <w:spacing w:before="28" w:after="28"/>
            </w:pPr>
            <w:r>
              <w:rPr>
                <w:sz w:val="15"/>
                <w:szCs w:val="15"/>
              </w:rPr>
              <w:t xml:space="preserve">Orontes sells its whole frozen-foods business, one of its four product lines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closes one of its twelve olive-oil shops</w:t>
            </w:r>
          </w:p>
        </w:tc>
        <w:tc>
          <w:tcPr>
            <w:tcW w:type="pct" w:w="2400"/>
            <w:shd w:fill="FBFAF6" w:val="clear"/>
            <w:tcMar>
              <w:top w:type="dxa" w:w="50"/>
              <w:left w:type="dxa" w:w="110"/>
              <w:bottom w:type="dxa" w:w="50"/>
              <w:right w:type="dxa" w:w="110"/>
            </w:tcMar>
          </w:tcPr>
          <w:p>
            <w:pPr>
              <w:spacing w:before="28" w:after="28"/>
            </w:pPr>
            <w:r>
              <w:rPr>
                <w:sz w:val="15"/>
                <w:szCs w:val="15"/>
              </w:rPr>
              <w:t xml:space="preserve">No: not a strategic shift</w:t>
            </w:r>
          </w:p>
        </w:tc>
      </w:tr>
      <w:tr>
        <w:tc>
          <w:tcPr>
            <w:tcW w:type="pct" w:w="2600"/>
            <w:tcMar>
              <w:top w:type="dxa" w:w="50"/>
              <w:left w:type="dxa" w:w="110"/>
              <w:bottom w:type="dxa" w:w="50"/>
              <w:right w:type="dxa" w:w="110"/>
            </w:tcMar>
          </w:tcPr>
          <w:p>
            <w:pPr>
              <w:spacing w:before="28" w:after="28"/>
            </w:pPr>
            <w:r>
              <w:rPr>
                <w:sz w:val="15"/>
                <w:szCs w:val="15"/>
              </w:rPr>
              <w:t xml:space="preserve">Orontes sells all its operations in Jordan, its only foreign market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sells an old bottling machine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Orontes sells its 30% stake in Jordan Glass, a major equity-method investment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stops selling one flavour of juice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Yes: a major line of business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equity-method   ·   the disposal is a strategic shift that has   ·   it is a component of an entity   ·   operations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تحول استراتيجي   ·   component of an entity   ·   discontinued operation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Is it a discontinued operation?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disposal is a strategic shift that has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discontinued 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Yes: a major line of business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disposal is reported as a discontinued operation only if three things are true. There is no official percentage for 'major'; it is a judgment. Selling one machine, one store or one small product is not a strategic shift. The gain or loss stays in continuing operations, as for the Dubai oven. A business that meets the held-for-sale criteria when it is acquired is also a discontinued operation.</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Held for sale: criteria and measurement</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be reported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before it is sold, once it is held for sale. </w:t>
      </w:r>
      <w:r>
        <w:rPr>
          <w:sz w:val="19"/>
          <w:szCs w:val="19"/>
        </w:rPr>
        <w:t xml:space="preserve">All six criteria must be met: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authority commits to a plan; the business is available for immediate sale; an active search for a buyer has begun; a sale is probable within one year; the price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the plan is unlikely to change.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disposal group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the lower of its carrying amount and its fair value less cost to sell. </w:t>
      </w:r>
      <w:r>
        <w:rPr>
          <w:sz w:val="19"/>
          <w:szCs w:val="19"/>
        </w:rPr>
        <w:t xml:space="preserve">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 loss.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stops, and later increases in value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up to the losses already recorded. </w:t>
      </w:r>
      <w:r>
        <w:rPr>
          <w:sz w:val="19"/>
          <w:szCs w:val="19"/>
        </w:rPr>
        <w:t xml:space="preserve">The board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 in March, but the business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held for sale only on June 30, when all six criteria were met. </w:t>
      </w:r>
      <w:r>
        <w:rPr>
          <w:sz w:val="19"/>
          <w:szCs w:val="19"/>
        </w:rPr>
        <w:t xml:space="preserve">It includes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goodwill left after the 2025 impairment. </w:t>
      </w:r>
      <w:r>
        <w:rPr>
          <w:sz w:val="19"/>
          <w:szCs w:val="19"/>
        </w:rPr>
        <w:t xml:space="preserve">The carrying amount of $3,180,000 is above fair value less cost to sell of $3,000,000, so Orontes records a loss of $180,000. </w:t>
      </w:r>
      <w:r>
        <w:rPr>
          <w:sz w:val="19"/>
          <w:szCs w:val="19"/>
        </w:rPr>
        <w:t xml:space="preserve">This is the disposal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discontinued   ·   held-for-sale   ·   component   ·   reasonable   ·   approved   ·   recognized   ·   write-down   ·   became   ·   impairment   ·   measured   ·   management   ·   frozen-foods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Held-for-sale traps</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Board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alone is not enough: all six criteria must be met. </w:t>
      </w:r>
      <w:r>
        <w:rPr>
          <w:sz w:val="19"/>
          <w:szCs w:val="19"/>
        </w:rPr>
        <w:t xml:space="preserve">Recognize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when the group becomes held for sale, not only when it is sold. </w:t>
      </w:r>
      <w:r>
        <w:rPr>
          <w:sz w:val="19"/>
          <w:szCs w:val="19"/>
        </w:rPr>
        <w:t xml:space="preserve">Stop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once the group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   ·   write-down   ·   depreciation   ·   impairment</w:t>
            </w:r>
          </w:p>
        </w:tc>
      </w:tr>
    </w:tbl>
    <w:p/>
    <w:p>
      <w:pPr>
        <w:spacing w:before="44" w:after="10"/>
      </w:pPr>
      <w:r>
        <w:rPr>
          <w:b/>
          <w:bCs/>
          <w:color w:val="353A7C"/>
          <w:sz w:val="18"/>
          <w:szCs w:val="18"/>
        </w:rPr>
        <w:t xml:space="preserve">Suppose: measuring the frozen-foods disposal group on June 30,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Inventory   ·   component of an entity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holding gain or loss   ·   fair value less cost to sell   ·   held for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Held for sale: criteria and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discontinued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frozen-foods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 A held-for-sale disposal group is measured at the lower of its carrying amount and its fair value less cost to sell. Any write-down is a loss. Depreciation stops, and later increases in value are recognized only up to the losses already recorded. The board approved the plan in March, but the business became held for sale only on June 30, when all six criteria were met. It includes the frozen-foods goodwill left after the 2025 impairment. The carrying amount of $3,180,000 is above fair value less cost to sell of $3,000,000, so Orontes records a loss of $180,000. This is the disposal loss.</w:t>
      </w:r>
    </w:p>
    <w:p>
      <w:pPr>
        <w:spacing w:before="20" w:after="20"/>
        <w:ind w:left="240" w:hanging="240"/>
      </w:pPr>
      <w:r>
        <w:rPr>
          <w:b/>
          <w:bCs/>
          <w:color w:val="353A7C"/>
          <w:sz w:val="15"/>
          <w:szCs w:val="15"/>
        </w:rPr>
        <w:t xml:space="preserve">Summary 2   </w:t>
      </w:r>
      <w:r>
        <w:rPr>
          <w:color w:val="6B7280"/>
          <w:sz w:val="15"/>
          <w:szCs w:val="15"/>
        </w:rPr>
        <w:t xml:space="preserve">Board approval alone is not enough: all six criteria must be met. Recognize the write-down when the group becomes held for sale, not only when it is sold. Stop depreciation once the group is held for sale.</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Presentation and IFRS differences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results of a discontinued operation, including its operating results and 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disposal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loss, are shown net of their own tax below income from continuing operations.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companies also show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amounts for discontinued operations. </w:t>
      </w:r>
      <w:r>
        <w:rPr>
          <w:sz w:val="19"/>
          <w:szCs w:val="19"/>
        </w:rPr>
        <w:t xml:space="preserve">The comparative years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that all periods are shown on the same basis. </w:t>
      </w:r>
      <w:r>
        <w:rPr>
          <w:sz w:val="19"/>
          <w:szCs w:val="19"/>
        </w:rPr>
        <w:t xml:space="preserve">On the balance sheet, the assets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 discontinued operation are shown separately for all periods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that are not a discontinued operation are also shown separately, but their results stay in continuing operations. </w:t>
      </w:r>
      <w:r>
        <w:rPr>
          <w:sz w:val="19"/>
          <w:szCs w:val="19"/>
        </w:rPr>
        <w:t xml:space="preserve">Under IFRS 5, a discontinued operation must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major line of business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area, and earlier balance sheets are not re-presented. </w:t>
      </w:r>
      <w:r>
        <w:rPr>
          <w:sz w:val="19"/>
          <w:szCs w:val="19"/>
        </w:rPr>
        <w:t xml:space="preserve">Some IFRS OCI items, such as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surplus, never return to profit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Held-for-sale   ·   gain   ·   geographical   ·   per-share   ·   Public   ·   remeasurement   ·   liabilities   ·   presented   ·   reclassified   ·   separate   ·   revaluation</w:t>
            </w:r>
          </w:p>
        </w:tc>
      </w:tr>
    </w:tbl>
    <w:p/>
    <w:p>
      <w:pPr>
        <w:spacing w:before="44" w:after="10"/>
      </w:pPr>
      <w:r>
        <w:rPr>
          <w:b/>
          <w:bCs/>
          <w:color w:val="353A7C"/>
          <w:sz w:val="18"/>
          <w:szCs w:val="18"/>
        </w:rPr>
        <w:t xml:space="preserve">Discontinued operations and OCI: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allowed   ·   Re-presented: assets and liabilities shown separately   ·   Component + strategic shift with a major effect   ·   Unchanged   ·   period cost   ·   Highly probable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17–18</w:t>
      </w:r>
    </w:p>
    <w:p>
      <w:pPr>
        <w:spacing w:before="20" w:after="20" w:line="360" w:lineRule="auto"/>
        <w:ind w:left="200"/>
      </w:pPr>
      <w:r>
        <w:rPr>
          <w:sz w:val="19"/>
          <w:szCs w:val="19"/>
        </w:rPr>
        <w:t xml:space="preserve">U.S. GAAP has no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items: unusual or infrequent items stay in continuing operations, before tax. </w:t>
      </w:r>
      <w:r>
        <w:rPr>
          <w:sz w:val="19"/>
          <w:szCs w:val="19"/>
        </w:rPr>
        <w:t xml:space="preserve">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operations are shown net of tax below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Held-for-sale   ·   discontinued   ·   extraordinary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Orontes,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a warehouse</w:t>
            </w:r>
          </w:p>
        </w:tc>
        <w:tc>
          <w:tcPr>
            <w:tcW w:type="pct" w:w="26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400"/>
            <w:tcMar>
              <w:top w:type="dxa" w:w="50"/>
              <w:left w:type="dxa" w:w="110"/>
              <w:bottom w:type="dxa" w:w="50"/>
              <w:right w:type="dxa" w:w="110"/>
            </w:tcMar>
          </w:tcPr>
          <w:p>
            <w:pPr>
              <w:spacing w:before="28" w:after="28"/>
            </w:pPr>
            <w:r>
              <w:rPr>
                <w:sz w:val="15"/>
                <w:szCs w:val="15"/>
              </w:rPr>
              <w:t xml:space="preserve">Loss on settlement of a lawsuit (unusual for Orontes)</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Dry-foods division: operating loss before tax</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Dry-foods division: gain on sale before tax</w:t>
            </w:r>
          </w:p>
        </w:tc>
        <w:tc>
          <w:tcPr>
            <w:tcW w:type="pct" w:w="2600"/>
            <w:shd w:fill="FBFAF6" w:val="clear"/>
            <w:tcMar>
              <w:top w:type="dxa" w:w="50"/>
              <w:left w:type="dxa" w:w="110"/>
              <w:bottom w:type="dxa" w:w="50"/>
              <w:right w:type="dxa" w:w="110"/>
            </w:tcMar>
          </w:tcPr>
          <w:p>
            <w:pPr>
              <w:spacing w:before="28" w:after="28"/>
            </w:pPr>
            <w:r>
              <w:rPr>
                <w:sz w:val="15"/>
                <w:szCs w:val="15"/>
              </w:rPr>
              <w:t xml:space="preserve">280</w:t>
            </w:r>
          </w:p>
        </w:tc>
      </w:tr>
      <w:tr>
        <w:tc>
          <w:tcPr>
            <w:tcW w:type="pct" w:w="2400"/>
            <w:tcMar>
              <w:top w:type="dxa" w:w="50"/>
              <w:left w:type="dxa" w:w="110"/>
              <w:bottom w:type="dxa" w:w="50"/>
              <w:right w:type="dxa" w:w="110"/>
            </w:tcMar>
          </w:tcPr>
          <w:p>
            <w:pPr>
              <w:spacing w:before="28" w:after="28"/>
            </w:pPr>
            <w:r>
              <w:rPr>
                <w:sz w:val="15"/>
                <w:szCs w:val="15"/>
              </w:rPr>
              <w:t xml:space="preserve">Unrealized holding gain on AFS debt securities during 2027</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8" w:after="28"/>
            </w:pPr>
            <w:r>
              <w:rPr>
                <w:sz w:val="15"/>
                <w:szCs w:val="15"/>
              </w:rPr>
              <w:t xml:space="preserve">24</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2027 Orontes sold its dry-foods division, one of its main product lines. The sale is a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with a major effect.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tax rate is 25% on all items. The realized AFS gain is already in the other income figures.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Orontes presents one continuous statement of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items   ·   strategic shift   ·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All operations in Jordan</w:t>
            </w:r>
          </w:p>
        </w:tc>
        <w:tc>
          <w:tcPr>
            <w:tcW w:type="pct" w:w="2600"/>
            <w:tcMar>
              <w:top w:type="dxa" w:w="50"/>
              <w:left w:type="dxa" w:w="110"/>
              <w:bottom w:type="dxa" w:w="50"/>
              <w:right w:type="dxa" w:w="110"/>
            </w:tcMar>
          </w:tcPr>
          <w:p>
            <w:pPr>
              <w:spacing w:before="28" w:after="28"/>
            </w:pPr>
            <w:r>
              <w:rPr>
                <w:sz w:val="15"/>
                <w:szCs w:val="15"/>
              </w:rPr>
              <w:t xml:space="preserve">Yes: a major geographic area.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An old bottling machine</w:t>
            </w:r>
          </w:p>
        </w:tc>
        <w:tc>
          <w:tcPr>
            <w:tcW w:type="pct" w:w="2600"/>
            <w:shd w:fill="FBFAF6" w:val="clear"/>
            <w:tcMar>
              <w:top w:type="dxa" w:w="50"/>
              <w:left w:type="dxa" w:w="110"/>
              <w:bottom w:type="dxa" w:w="50"/>
              <w:right w:type="dxa" w:w="110"/>
            </w:tcMar>
          </w:tcPr>
          <w:p>
            <w:pPr>
              <w:spacing w:before="28" w:after="28"/>
            </w:pPr>
            <w:r>
              <w:rPr>
                <w:sz w:val="15"/>
                <w:szCs w:val="15"/>
              </w:rPr>
              <w:t xml:space="preserve">No: a single asset; the gain or loss stays in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operations.</w:t>
            </w:r>
          </w:p>
        </w:tc>
      </w:tr>
      <w:tr>
        <w:tc>
          <w:tcPr>
            <w:tcW w:type="pct" w:w="2400"/>
            <w:tcMar>
              <w:top w:type="dxa" w:w="50"/>
              <w:left w:type="dxa" w:w="110"/>
              <w:bottom w:type="dxa" w:w="50"/>
              <w:right w:type="dxa" w:w="110"/>
            </w:tcMar>
          </w:tcPr>
          <w:p>
            <w:pPr>
              <w:spacing w:before="28" w:after="28"/>
            </w:pPr>
            <w:r>
              <w:rPr>
                <w:sz w:val="15"/>
                <w:szCs w:val="15"/>
              </w:rPr>
              <w:t xml:space="preserve">The stake in Jordan Glass</w:t>
            </w:r>
          </w:p>
        </w:tc>
        <w:tc>
          <w:tcPr>
            <w:tcW w:type="pct" w:w="2600"/>
            <w:tcMar>
              <w:top w:type="dxa" w:w="50"/>
              <w:left w:type="dxa" w:w="110"/>
              <w:bottom w:type="dxa" w:w="50"/>
              <w:right w:type="dxa" w:w="110"/>
            </w:tcMar>
          </w:tcPr>
          <w:p>
            <w:pPr>
              <w:spacing w:before="28" w:after="28"/>
            </w:pPr>
            <w:r>
              <w:rPr>
                <w:sz w:val="15"/>
                <w:szCs w:val="15"/>
              </w:rPr>
              <w:t xml:space="preserve">Yes: a major equity-method investment.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One juice flavour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Definition of discontinued operation   ·   continuing</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Dry-foods operating loss   ·   held for sale   ·   Lawsuit settlement loss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مكسب (مكاسب)   ·   discontinued operation</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Presentation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Re-presented: assets and liabilities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Not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per-share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extraordinary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geographical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Lawsuit settlement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Dry-foods operating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Component + strategic shift with a major effect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Highly probable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discontinued operation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 On the balance sheet, the assets and liabilities of a discontinued operation are shown separately for all periods presented. Held-for-sale assets that are not a discontinued operation are also shown separately, but their results stay in continuing operations. Under IFRS 5, a discontinued operation must be a separate major line of business or geographical area, and earlier balance sheets are not re-presented. Some IFRS OCI items, such as a revaluation surplus, never return to profit or loss.</w:t>
      </w:r>
    </w:p>
    <w:p>
      <w:pPr>
        <w:spacing w:before="20" w:after="20"/>
        <w:ind w:left="240" w:hanging="240"/>
      </w:pPr>
      <w:r>
        <w:rPr>
          <w:b/>
          <w:bCs/>
          <w:color w:val="353A7C"/>
          <w:sz w:val="15"/>
          <w:szCs w:val="15"/>
        </w:rPr>
        <w:t xml:space="preserve">Summary 2   </w:t>
      </w:r>
      <w:r>
        <w:rPr>
          <w:color w:val="6B7280"/>
          <w:sz w:val="15"/>
          <w:szCs w:val="15"/>
        </w:rPr>
        <w:t xml:space="preserve">U.S. GAAP has no extraordinary items: unusual or infrequent items stay in continuing operations, before tax. Only discontinued operations are shown net of tax below continuing operations.</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69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2693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What consolidated statements are   ·   Eliminating intercompany balances and transact</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 exam uses noncontrolling interest.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controls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beneficiary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consolidated statements 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 exam uses noncontrolling interest. It is equity, never a liability.</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its activities, or if its equity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 not have the power to direct it or do not bear its losses and returns. </w:t>
      </w:r>
      <w:r>
        <w:rPr>
          <w:sz w:val="19"/>
          <w:szCs w:val="19"/>
        </w:rPr>
        <w:t xml:space="preserve">A VIE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its primary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party that has both the power to direct the activities that most affect the VIE's performance and the obligation to absorb losses, or the right to receive benefits, that could be significant. </w:t>
      </w:r>
      <w:r>
        <w:rPr>
          <w:sz w:val="19"/>
          <w:szCs w:val="19"/>
        </w:rPr>
        <w:t xml:space="preserve">Both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required. </w:t>
      </w:r>
      <w:r>
        <w:rPr>
          <w:sz w:val="19"/>
          <w:szCs w:val="19"/>
        </w:rPr>
        <w:t xml:space="preserve">If the entity is not a VIE,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model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holds more than 50% of the votes generally controls the entity, unless other owners have substantive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rights, such as the right to approve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holders   ·   variable   ·   applies   ·   consolidated   ·   conditions   ·   applied   ·   beneficiary   ·   participating   ·   primary   ·   voting   ·   finance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a logistics entrepreneur owns all the shares of 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Logistics SPV. </w:t>
      </w:r>
      <w:r>
        <w:rPr>
          <w:sz w:val="19"/>
          <w:szCs w:val="19"/>
        </w:rPr>
        <w:t xml:space="preserve">The shares cost $100,000. </w:t>
      </w:r>
      <w:r>
        <w:rPr>
          <w:sz w:val="19"/>
          <w:szCs w:val="19"/>
        </w:rPr>
        <w:t xml:space="preserve">Banks lend $9,900,000,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SPV is a VIE. </w:t>
      </w:r>
      <w:r>
        <w:rPr>
          <w:sz w:val="19"/>
          <w:szCs w:val="19"/>
        </w:rPr>
        <w:t xml:space="preserve">Orontes has the power and bears the losses through its guarantee, so it is the primary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SPV although it owns no shares.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$100,000 is NCI.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Cold-Chain   ·   activities   ·   entrepreneur's   ·   beneficiary   ·   guaranteed   ·   consolidates   ·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42"/>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200"/>
            <w:tcMar>
              <w:top w:type="dxa" w:w="50"/>
              <w:left w:type="dxa" w:w="110"/>
              <w:bottom w:type="dxa" w:w="50"/>
              <w:right w:type="dxa" w:w="110"/>
            </w:tcMar>
          </w:tcPr>
          <w:p>
            <w:pPr>
              <w:spacing w:before="28" w:after="28"/>
            </w:pPr>
            <w:r>
              <w:rPr>
                <w:sz w:val="15"/>
                <w:szCs w:val="15"/>
              </w:rPr>
              <w:t xml:space="preserve">No: third-party equity is 100,000, only 1% of total funding</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58"/>
            <w:shd w:fill="FBFAF6" w:val="clear"/>
            <w:tcMar>
              <w:top w:type="dxa" w:w="50"/>
              <w:left w:type="dxa" w:w="110"/>
              <w:bottom w:type="dxa" w:w="50"/>
              <w:right w:type="dxa" w:w="110"/>
            </w:tcMar>
          </w:tcPr>
          <w:p>
            <w:pPr>
              <w:spacing w:before="28" w:after="28"/>
            </w:pPr>
            <w:r>
              <w:rPr>
                <w:sz w:val="15"/>
                <w:szCs w:val="15"/>
              </w:rPr>
              <w:t xml:space="preserve">VIE</w:t>
            </w:r>
          </w:p>
        </w:tc>
      </w:tr>
      <w:tr>
        <w:tc>
          <w:tcPr>
            <w:tcW w:type="pct" w:w="2042"/>
            <w:tcMar>
              <w:top w:type="dxa" w:w="50"/>
              <w:left w:type="dxa" w:w="110"/>
              <w:bottom w:type="dxa" w:w="50"/>
              <w:right w:type="dxa" w:w="110"/>
            </w:tcMar>
          </w:tcPr>
          <w:p>
            <w:pPr>
              <w:spacing w:before="28" w:after="28"/>
            </w:pPr>
            <w:r>
              <w:rPr>
                <w:sz w:val="15"/>
                <w:szCs w:val="15"/>
              </w:rPr>
              <w:t xml:space="preserve">Who absorbs losses?</w:t>
            </w:r>
          </w:p>
        </w:tc>
        <w:tc>
          <w:tcPr>
            <w:tcW w:type="pct" w:w="2200"/>
            <w:tcMar>
              <w:top w:type="dxa" w:w="50"/>
              <w:left w:type="dxa" w:w="110"/>
              <w:bottom w:type="dxa" w:w="50"/>
              <w:right w:type="dxa" w:w="110"/>
            </w:tcMar>
          </w:tcPr>
          <w:p>
            <w:pPr>
              <w:spacing w:before="28" w:after="28"/>
            </w:pPr>
            <w:r>
              <w:rPr>
                <w:sz w:val="15"/>
                <w:szCs w:val="15"/>
              </w:rPr>
              <w:t xml:space="preserve">Orontes guarantees the 9,900,000 of debt</w:t>
            </w:r>
          </w:p>
        </w:tc>
        <w:tc>
          <w:tcPr>
            <w:tcW w:type="pct" w:w="758"/>
            <w:tcMar>
              <w:top w:type="dxa" w:w="50"/>
              <w:left w:type="dxa" w:w="110"/>
              <w:bottom w:type="dxa" w:w="50"/>
              <w:right w:type="dxa" w:w="110"/>
            </w:tcMar>
          </w:tcPr>
          <w:p>
            <w:pPr>
              <w:spacing w:before="28" w:after="28"/>
            </w:pPr>
            <w:r>
              <w:rPr>
                <w:sz w:val="15"/>
                <w:szCs w:val="15"/>
              </w:rPr>
              <w:t xml:space="preserve">Orontes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has both power and exposure to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losses</w:t>
            </w:r>
          </w:p>
        </w:tc>
        <w:tc>
          <w:tcPr>
            <w:tcW w:type="pct" w:w="758"/>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42"/>
            <w:tcMar>
              <w:top w:type="dxa" w:w="50"/>
              <w:left w:type="dxa" w:w="110"/>
              <w:bottom w:type="dxa" w:w="50"/>
              <w:right w:type="dxa" w:w="110"/>
            </w:tcMar>
          </w:tcPr>
          <w:p>
            <w:pPr>
              <w:spacing w:before="28" w:after="28"/>
            </w:pPr>
            <w:r>
              <w:rPr>
                <w:sz w:val="15"/>
                <w:szCs w:val="15"/>
              </w:rPr>
              <w:t xml:space="preserve">NCI in consolidation</w:t>
            </w:r>
          </w:p>
        </w:tc>
        <w:tc>
          <w:tcPr>
            <w:tcW w:type="pct" w:w="2200"/>
            <w:tcMar>
              <w:top w:type="dxa" w:w="50"/>
              <w:left w:type="dxa" w:w="110"/>
              <w:bottom w:type="dxa" w:w="50"/>
              <w:right w:type="dxa" w:w="110"/>
            </w:tcMar>
          </w:tcPr>
          <w:p>
            <w:pPr>
              <w:spacing w:before="28" w:after="28"/>
            </w:pPr>
            <w:r>
              <w:rPr>
                <w:sz w:val="15"/>
                <w:szCs w:val="15"/>
              </w:rPr>
              <w:t xml:space="preserve">The third party's equity of 100,000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controlling financial interest   ·   Shown as NCI   ·   No: Orontes decides routes and customers   ·   Suggests a VIE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Test the VIE model 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needs power AND significant economics, not one of them. </w:t>
      </w:r>
      <w:r>
        <w:rPr>
          <w:sz w:val="19"/>
          <w:szCs w:val="19"/>
        </w:rPr>
        <w:t xml:space="preserve">Under U.S. GAAP, less than half of the votes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even if the other owners are widely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beneficiary   ·   control   ·   counting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consolidates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entrepreneur's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holders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Suggests a 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Orontes decides routes and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beneficiary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voting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participating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Cold-Chain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 Both conditions are required. If the entity is not a VIE, the voting interest model applies. A company that holds more than 50% of the votes generally controls the entity, unless other owners have substantive participating rights, such as the right to approve budgets.</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The shares cost $100,000. Banks lend $9,900,000, guaranteed by Orontes. Equity is only 1% of the funding, and Orontes decides routes and customers: the SPV is a VIE. Orontes has the power and bears the losses through its guarantee, so it is the primary beneficiary. Orontes consolidates the SPV although it owns no shares. The entrepreneur's $100,000 is NCI.</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are added in full, and NCI shows the part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influence, usually 20% to 50% of the votes, and for most joint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one line on the balance sheet, and the investor's share of income is one line on the income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for Jordan Glass.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consolidation adds only the investor's share of each asset,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revenue and expense. </w:t>
      </w:r>
      <w:r>
        <w:rPr>
          <w:sz w:val="19"/>
          <w:szCs w:val="19"/>
        </w:rPr>
        <w:t xml:space="preserve">U.S. GAAP generally does not allow it; it survives only for some construction and oil and gas interests.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bottles   ·   investment   ·   subsidiary's   ·   Proportionate   ·   controls   ·   statement   ·   ventures   ·   significant   ·   entity   ·   parent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77"/>
        <w:gridCol w:w="2874"/>
        <w:gridCol w:w="2740"/>
        <w:gridCol w:w="1397"/>
        <w:gridCol w:w="111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6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497"/>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427"/>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728"/>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579"/>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69"/>
            <w:tcMar>
              <w:top w:type="dxa" w:w="50"/>
              <w:left w:type="dxa" w:w="110"/>
              <w:bottom w:type="dxa" w:w="50"/>
              <w:right w:type="dxa" w:w="110"/>
            </w:tcMar>
          </w:tcPr>
          <w:p>
            <w:pPr>
              <w:spacing w:before="28" w:after="28"/>
            </w:pPr>
            <w:r>
              <w:rPr>
                <w:sz w:val="15"/>
                <w:szCs w:val="15"/>
              </w:rPr>
              <w:t xml:space="preserve">Full consolidation</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27"/>
            <w:tcMar>
              <w:top w:type="dxa" w:w="50"/>
              <w:left w:type="dxa" w:w="110"/>
              <w:bottom w:type="dxa" w:w="50"/>
              <w:right w:type="dxa" w:w="110"/>
            </w:tcMar>
          </w:tcPr>
          <w:p>
            <w:pPr>
              <w:spacing w:before="28" w:after="28"/>
            </w:pPr>
            <w:r>
              <w:rPr>
                <w:sz w:val="15"/>
                <w:szCs w:val="15"/>
              </w:rPr>
              <w:t xml:space="preserve">100% of each asset,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revenue and expense; NCI shown</w:t>
            </w:r>
          </w:p>
        </w:tc>
        <w:tc>
          <w:tcPr>
            <w:tcW w:type="pct" w:w="728"/>
            <w:tcMar>
              <w:top w:type="dxa" w:w="50"/>
              <w:left w:type="dxa" w:w="110"/>
              <w:bottom w:type="dxa" w:w="50"/>
              <w:right w:type="dxa" w:w="110"/>
            </w:tcMar>
          </w:tcPr>
          <w:p>
            <w:pPr>
              <w:spacing w:before="28" w:after="28"/>
            </w:pPr>
            <w:r>
              <w:rPr>
                <w:sz w:val="15"/>
                <w:szCs w:val="15"/>
              </w:rPr>
              <w:t xml:space="preserve">100% of intercompany items</w:t>
            </w:r>
          </w:p>
        </w:tc>
        <w:tc>
          <w:tcPr>
            <w:tcW w:type="pct" w:w="579"/>
            <w:tcMar>
              <w:top w:type="dxa" w:w="50"/>
              <w:left w:type="dxa" w:w="110"/>
              <w:bottom w:type="dxa" w:w="50"/>
              <w:right w:type="dxa" w:w="110"/>
            </w:tcMar>
          </w:tcPr>
          <w:p>
            <w:pPr>
              <w:spacing w:before="28" w:after="28"/>
            </w:pPr>
            <w:r>
              <w:rPr>
                <w:sz w:val="15"/>
                <w:szCs w:val="15"/>
              </w:rPr>
              <w:t xml:space="preserve">Levant (80%)</w:t>
            </w:r>
          </w:p>
        </w:tc>
      </w:tr>
      <w:tr>
        <w:tc>
          <w:tcPr>
            <w:tcW w:type="pct" w:w="769"/>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27"/>
            <w:shd w:fill="FBFAF6" w:val="clear"/>
            <w:tcMar>
              <w:top w:type="dxa" w:w="50"/>
              <w:left w:type="dxa" w:w="110"/>
              <w:bottom w:type="dxa" w:w="50"/>
              <w:right w:type="dxa" w:w="110"/>
            </w:tcMar>
          </w:tcPr>
          <w:p>
            <w:pPr>
              <w:spacing w:before="28" w:after="28"/>
            </w:pPr>
            <w:r>
              <w:rPr>
                <w:sz w:val="15"/>
                <w:szCs w:val="15"/>
              </w:rPr>
              <w:t xml:space="preserve">One line: investment and share of income</w:t>
            </w:r>
          </w:p>
        </w:tc>
        <w:tc>
          <w:tcPr>
            <w:tcW w:type="pct" w:w="72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79"/>
            <w:shd w:fill="FBFAF6" w:val="clear"/>
            <w:tcMar>
              <w:top w:type="dxa" w:w="50"/>
              <w:left w:type="dxa" w:w="110"/>
              <w:bottom w:type="dxa" w:w="50"/>
              <w:right w:type="dxa" w:w="110"/>
            </w:tcMar>
          </w:tcPr>
          <w:p>
            <w:pPr>
              <w:spacing w:before="28" w:after="28"/>
            </w:pPr>
            <w:r>
              <w:rPr>
                <w:sz w:val="15"/>
                <w:szCs w:val="15"/>
              </w:rPr>
              <w:t xml:space="preserve">Jordan Glass (30%)</w:t>
            </w:r>
          </w:p>
        </w:tc>
      </w:tr>
      <w:tr>
        <w:tc>
          <w:tcPr>
            <w:tcW w:type="pct" w:w="769"/>
            <w:tcMar>
              <w:top w:type="dxa" w:w="50"/>
              <w:left w:type="dxa" w:w="110"/>
              <w:bottom w:type="dxa" w:w="50"/>
              <w:right w:type="dxa" w:w="110"/>
            </w:tcMar>
          </w:tcPr>
          <w:p>
            <w:pPr>
              <w:spacing w:before="28" w:after="28"/>
            </w:pPr>
            <w:r>
              <w:rPr>
                <w:sz w:val="15"/>
                <w:szCs w:val="15"/>
              </w:rPr>
              <w:t xml:space="preserve">Proportionate consolidation</w:t>
            </w:r>
          </w:p>
        </w:tc>
        <w:tc>
          <w:tcPr>
            <w:tcW w:type="pct" w:w="1497"/>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427"/>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728"/>
            <w:tcMar>
              <w:top w:type="dxa" w:w="50"/>
              <w:left w:type="dxa" w:w="110"/>
              <w:bottom w:type="dxa" w:w="50"/>
              <w:right w:type="dxa" w:w="110"/>
            </w:tcMar>
          </w:tcPr>
          <w:p>
            <w:pPr>
              <w:spacing w:before="28" w:after="28"/>
            </w:pPr>
            <w:r>
              <w:rPr>
                <w:sz w:val="15"/>
                <w:szCs w:val="15"/>
              </w:rPr>
              <w:t xml:space="preserve">Investor's share</w:t>
            </w:r>
          </w:p>
        </w:tc>
        <w:tc>
          <w:tcPr>
            <w:tcW w:type="pct" w:w="579"/>
            <w:tcMar>
              <w:top w:type="dxa" w:w="50"/>
              <w:left w:type="dxa" w:w="110"/>
              <w:bottom w:type="dxa" w:w="50"/>
              <w:right w:type="dxa" w:w="110"/>
            </w:tcMar>
          </w:tcPr>
          <w:p>
            <w:pPr>
              <w:spacing w:before="28" w:after="28"/>
            </w:pPr>
            <w:r>
              <w:rPr>
                <w:sz w:val="15"/>
                <w:szCs w:val="15"/>
              </w:rPr>
              <w:t xml:space="preserve">Not used by Orontes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controlling financial interest   ·   Investor's share of each line   ·   liability   ·   Significant influence (20%–50%); joint ventures   ·   Only the investor's share: 30% × 40,000 = 12,000</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The methods also remove intercompany profit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controlled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investment   ·   unrealized   ·   subsidiary's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The LOS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It is not full consolidation. </w:t>
      </w:r>
      <w:r>
        <w:rPr>
          <w:sz w:val="19"/>
          <w:szCs w:val="19"/>
        </w:rPr>
        <w:t xml:space="preserve">Also, joint ventures use the equity method, not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differently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consolidation   ·   equity method   ·   joint venture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Significant influence (20%–50%); joint ventures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the investor's share: 30% × 40,000 = 12,000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Investor's share of each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ventures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subsidiary's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Proportionate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joint venture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 The investment is one line on the balance sheet, and the investor's share of income is one line on the income statement, as for Jordan Glass. Proportionate consolidation adds only the investor's share of each asset, liability, revenue and expense. U.S. GAAP generally does not allow it; it survives only for some construction and oil and gas interests.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It is not full consolidation. Also, joint ventures use the equity method, not proportionate consolidation.</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 company gains control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method. </w:t>
      </w:r>
      <w:r>
        <w:rPr>
          <w:sz w:val="19"/>
          <w:szCs w:val="19"/>
        </w:rPr>
        <w:t xml:space="preserve">It measures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identifiable assets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fair value, and it measures NCI at fair value too.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price paid plus the fair value of NCI, minus the fair value of the net assets.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pays $8,000,000 for 80% of Levant, and the other 20% is worth $1,900,000.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assets are $7,300,000 on its books, but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worth $1,200,000 more, so the net assets at fair value are $8,500,000.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subsidiary's   ·   liabilities   ·   acquisition   ·   Goodwill   ·   Levant's   ·   business   ·   equipment   ·   transaction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9–16</w:t>
      </w:r>
    </w:p>
    <w:p>
      <w:pPr>
        <w:spacing w:before="20" w:after="20" w:line="360" w:lineRule="auto"/>
        <w:ind w:left="200"/>
      </w:pPr>
      <w:r>
        <w:rPr>
          <w:sz w:val="19"/>
          <w:szCs w:val="19"/>
        </w:rPr>
        <w:t xml:space="preserve">Remove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equity of $7,300,000: it is not owned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group, except through NCI. </w:t>
      </w:r>
      <w:r>
        <w:rPr>
          <w:sz w:val="19"/>
          <w:szCs w:val="19"/>
        </w:rPr>
        <w:t xml:space="preserve">Add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step-up of $1,200,000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$1,400,000. </w:t>
      </w:r>
      <w:r>
        <w:rPr>
          <w:sz w:val="19"/>
          <w:szCs w:val="19"/>
        </w:rPr>
        <w:t xml:space="preserve">Remove Orontes's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$8,000,000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Debits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both equal $9,900,000. </w:t>
      </w:r>
      <w:r>
        <w:rPr>
          <w:sz w:val="19"/>
          <w:szCs w:val="19"/>
        </w:rPr>
        <w:t xml:space="preserve">After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Orontes buys or sells some Levant shares but keeps control, the change is an equity transaction: no gain or loss is recognized. </w:t>
      </w:r>
      <w:r>
        <w:rPr>
          <w:sz w:val="19"/>
          <w:szCs w:val="19"/>
        </w:rPr>
        <w:t xml:space="preserve">If Orontes loses control, it removes Levant from the consolidation and remeasures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Levant's   ·   acquisition   ·   credits   ·   investment   ·   record   ·   business   ·   outsiders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77"/>
        <w:gridCol w:w="25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elimination entry at the acquisition of Levant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Consolidation worksheet, January 1, 2027 (whole</w:t>
            </w:r>
          </w:p>
        </w:tc>
        <w:tc>
          <w:tcPr>
            <w:tcW w:type="pct" w:w="1446"/>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5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46"/>
            <w:tcMar>
              <w:top w:type="dxa" w:w="50"/>
              <w:left w:type="dxa" w:w="110"/>
              <w:bottom w:type="dxa" w:w="50"/>
              <w:right w:type="dxa" w:w="110"/>
            </w:tcMar>
          </w:tcPr>
          <w:p>
            <w:pPr>
              <w:spacing w:before="28" w:after="28"/>
            </w:pPr>
            <w:r>
              <w:rPr>
                <w:sz w:val="15"/>
                <w:szCs w:val="15"/>
              </w:rPr>
              <w:t xml:space="preserve">7,300,000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46"/>
            <w:shd w:fill="FBFAF6" w:val="clear"/>
            <w:tcMar>
              <w:top w:type="dxa" w:w="50"/>
              <w:left w:type="dxa" w:w="110"/>
              <w:bottom w:type="dxa" w:w="50"/>
              <w:right w:type="dxa" w:w="110"/>
            </w:tcMar>
          </w:tcPr>
          <w:p>
            <w:pPr>
              <w:spacing w:before="28" w:after="28"/>
            </w:pPr>
            <w:r>
              <w:rPr>
                <w:sz w:val="15"/>
                <w:szCs w:val="15"/>
              </w:rPr>
              <w:t xml:space="preserve">1,200,000</w:t>
            </w:r>
          </w:p>
        </w:tc>
        <w:tc>
          <w:tcPr>
            <w:tcW w:type="pct" w:w="1354"/>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Goodwill</w:t>
            </w:r>
          </w:p>
        </w:tc>
        <w:tc>
          <w:tcPr>
            <w:tcW w:type="pct" w:w="1446"/>
            <w:tcMar>
              <w:top w:type="dxa" w:w="50"/>
              <w:left w:type="dxa" w:w="110"/>
              <w:bottom w:type="dxa" w:w="50"/>
              <w:right w:type="dxa" w:w="110"/>
            </w:tcMar>
          </w:tcPr>
          <w:p>
            <w:pPr>
              <w:spacing w:before="28" w:after="28"/>
            </w:pPr>
            <w:r>
              <w:rPr>
                <w:sz w:val="15"/>
                <w:szCs w:val="15"/>
              </w:rPr>
              <w:t xml:space="preserve">1,400,000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Investment in Levant (Orontes's books)</w:t>
            </w:r>
          </w:p>
        </w:tc>
        <w:tc>
          <w:tcPr>
            <w:tcW w:type="pct" w:w="1446"/>
            <w:shd w:fill="FBFAF6" w:val="clear"/>
            <w:tcMar>
              <w:top w:type="dxa" w:w="50"/>
              <w:left w:type="dxa" w:w="110"/>
              <w:bottom w:type="dxa" w:w="50"/>
              <w:right w:type="dxa" w:w="110"/>
            </w:tcMar>
          </w:tcPr>
          <w:p>
            <w:pPr>
              <w:spacing w:before="28" w:after="28"/>
            </w:pPr>
            <w:r>
              <w:rPr>
                <w:sz w:val="15"/>
                <w:szCs w:val="15"/>
              </w:rPr>
              <w:t xml:space="preserve"> </w:t>
            </w:r>
          </w:p>
        </w:tc>
        <w:tc>
          <w:tcPr>
            <w:tcW w:type="pct" w:w="1354"/>
            <w:shd w:fill="FBFAF6" w:val="clear"/>
            <w:tcMar>
              <w:top w:type="dxa" w:w="50"/>
              <w:left w:type="dxa" w:w="110"/>
              <w:bottom w:type="dxa" w:w="50"/>
              <w:right w:type="dxa" w:w="110"/>
            </w:tcMar>
          </w:tcPr>
          <w:p>
            <w:pPr>
              <w:spacing w:before="28" w:after="28"/>
            </w:pPr>
            <w:r>
              <w:rPr>
                <w:sz w:val="15"/>
                <w:szCs w:val="15"/>
              </w:rPr>
              <w:t xml:space="preserve">8,000,000</w:t>
            </w:r>
          </w:p>
        </w:tc>
      </w:tr>
      <w:tr>
        <w:tc>
          <w:tcPr>
            <w:tcW w:type="pct" w:w="2200"/>
            <w:tcMar>
              <w:top w:type="dxa" w:w="50"/>
              <w:left w:type="dxa" w:w="110"/>
              <w:bottom w:type="dxa" w:w="50"/>
              <w:right w:type="dxa" w:w="110"/>
            </w:tcMar>
          </w:tcPr>
          <w:p>
            <w:pPr>
              <w:spacing w:before="28" w:after="28"/>
            </w:pPr>
            <w:r>
              <w:rPr>
                <w:sz w:val="15"/>
                <w:szCs w:val="15"/>
              </w:rPr>
              <w:t xml:space="preserve">Noncontrolling interest (equity)</w:t>
            </w:r>
          </w:p>
        </w:tc>
        <w:tc>
          <w:tcPr>
            <w:tcW w:type="pct" w:w="1446"/>
            <w:tcMar>
              <w:top w:type="dxa" w:w="50"/>
              <w:left w:type="dxa" w:w="110"/>
              <w:bottom w:type="dxa" w:w="50"/>
              <w:right w:type="dxa" w:w="110"/>
            </w:tcMar>
          </w:tcPr>
          <w:p>
            <w:pPr>
              <w:spacing w:before="28" w:after="28"/>
            </w:pPr>
            <w:r>
              <w:rPr>
                <w:sz w:val="15"/>
                <w:szCs w:val="15"/>
              </w:rPr>
              <w:t xml:space="preserve"> </w:t>
            </w:r>
          </w:p>
        </w:tc>
        <w:tc>
          <w:tcPr>
            <w:tcW w:type="pct" w:w="1354"/>
            <w:tcMar>
              <w:top w:type="dxa" w:w="50"/>
              <w:left w:type="dxa" w:w="110"/>
              <w:bottom w:type="dxa" w:w="50"/>
              <w:right w:type="dxa" w:w="110"/>
            </w:tcMar>
          </w:tcPr>
          <w:p>
            <w:pPr>
              <w:spacing w:before="28" w:after="28"/>
            </w:pPr>
            <w:r>
              <w:rPr>
                <w:sz w:val="15"/>
                <w:szCs w:val="15"/>
              </w:rPr>
              <w:t xml:space="preserve">1,900,000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46"/>
            <w:shd w:fill="FBFAF6" w:val="clear"/>
            <w:tcMar>
              <w:top w:type="dxa" w:w="50"/>
              <w:left w:type="dxa" w:w="110"/>
              <w:bottom w:type="dxa" w:w="50"/>
              <w:right w:type="dxa" w:w="110"/>
            </w:tcMar>
          </w:tcPr>
          <w:p>
            <w:pPr>
              <w:spacing w:before="28" w:after="28"/>
            </w:pPr>
            <w:r>
              <w:rPr>
                <w:sz w:val="15"/>
                <w:szCs w:val="15"/>
              </w:rPr>
              <w:t xml:space="preserve">9,900,000</w:t>
            </w:r>
          </w:p>
        </w:tc>
        <w:tc>
          <w:tcPr>
            <w:tcW w:type="pct" w:w="1354"/>
            <w:shd w:fill="FBFAF6" w:val="clear"/>
            <w:tcMar>
              <w:top w:type="dxa" w:w="50"/>
              <w:left w:type="dxa" w:w="110"/>
              <w:bottom w:type="dxa" w:w="50"/>
              <w:right w:type="dxa" w:w="110"/>
            </w:tcMar>
          </w:tcPr>
          <w:p>
            <w:pPr>
              <w:spacing w:before="28" w:after="28"/>
            </w:pPr>
            <w:r>
              <w:rPr>
                <w:sz w:val="15"/>
                <w:szCs w:val="15"/>
              </w:rPr>
              <w:t xml:space="preserve">9,900,000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plant and equipment (fair value step-up)   ·   subsidiary   ·   Levant's equity (book value)   ·   Totals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acquisition method   ·   طريقة الاستحواذ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acquisition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Property, plant and equipment (fair value step-up)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acquisition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 Orontes pays $8,000,000 for 80% of Levant, and the other 20% is worth $1,900,000. Levant's net assets are $7,300,000 on its books, but its equipment is worth $1,200,000 more, so the net assets at fair value are $8,500,000.</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Debits and credits both equal $9,900,000.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income from itself. </w:t>
      </w:r>
      <w:r>
        <w:rPr>
          <w:sz w:val="19"/>
          <w:szCs w:val="19"/>
        </w:rPr>
        <w:t xml:space="preserve">Every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transaction is therefore eliminated in full, whatever the percentage owned: sales and cost of sales,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payables, loans and interest, and dividends.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on goods still held inside the group is also removed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income until the goods are sold to outsiders. </w:t>
      </w:r>
      <w:r>
        <w:rPr>
          <w:sz w:val="19"/>
          <w:szCs w:val="19"/>
        </w:rPr>
        <w:t xml:space="preserve">In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sale the parent earned the profit, so the whole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parent's share. </w:t>
      </w:r>
      <w:r>
        <w:rPr>
          <w:sz w:val="19"/>
          <w:szCs w:val="19"/>
        </w:rPr>
        <w:t xml:space="preserve">In an upstream sale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earned it, so NCI bears its share. </w:t>
      </w:r>
      <w:r>
        <w:rPr>
          <w:sz w:val="19"/>
          <w:szCs w:val="19"/>
        </w:rPr>
        <w:t xml:space="preserve">When one group company sells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another, the gain is eliminated and the asset returns to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basis. </w:t>
      </w:r>
      <w:r>
        <w:rPr>
          <w:sz w:val="19"/>
          <w:szCs w:val="19"/>
        </w:rPr>
        <w:t xml:space="preserve">The buyer's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gain is reversed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original   ·   downstream   ·   reduces   ·   elimination   ·   cannot   ·   depreciation   ·   Unrealized   ·   receivables   ·   intercompany   ·   subsidiary   ·   equipment</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8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734050" cy="208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Truck sold for 90,000 (carrying 60,000)   ·   Loan of 1,000,000 at 6%   ·   Downstream unrealized profit (30% unsold)   ·   Intercompany sales and cost of sales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p>
      <w:pPr>
        <w:spacing w:before="20" w:after="20" w:line="360" w:lineRule="auto"/>
        <w:ind w:left="200"/>
      </w:pPr>
      <w:r>
        <w:rPr>
          <w:sz w:val="19"/>
          <w:szCs w:val="19"/>
        </w:rPr>
        <w:t xml:space="preserve">Complete the five blanks.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NCI in Levant, 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1,900,000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Less: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on the PP&amp;E step-up (1,200,000 ÷ 10 years)</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Adjusted net income of Levant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share (20%)</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Less: dividends paid to NCI</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at December 31, 2027</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NCI at January 1, 2027 (fair value)   ·   Less: upstream unrealized profit   ·   depreciation   ·   Levant's 2027 net income   ·   Truck sold for 90,000 (carrying 60,000)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Eliminate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items in full, not only the parent's share.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profit reduces only the parent's share; upstream profit is shared with NCI. </w:t>
      </w:r>
      <w:r>
        <w:rPr>
          <w:sz w:val="19"/>
          <w:szCs w:val="19"/>
        </w:rPr>
        <w:t xml:space="preserve">For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investee, remove only the investor's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equity-method   ·   intercompany   ·   eliminated   ·   Downstream</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unrealized profit   ·   upstream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Loan of 1,000,000 at 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intercompany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Truck sold for 90,000 (carrying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NCI at January 1, 2027 (fair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Levant's 2027 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downstream</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Less: upstream 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elimination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intercompany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Downstream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original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Intercompany sales and cost of sales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 The buyer's extra depreciation on the gain is reversed each year.</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use its power to affect those returns. </w:t>
      </w:r>
      <w:r>
        <w:rPr>
          <w:sz w:val="19"/>
          <w:szCs w:val="19"/>
        </w:rPr>
        <w:t xml:space="preserve">There is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r>
        <w:rPr>
          <w:sz w:val="19"/>
          <w:szCs w:val="19"/>
        </w:rPr>
        <w:t xml:space="preserve">IFRS 3 lets a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NCI either at fair value or at its share of net assets, which gives partial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Levant, $1,200,000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Under IFRS 11, joint ventures use the equity method and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recognize their own share of assets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measure   ·   exposure   ·   operations   ·   goodwill   ·   liabilities   ·   recognize   ·   instead   ·   separate   ·   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01"/>
        <w:gridCol w:w="217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66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133"/>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667"/>
            <w:tcMar>
              <w:top w:type="dxa" w:w="50"/>
              <w:left w:type="dxa" w:w="110"/>
              <w:bottom w:type="dxa" w:w="50"/>
              <w:right w:type="dxa" w:w="110"/>
            </w:tcMar>
          </w:tcPr>
          <w:p>
            <w:pPr>
              <w:spacing w:before="28" w:after="28"/>
            </w:pPr>
            <w:r>
              <w:rPr>
                <w:sz w:val="15"/>
                <w:szCs w:val="15"/>
              </w:rPr>
              <w:t xml:space="preserve">Control model</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One: power, variable returns and the link between them</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shd w:fill="FBFAF6" w:val="clear"/>
            <w:tcMar>
              <w:top w:type="dxa" w:w="50"/>
              <w:left w:type="dxa" w:w="110"/>
              <w:bottom w:type="dxa" w:w="50"/>
              <w:right w:type="dxa" w:w="110"/>
            </w:tcMar>
          </w:tcPr>
          <w:p>
            <w:pPr>
              <w:spacing w:before="28" w:after="28"/>
            </w:pPr>
            <w:r>
              <w:rPr>
                <w:sz w:val="15"/>
                <w:szCs w:val="15"/>
              </w:rPr>
              <w:t xml:space="preserve">Possible: de facto control</w:t>
            </w:r>
          </w:p>
        </w:tc>
      </w:tr>
      <w:tr>
        <w:tc>
          <w:tcPr>
            <w:tcW w:type="pct" w:w="1667"/>
            <w:tcMar>
              <w:top w:type="dxa" w:w="50"/>
              <w:left w:type="dxa" w:w="110"/>
              <w:bottom w:type="dxa" w:w="50"/>
              <w:right w:type="dxa" w:w="110"/>
            </w:tcMar>
          </w:tcPr>
          <w:p>
            <w:pPr>
              <w:spacing w:before="28" w:after="28"/>
            </w:pPr>
            <w:r>
              <w:rPr>
                <w:sz w:val="15"/>
                <w:szCs w:val="15"/>
              </w:rPr>
              <w:t xml:space="preserve">Measuring NCI</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133"/>
            <w:shd w:fill="FBFAF6" w:val="clear"/>
            <w:tcMar>
              <w:top w:type="dxa" w:w="50"/>
              <w:left w:type="dxa" w:w="110"/>
              <w:bottom w:type="dxa" w:w="50"/>
              <w:right w:type="dxa" w:w="110"/>
            </w:tcMar>
          </w:tcPr>
          <w:p>
            <w:pPr>
              <w:spacing w:before="28" w:after="28"/>
            </w:pPr>
            <w:r>
              <w:rPr>
                <w:sz w:val="15"/>
                <w:szCs w:val="15"/>
              </w:rPr>
              <w:t xml:space="preserve">Joint ventures: equity method</w:t>
            </w:r>
          </w:p>
        </w:tc>
        <w:tc>
          <w:tcPr>
            <w:tcW w:type="pct" w:w="2200"/>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667"/>
            <w:tcMar>
              <w:top w:type="dxa" w:w="50"/>
              <w:left w:type="dxa" w:w="110"/>
              <w:bottom w:type="dxa" w:w="50"/>
              <w:right w:type="dxa" w:w="110"/>
            </w:tcMar>
          </w:tcPr>
          <w:p>
            <w:pPr>
              <w:spacing w:before="28" w:after="28"/>
            </w:pPr>
            <w:r>
              <w:rPr>
                <w:sz w:val="15"/>
                <w:szCs w:val="15"/>
              </w:rPr>
              <w:t xml:space="preserve">Group accounting policies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Uniform policies required</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133"/>
            <w:shd w:fill="FBFAF6" w:val="clear"/>
            <w:tcMar>
              <w:top w:type="dxa" w:w="50"/>
              <w:left w:type="dxa" w:w="110"/>
              <w:bottom w:type="dxa" w:w="50"/>
              <w:right w:type="dxa" w:w="110"/>
            </w:tcMar>
          </w:tcPr>
          <w:p>
            <w:pPr>
              <w:spacing w:before="28" w:after="28"/>
            </w:pPr>
            <w:r>
              <w:rPr>
                <w:sz w:val="15"/>
                <w:szCs w:val="15"/>
              </w:rPr>
              <w:t xml:space="preserve">Parent keeps their fair value accounting</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(full goodwill)   ·   Supplier (30%, significant influence)   ·   Not through voting alone (unless a VIE)   ·   Two: VIE model first, then voting interest   ·   A non-investment-entity parent consolidates them   ·   No general uniformity rule</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ASU 2025-03 changes how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That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only.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ventures   ·   together   ·   acquired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Barada Wholesale and Tadmor Retail, 202</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Price paid for 75% of Tadmor Retail LLC, January 1, 2028</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6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600"/>
            <w:tcMar>
              <w:top w:type="dxa" w:w="50"/>
              <w:left w:type="dxa" w:w="110"/>
              <w:bottom w:type="dxa" w:w="50"/>
              <w:right w:type="dxa" w:w="110"/>
            </w:tcMar>
          </w:tcPr>
          <w:p>
            <w:pPr>
              <w:spacing w:before="28" w:after="28"/>
            </w:pPr>
            <w:r>
              <w:rPr>
                <w:sz w:val="15"/>
                <w:szCs w:val="15"/>
              </w:rPr>
              <w:t xml:space="preserve">700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Barada sold goods to Tadmor: sales 200, margin 30%, 25% still held by Tadmor</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sales 160, margin 25%, 50% still held by Barada</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Tadmor owes Barada at December 31, 2028</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Tadmor's 2028 net income (before any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adjustment)</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Tadmor's assets are at fair value on its books, so there is no step-up to depreciate.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also holds 30% of a supplier (significant influence) and 8% of a listed food company.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Tadmor sold goods to Barada   ·   consolidation   ·   Fair value of Tadmor's identifiable net assets   ·   Dividends paid by Tadmor in 2028   ·   Fair value of the 25% noncontrolling interest   ·   Listed food company (8%)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Fair value of the 25% noncontrolling interest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Tadmor Retail (75%)</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Supplier (30%, significant influence)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Listed food company (8%)</w:t>
            </w:r>
          </w:p>
        </w:tc>
        <w:tc>
          <w:tcPr>
            <w:tcW w:type="pct" w:w="2400"/>
            <w:tcMar>
              <w:top w:type="dxa" w:w="50"/>
              <w:left w:type="dxa" w:w="110"/>
              <w:bottom w:type="dxa" w:w="50"/>
              <w:right w:type="dxa" w:w="110"/>
            </w:tcMar>
          </w:tcPr>
          <w:p>
            <w:pPr>
              <w:spacing w:before="28" w:after="28"/>
            </w:pPr>
            <w:r>
              <w:rPr>
                <w:sz w:val="15"/>
                <w:szCs w:val="15"/>
              </w:rPr>
              <w:t xml:space="preserve">Fair value through net income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Cold-storage SPV that Barada directs and guarantees (VIE)</w:t>
            </w:r>
          </w:p>
        </w:tc>
        <w:tc>
          <w:tcPr>
            <w:tcW w:type="pct" w:w="2400"/>
            <w:shd w:fill="FBFAF6" w:val="clear"/>
            <w:tcMar>
              <w:top w:type="dxa" w:w="50"/>
              <w:left w:type="dxa" w:w="110"/>
              <w:bottom w:type="dxa" w:w="50"/>
              <w:right w:type="dxa" w:w="110"/>
            </w:tcMar>
          </w:tcPr>
          <w:p>
            <w:pPr>
              <w:spacing w:before="28" w:after="28"/>
            </w:pPr>
            <w:r>
              <w:rPr>
                <w:sz w:val="15"/>
                <w:szCs w:val="15"/>
              </w:rPr>
              <w:t xml:space="preserve">Full consolidation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   primary beneficiary   ·   Equity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proportionate consolidation   ·   upstream sale   ·   goodwill</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Fair value of the 25% 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of Tadmor's identifiable net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Tadmor sold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Dividends paid by Tadmor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Two: VIE model first, then voting 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Not through voting alone (unless a VIE)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Full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Fair value (full goodwill)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 general uniformity rule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non-investment-entity parent consolidates them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 IFRS 3 lets a company measure NCI either at fair value or at its share of net assets, which gives partial goodwill: for Levant, $1,200,000 instead of $1,400,000. Under IFRS 11, joint ventures use the equity method and joint operations recognize their own share of assets and liabilities.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That is a proposal only. ASU 2023-05, on joint venture formations, affects only the joint venture's own statements.</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(i) Share-based payments and employee benefits</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(iii) Inventories   ·   (i) Share-based payments and employee benefits   ·   (vi) Impairment   ·   (v) Long-lived assets</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For share awards that vest in parts, or graded vesting, U.S. GAAP lets a company recognize 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the whole period or tranche by tranche, when the awards have only service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IFRS 2 requires tranche by tranche, which puts more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U.S. GAAP also allows a policy choice to record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 they occur; IFRS 2 requires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Employer payroll taxes on share awards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the tax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arises under U.S. GAAP, but accrued over the vesting period under IFRS. </w:t>
      </w:r>
      <w:r>
        <w:rPr>
          <w:sz w:val="19"/>
          <w:szCs w:val="19"/>
        </w:rPr>
        <w:t xml:space="preserve">For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benefit plan, both frameworks put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OCI. </w:t>
      </w:r>
      <w:r>
        <w:rPr>
          <w:sz w:val="19"/>
          <w:szCs w:val="19"/>
        </w:rPr>
        <w:t xml:space="preserve">U.S. GAAP later amortizes them into net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IAS 19 never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them.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amends its plan and creates prior service cost of $50,000: U.S. GAAP amortizes $5,000 a year from OCI, while IAS 19 expenses the whole amount at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payroll   ·   Orontes   ·   conditions   ·   reclassifies   ·   expense   ·   income   ·   remeasurements   ·   straight-line   ·   obligation   ·   forfeitures   ·   estimate   ·   recognized   ·   defined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61"/>
        <w:gridCol w:w="3872"/>
        <w:gridCol w:w="22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Share-based payments and employee benefits: U.S. GAAP and IFRS</w:t>
            </w:r>
          </w:p>
        </w:tc>
      </w:tr>
      <w:tr>
        <w:tc>
          <w:tcPr>
            <w:tcW w:type="pct" w:w="1803"/>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016"/>
            <w:shd w:fill="353A7C" w:val="clear"/>
            <w:tcMar>
              <w:top w:type="dxa" w:w="50"/>
              <w:left w:type="dxa" w:w="110"/>
              <w:bottom w:type="dxa" w:w="50"/>
              <w:right w:type="dxa" w:w="110"/>
            </w:tcMar>
          </w:tcPr>
          <w:p>
            <w:pPr>
              <w:spacing w:before="30" w:after="30"/>
            </w:pPr>
            <w:r>
              <w:rPr>
                <w:b/>
                <w:bCs/>
                <w:color w:val="FFFFFF"/>
                <w:sz w:val="15"/>
                <w:szCs w:val="15"/>
              </w:rPr>
              <w:t xml:space="preserve">U.S. GAAP (ASC 718, 715)</w:t>
            </w:r>
          </w:p>
        </w:tc>
        <w:tc>
          <w:tcPr>
            <w:tcW w:type="pct" w:w="1181"/>
            <w:shd w:fill="353A7C" w:val="clear"/>
            <w:tcMar>
              <w:top w:type="dxa" w:w="50"/>
              <w:left w:type="dxa" w:w="110"/>
              <w:bottom w:type="dxa" w:w="50"/>
              <w:right w:type="dxa" w:w="110"/>
            </w:tcMar>
          </w:tcPr>
          <w:p>
            <w:pPr>
              <w:spacing w:before="30" w:after="30"/>
            </w:pPr>
            <w:r>
              <w:rPr>
                <w:b/>
                <w:bCs/>
                <w:color w:val="FFFFFF"/>
                <w:sz w:val="15"/>
                <w:szCs w:val="15"/>
              </w:rPr>
              <w:t xml:space="preserve">IFRS (IFRS 2, IAS 19)</w:t>
            </w:r>
          </w:p>
        </w:tc>
      </w:tr>
      <w:tr>
        <w:tc>
          <w:tcPr>
            <w:tcW w:type="pct" w:w="1803"/>
            <w:tcMar>
              <w:top w:type="dxa" w:w="50"/>
              <w:left w:type="dxa" w:w="110"/>
              <w:bottom w:type="dxa" w:w="50"/>
              <w:right w:type="dxa" w:w="110"/>
            </w:tcMar>
          </w:tcPr>
          <w:p>
            <w:pPr>
              <w:spacing w:before="28" w:after="28"/>
            </w:pPr>
            <w:r>
              <w:rPr>
                <w:sz w:val="15"/>
                <w:szCs w:val="15"/>
              </w:rPr>
              <w:t xml:space="preserve">Graded vesting (service condition)</w:t>
            </w:r>
          </w:p>
        </w:tc>
        <w:tc>
          <w:tcPr>
            <w:tcW w:type="pct" w:w="2016"/>
            <w:tcMar>
              <w:top w:type="dxa" w:w="50"/>
              <w:left w:type="dxa" w:w="110"/>
              <w:bottom w:type="dxa" w:w="50"/>
              <w:right w:type="dxa" w:w="110"/>
            </w:tcMar>
          </w:tcPr>
          <w:p>
            <w:pPr>
              <w:spacing w:before="28" w:after="28"/>
            </w:pPr>
            <w:r>
              <w:rPr>
                <w:sz w:val="15"/>
                <w:szCs w:val="15"/>
              </w:rPr>
              <w:t xml:space="preserve">Choice: straight-line over the whole period or tranche by tranche</w:t>
            </w:r>
          </w:p>
        </w:tc>
        <w:tc>
          <w:tcPr>
            <w:tcW w:type="pct" w:w="1181"/>
            <w:tcMar>
              <w:top w:type="dxa" w:w="50"/>
              <w:left w:type="dxa" w:w="110"/>
              <w:bottom w:type="dxa" w:w="50"/>
              <w:right w:type="dxa" w:w="110"/>
            </w:tcMar>
          </w:tcPr>
          <w:p>
            <w:pPr>
              <w:spacing w:before="28" w:after="28"/>
            </w:pPr>
            <w:r>
              <w:rPr>
                <w:sz w:val="15"/>
                <w:szCs w:val="15"/>
              </w:rPr>
              <w:t xml:space="preserve">Tranche by tranche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Forfeitures</w:t>
            </w:r>
          </w:p>
        </w:tc>
        <w:tc>
          <w:tcPr>
            <w:tcW w:type="pct" w:w="2016"/>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estimate or record as they occur</w:t>
            </w:r>
          </w:p>
        </w:tc>
        <w:tc>
          <w:tcPr>
            <w:tcW w:type="pct" w:w="1181"/>
            <w:shd w:fill="FBFAF6" w:val="clear"/>
            <w:tcMar>
              <w:top w:type="dxa" w:w="50"/>
              <w:left w:type="dxa" w:w="110"/>
              <w:bottom w:type="dxa" w:w="50"/>
              <w:right w:type="dxa" w:w="110"/>
            </w:tcMar>
          </w:tcPr>
          <w:p>
            <w:pPr>
              <w:spacing w:before="28" w:after="28"/>
            </w:pPr>
            <w:r>
              <w:rPr>
                <w:sz w:val="15"/>
                <w:szCs w:val="15"/>
              </w:rPr>
              <w:t xml:space="preserve">Estimate</w:t>
            </w:r>
          </w:p>
        </w:tc>
      </w:tr>
      <w:tr>
        <w:tc>
          <w:tcPr>
            <w:tcW w:type="pct" w:w="1803"/>
            <w:tcMar>
              <w:top w:type="dxa" w:w="50"/>
              <w:left w:type="dxa" w:w="110"/>
              <w:bottom w:type="dxa" w:w="50"/>
              <w:right w:type="dxa" w:w="110"/>
            </w:tcMar>
          </w:tcPr>
          <w:p>
            <w:pPr>
              <w:spacing w:before="28" w:after="28"/>
            </w:pPr>
            <w:r>
              <w:rPr>
                <w:sz w:val="15"/>
                <w:szCs w:val="15"/>
              </w:rPr>
              <w:t xml:space="preserve">Employer payroll taxes on awards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81"/>
            <w:tcMar>
              <w:top w:type="dxa" w:w="50"/>
              <w:left w:type="dxa" w:w="110"/>
              <w:bottom w:type="dxa" w:w="50"/>
              <w:right w:type="dxa" w:w="110"/>
            </w:tcMar>
          </w:tcPr>
          <w:p>
            <w:pPr>
              <w:spacing w:before="28" w:after="28"/>
            </w:pPr>
            <w:r>
              <w:rPr>
                <w:sz w:val="15"/>
                <w:szCs w:val="15"/>
              </w:rPr>
              <w:t xml:space="preserve">Accrued over the vesting period</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Pension remeasurements (actuarial gains and losses)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81"/>
            <w:shd w:fill="FBFAF6" w:val="clear"/>
            <w:tcMar>
              <w:top w:type="dxa" w:w="50"/>
              <w:left w:type="dxa" w:w="110"/>
              <w:bottom w:type="dxa" w:w="50"/>
              <w:right w:type="dxa" w:w="110"/>
            </w:tcMar>
          </w:tcPr>
          <w:p>
            <w:pPr>
              <w:spacing w:before="28" w:after="28"/>
            </w:pPr>
            <w:r>
              <w:rPr>
                <w:sz w:val="15"/>
                <w:szCs w:val="15"/>
              </w:rPr>
              <w:t xml:space="preserve">OCI, never reclassified to profit</w:t>
            </w:r>
          </w:p>
        </w:tc>
      </w:tr>
      <w:tr>
        <w:tc>
          <w:tcPr>
            <w:tcW w:type="pct" w:w="1803"/>
            <w:tcMar>
              <w:top w:type="dxa" w:w="50"/>
              <w:left w:type="dxa" w:w="110"/>
              <w:bottom w:type="dxa" w:w="50"/>
              <w:right w:type="dxa" w:w="110"/>
            </w:tcMar>
          </w:tcPr>
          <w:p>
            <w:pPr>
              <w:spacing w:before="28" w:after="28"/>
            </w:pPr>
            <w:r>
              <w:rPr>
                <w:sz w:val="15"/>
                <w:szCs w:val="15"/>
              </w:rPr>
              <w:t xml:space="preserve">Return on plan assets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81"/>
            <w:tcMar>
              <w:top w:type="dxa" w:w="50"/>
              <w:left w:type="dxa" w:w="110"/>
              <w:bottom w:type="dxa" w:w="50"/>
              <w:right w:type="dxa" w:w="110"/>
            </w:tcMar>
          </w:tcPr>
          <w:p>
            <w:pPr>
              <w:spacing w:before="28" w:after="28"/>
            </w:pPr>
            <w:r>
              <w:rPr>
                <w:sz w:val="15"/>
                <w:szCs w:val="15"/>
              </w:rPr>
              <w:t xml:space="preserve">Net interest at the discount rate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Prior service cost: Orontes amendment of 50,000</w:t>
            </w:r>
          </w:p>
        </w:tc>
        <w:tc>
          <w:tcPr>
            <w:tcW w:type="pct" w:w="2016"/>
            <w:shd w:fill="FBFAF6" w:val="clear"/>
            <w:tcMar>
              <w:top w:type="dxa" w:w="50"/>
              <w:left w:type="dxa" w:w="110"/>
              <w:bottom w:type="dxa" w:w="50"/>
              <w:right w:type="dxa" w:w="110"/>
            </w:tcMar>
          </w:tcPr>
          <w:p>
            <w:pPr>
              <w:spacing w:before="28" w:after="28"/>
            </w:pPr>
            <w:r>
              <w:rPr>
                <w:sz w:val="15"/>
                <w:szCs w:val="15"/>
              </w:rPr>
              <w:t xml:space="preserve">OCI, amortized over 10 years: 5,000 a year</w:t>
            </w:r>
          </w:p>
        </w:tc>
        <w:tc>
          <w:tcPr>
            <w:tcW w:type="pct" w:w="1181"/>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Policy choice   ·   component depreciation   ·   Expected return   ·   When the tax obligation arises (exercise or vesting)   ·   OCI, then amortized into net income (corridor)   ·   Expensed at once: 50,000</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value in use   ·   defined benefit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graded vesting</w:t>
            </w:r>
          </w:p>
        </w:tc>
        <w:tc>
          <w:tcPr>
            <w:tcW w:type="pct" w:w="2471"/>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529"/>
            <w:tcMar>
              <w:top w:type="dxa" w:w="50"/>
              <w:left w:type="dxa" w:w="110"/>
              <w:bottom w:type="dxa" w:w="50"/>
              <w:right w:type="dxa" w:w="110"/>
            </w:tcMar>
          </w:tcPr>
          <w:p>
            <w:pPr>
              <w:spacing w:before="26" w:after="26"/>
            </w:pPr>
            <w:r>
              <w:rPr>
                <w:color w:val="232733"/>
                <w:sz w:val="16"/>
                <w:szCs w:val="16"/>
              </w:rPr>
              <w:t xml:space="preserve">remeasurements</w:t>
            </w:r>
          </w:p>
        </w:tc>
        <w:tc>
          <w:tcPr>
            <w:tcW w:type="pct" w:w="2471"/>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(i) Share-based payments and employee benefits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 Share-based payments and employee benefits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(iii) Inventories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 Long-lived assets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Policy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When the tax obligation arises (exercise or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forfeitures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OCI, then amortized into net income (corridor)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Expected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Expensed at once: 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graded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defined benefit plan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 U.S. GAAP also allows a policy choice to record forfeitures as they occur; IFRS 2 requires an estimate. Employer payroll taxes on share awards are recognized when the tax obligation arises under U.S. GAAP, but accrued over the vesting period under IFRS.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(ii) Intangible assets</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intangibles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development costs. </w:t>
      </w:r>
      <w:r>
        <w:rPr>
          <w:sz w:val="19"/>
          <w:szCs w:val="19"/>
        </w:rPr>
        <w:t xml:space="preserve">U.S. GAAP expenses research and development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narrow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software. </w:t>
      </w:r>
      <w:r>
        <w:rPr>
          <w:sz w:val="19"/>
          <w:szCs w:val="19"/>
        </w:rPr>
        <w:t xml:space="preserve">IAS 38 expenses research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development once six criteria are met, such as technical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intention and ability to complete, and a way to generate future benefits.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Orontes spends $300,000 developing a new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and all six criteria are met. </w:t>
      </w:r>
      <w:r>
        <w:rPr>
          <w:sz w:val="19"/>
          <w:szCs w:val="19"/>
        </w:rPr>
        <w:t xml:space="preserve">Under U.S. GAAP the whole amount is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it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asset, amortized once the product is ready. </w:t>
      </w:r>
      <w:r>
        <w:rPr>
          <w:sz w:val="19"/>
          <w:szCs w:val="19"/>
        </w:rPr>
        <w:t xml:space="preserve">IAS 38 also allows the revaluation model for intangibles, but only where an active market exists, which is rare. </w:t>
      </w:r>
      <w:r>
        <w:rPr>
          <w:sz w:val="19"/>
          <w:szCs w:val="19"/>
        </w:rPr>
        <w:t xml:space="preserve">U.S. GAAP never revalues intangibles upward. </w:t>
      </w:r>
      <w:r>
        <w:rPr>
          <w:sz w:val="19"/>
          <w:szCs w:val="19"/>
        </w:rPr>
        <w:t xml:space="preserve">Both frameworks refuse to recognize internally generated brands.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capitalizes   ·   intangible   ·   incurred   ·   exceptions   ·   sparkling-juice   ·   recognize   ·   expense   ·   largest   ·   Suppose   ·   feasibility   ·   difference</w:t>
            </w:r>
          </w:p>
        </w:tc>
      </w:tr>
    </w:tbl>
    <w:p/>
    <w:p>
      <w:pPr>
        <w:spacing w:before="44" w:after="10"/>
      </w:pPr>
      <w:r>
        <w:rPr>
          <w:b/>
          <w:bCs/>
          <w:color w:val="353A7C"/>
          <w:sz w:val="18"/>
          <w:szCs w:val="18"/>
        </w:rPr>
        <w:t xml:space="preserve">Intangible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Capitalized: all six IAS 38 criteria are met   ·   Not allowed   ·   Not recognized   ·   Only private companies may elect it   ·   Capitalized only in limited stages (ASC 985-20, 350-40)</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ASU 2025-06 simplifies when internal-use software costs are capitalized, and ASU 2026-02 creates new rules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credits. </w:t>
      </w:r>
      <w:r>
        <w:rPr>
          <w:sz w:val="19"/>
          <w:szCs w:val="19"/>
        </w:rPr>
        <w:t xml:space="preserve">Neither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2029. </w:t>
      </w:r>
      <w:r>
        <w:rPr>
          <w:sz w:val="19"/>
          <w:szCs w:val="19"/>
        </w:rPr>
        <w:t xml:space="preserve">Private companies may amortize goodwill, but an SEC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such as Orontes may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environmental   ·   testable   ·   registrant   ·   technical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(ii) Intangible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Capitalized: all six IAS 38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Capitalized only in limited stages (ASC 985-20, 350-40)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exceptions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 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private companies may elect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feasibility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environmental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sparkling-juice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registrant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 Suppose Orontes spends $300,000 developing a new sparkling-juice line, and all six criteria are met. Under U.S. GAAP the whole amount is an expense; under IFRS it is an intangible asset, amortized once the product is ready. IAS 38 also allows the revaluation model for intangibles, but only where an active market exists, which is rare. U.S. GAAP never revalues intangibles upward. Both frameworks refuse to recognize internally generated brands.</w:t>
      </w:r>
    </w:p>
    <w:p>
      <w:pPr>
        <w:spacing w:before="20" w:after="20"/>
        <w:ind w:left="240" w:hanging="240"/>
      </w:pPr>
      <w:r>
        <w:rPr>
          <w:b/>
          <w:bCs/>
          <w:color w:val="353A7C"/>
          <w:sz w:val="15"/>
          <w:szCs w:val="15"/>
        </w:rPr>
        <w:t xml:space="preserve">Summary 2   </w:t>
      </w:r>
      <w:r>
        <w:rPr>
          <w:color w:val="6B7280"/>
          <w:sz w:val="15"/>
          <w:szCs w:val="15"/>
        </w:rPr>
        <w:t xml:space="preserve">ASU 2025-06 simplifies when internal-use software costs are capitalized, and ASU 2026-02 creates new rules for environmental credits. Neither is testable before about January 2029. Private companies may amortize goodwill, but an SEC registrant such as Orontes may not.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(iii) Inventories</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Stocks, provision</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Both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write inventory down when its value falls below cost. </w:t>
      </w:r>
      <w:r>
        <w:rPr>
          <w:sz w:val="19"/>
          <w:szCs w:val="19"/>
        </w:rPr>
        <w:t xml:space="preserve">The key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comes when value recovers.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frameworks   ·   difference   ·   provision</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reverses   ·   inventory   ·   remeasurements   ·   average   ·   write-down</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In U.S. terms,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reduces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itself; do not call it a provision or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write-down   ·   provision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14"/>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(iii) Inventories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reverses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frameworks write inventory down when its value falls below cost. The key difference comes when value recovers.</w:t>
      </w:r>
    </w:p>
    <w:p>
      <w:pPr>
        <w:spacing w:before="20" w:after="20"/>
        <w:ind w:left="240" w:hanging="240"/>
      </w:pPr>
      <w:r>
        <w:rPr>
          <w:b/>
          <w:bCs/>
          <w:color w:val="353A7C"/>
          <w:sz w:val="15"/>
          <w:szCs w:val="15"/>
        </w:rPr>
        <w:t xml:space="preserve">Summary 2   </w:t>
      </w:r>
      <w:r>
        <w:rPr>
          <w:color w:val="6B7280"/>
          <w:sz w:val="15"/>
          <w:szCs w:val="15"/>
        </w:rPr>
        <w:t xml:space="preserve">In U.S. terms, a write-down reduces the inventory itself; do not call it a provision or a reserve.</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(iv) Leases: the lessee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interest   ·   Orontes's   ·   remeasurements   ·   straight-line</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Over the whole lease, total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same. </w:t>
      </w:r>
      <w:r>
        <w:rPr>
          <w:sz w:val="19"/>
          <w:szCs w:val="19"/>
        </w:rPr>
        <w:t xml:space="preserve">IFRS 16 also allows an exemption for low-value assets,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liability when an index such as CPI changes,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lease principal as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remeasures   ·   treated   ·   classifies</w:t>
            </w:r>
          </w:p>
        </w:tc>
      </w:tr>
    </w:tbl>
    <w:p/>
    <w:p>
      <w:pPr>
        <w:pageBreakBefore w:val="true"/>
        <w:spacing w:after="0"/>
      </w:pPr>
      <w:r>
        <w:rPr>
          <w:sz w:val="2"/>
        </w:rPr>
        <w:t xml:space="preserve"> </w:t>
      </w:r>
    </w:p>
    <w:p>
      <w:pPr>
        <w:spacing w:before="44" w:after="10"/>
      </w:pPr>
      <w:r>
        <w:rPr>
          <w:b/>
          <w:bCs/>
          <w:color w:val="353A7C"/>
          <w:sz w:val="18"/>
          <w:szCs w:val="18"/>
        </w:rPr>
        <w:t xml:space="preserve">Lessee accounting: U.S. GAAP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52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734050" cy="3523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Low-value assets   ·   Full gain if a sale   ·   One: all leases like finance leases   ·   Liability remeasured   ·   Operating   ·   One straight-line lease cost: 100,000</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(iv) Leases: the lessee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 all leases like finance leases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One straight-line lease cost: 100,000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 remeasured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Full gain if a sale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Over the whole lease, total expense is the same. IFRS 16 also allows an exemption for low-value assets, remeasures the liability when an index such as CPI changes, and classifies lease principal as financing.</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(v) Long-lived assets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Long-lived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Allowed, not required   ·   Capitalized; investment income generally not offset   ·   At least every year   ·   Stays at 2,000,000</w:t>
            </w:r>
          </w:p>
        </w:tc>
      </w:tr>
    </w:tbl>
    <w:p/>
    <w:p>
      <w:pPr>
        <w:spacing w:before="44" w:after="14"/>
      </w:pPr>
      <w:r>
        <w:rPr>
          <w:b/>
          <w:bCs/>
          <w:color w:val="353A7C"/>
          <w:sz w:val="18"/>
          <w:szCs w:val="18"/>
        </w:rPr>
        <w:t xml:space="preserve">Summary 1</w:t>
      </w:r>
      <w:r>
        <w:rPr>
          <w:color w:val="6B7280"/>
          <w:sz w:val="16"/>
          <w:szCs w:val="16"/>
        </w:rPr>
        <w:t xml:space="preserve">      gaps 5–9</w:t>
      </w:r>
    </w:p>
    <w:p>
      <w:pPr>
        <w:spacing w:before="20" w:after="20" w:line="360" w:lineRule="auto"/>
        <w:ind w:left="200"/>
      </w:pPr>
      <w:r>
        <w:rPr>
          <w:sz w:val="19"/>
          <w:szCs w:val="19"/>
        </w:rPr>
        <w:t xml:space="preserve">IAS 16 also allows the revaluation model for a whole class of assets: the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fair value,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 to a revaluation surplus in OCI. </w:t>
      </w:r>
      <w:r>
        <w:rPr>
          <w:sz w:val="19"/>
          <w:szCs w:val="19"/>
        </w:rPr>
        <w:t xml:space="preserve">Suppose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land in Amman cost $2,000,000 and is now worth $2,600,000. </w:t>
      </w:r>
      <w:r>
        <w:rPr>
          <w:sz w:val="19"/>
          <w:szCs w:val="19"/>
        </w:rPr>
        <w:t xml:space="preserve">IFRS requires component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significant parts with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lives; U.S. GAAP allows but does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carried   ·   significant   ·   increases   ·   Orontes's   ·   different   ·   depreciation</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3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734050" cy="2338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frameworks   ·   surplus   ·   construction   ·   revaluation model   ·   recoverable amount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recoverability test   ·   component depreciation   ·   revaluation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(v) Long-lived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Stays at 2,000,000</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Allowed, not required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 least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Capitalized; investment income generally not offset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surplus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component depreciation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16 also allows the revaluation model for a whole class of assets: the assets are carried at fair value, and increases go to a revaluation surplus in OCI. Suppose Orontes's land in Amman cost $2,000,000 and is now worth $2,600,000. IFRS requires component depreciation for significant parts with different lives; U.S. GAAP allows but does not require it.</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(vi) Impairment</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U.S. GAAP tests a held-and-used asset group in two steps. </w:t>
      </w:r>
      <w:r>
        <w:rPr>
          <w:sz w:val="19"/>
          <w:szCs w:val="19"/>
        </w:rPr>
        <w:t xml:space="preserve">First, it compares the carrying amount with undiscounted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cash flows. </w:t>
      </w:r>
      <w:r>
        <w:rPr>
          <w:sz w:val="19"/>
          <w:szCs w:val="19"/>
        </w:rPr>
        <w:t xml:space="preserve">Only if the carrying amount is higher does it measure a loss, equal to the carrying amount minus fair value. </w:t>
      </w:r>
      <w:r>
        <w:rPr>
          <w:sz w:val="19"/>
          <w:szCs w:val="19"/>
        </w:rPr>
        <w:t xml:space="preserve">IAS 36 uses one step. </w:t>
      </w:r>
      <w:r>
        <w:rPr>
          <w:sz w:val="19"/>
          <w:szCs w:val="19"/>
        </w:rPr>
        <w:t xml:space="preserve">It compares the carrying amount of an asset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unit with its recoverable amount: the higher of fair value less costs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value in use,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cash-flow measure.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there is no undiscounted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IFRS losses often come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also differ after the loss. </w:t>
      </w:r>
      <w:r>
        <w:rPr>
          <w:sz w:val="19"/>
          <w:szCs w:val="19"/>
        </w:rPr>
        <w:t xml:space="preserve">IFRS reverses an impairment when the recoverable amount rises, but not for goodwill and not above the carrying amount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loss. </w:t>
      </w:r>
      <w:r>
        <w:rPr>
          <w:sz w:val="19"/>
          <w:szCs w:val="19"/>
        </w:rPr>
        <w:t xml:space="preserve">U.S. GAAP never reverses an impairment of a held-and-used asset or of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without   ·   frameworks   ·   screen   ·   Because   ·   earlier   ·   cash-generating   ·   exposure   ·   future   ·   discounted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 plant</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Undiscounted cash flows of $4,200,000 are above the carrying amount of $4,000,000: the plant is recoverable, so there is no loss. </w:t>
      </w:r>
      <w:r>
        <w:rPr>
          <w:sz w:val="19"/>
          <w:szCs w:val="19"/>
        </w:rPr>
        <w:t xml:space="preserve">Recoverable amount is the higher of $3,500,000 and $3,700,000: $3,700,000. </w:t>
      </w:r>
      <w:r>
        <w:rPr>
          <w:sz w:val="19"/>
          <w:szCs w:val="19"/>
        </w:rPr>
        <w:t xml:space="preserve">The carrying amount is higher, so the loss is $300,000. </w:t>
      </w:r>
      <w:r>
        <w:rPr>
          <w:sz w:val="19"/>
          <w:szCs w:val="19"/>
        </w:rPr>
        <w:t xml:space="preserve">If the U.S. test had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loss would have been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against fair value: $500,000.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compares   ·   failed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framework?</w:t>
            </w:r>
          </w:p>
        </w:tc>
      </w:tr>
    </w:tbl>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The first two are done. </w:t>
      </w:r>
      <w:r>
        <w:rPr>
          <w:sz w:val="19"/>
          <w:szCs w:val="19"/>
        </w:rPr>
        <w:t xml:space="preserve">Decide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each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true under U.S. GAAP only, IFRS only, or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exposure   ·   whether   ·   others</w:t>
            </w:r>
          </w:p>
        </w:tc>
      </w:tr>
    </w:tbl>
    <w:p/>
    <w:p>
      <w:pPr>
        <w:pageBreakBefore w:val="true"/>
        <w:spacing w:after="0"/>
      </w:pPr>
      <w:r>
        <w:rPr>
          <w:sz w:val="2"/>
        </w:rPr>
        <w:t xml:space="preserve"> </w:t>
      </w:r>
    </w:p>
    <w:p>
      <w:pPr>
        <w:spacing w:before="44" w:after="10"/>
      </w:pPr>
      <w:r>
        <w:rPr>
          <w:b/>
          <w:bCs/>
          <w:color w:val="353A7C"/>
          <w:sz w:val="18"/>
          <w:szCs w:val="18"/>
        </w:rPr>
        <w:t xml:space="preserve">Which framework?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5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734050" cy="2557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short-term lease exemption exists   ·   Prior service cost is expensed immediately   ·   fair value less costs of disposal</w:t>
            </w:r>
          </w:p>
        </w:tc>
      </w:tr>
    </w:tbl>
    <w:p/>
    <w:p>
      <w:pPr>
        <w:spacing w:before="44" w:after="14"/>
      </w:pPr>
      <w:r>
        <w:rPr>
          <w:b/>
          <w:bCs/>
          <w:color w:val="353A7C"/>
          <w:sz w:val="18"/>
          <w:szCs w:val="18"/>
        </w:rPr>
        <w:t xml:space="preserve">Summary 4</w:t>
      </w:r>
      <w:r>
        <w:rPr>
          <w:color w:val="6B7280"/>
          <w:sz w:val="16"/>
          <w:szCs w:val="16"/>
        </w:rPr>
        <w:t xml:space="preserve">      gaps 16–17</w:t>
      </w:r>
    </w:p>
    <w:p>
      <w:pPr>
        <w:spacing w:before="20" w:after="20" w:line="360" w:lineRule="auto"/>
        <w:ind w:left="200"/>
      </w:pPr>
      <w:r>
        <w:rPr>
          <w:sz w:val="19"/>
          <w:szCs w:val="19"/>
        </w:rPr>
        <w:t xml:space="preserve">The IASB is still discussing changes to goodwill impairment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after its 2024 exposure draft. </w:t>
      </w:r>
      <w:r>
        <w:rPr>
          <w:sz w:val="19"/>
          <w:szCs w:val="19"/>
        </w:rPr>
        <w:t xml:space="preserve">Goodwill remains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under both frameworks for public companies. </w:t>
      </w:r>
      <w:r>
        <w:rPr>
          <w:sz w:val="19"/>
          <w:szCs w:val="19"/>
        </w:rPr>
        <w:t xml:space="preserve">Do not treat the proposal as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   disclosures   ·   impairment-only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Levant Distribution LLC,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Levant's 2027 net income under IFRS (local books)</w:t>
            </w:r>
          </w:p>
        </w:tc>
        <w:tc>
          <w:tcPr>
            <w:tcW w:type="pct" w:w="2600"/>
            <w:tcMar>
              <w:top w:type="dxa" w:w="50"/>
              <w:left w:type="dxa" w:w="110"/>
              <w:bottom w:type="dxa" w:w="50"/>
              <w:right w:type="dxa" w:w="110"/>
            </w:tcMar>
          </w:tcPr>
          <w:p>
            <w:pPr>
              <w:spacing w:before="28" w:after="28"/>
            </w:pPr>
            <w:r>
              <w:rPr>
                <w:sz w:val="15"/>
                <w:szCs w:val="15"/>
              </w:rPr>
              <w:t xml:space="preserve">1,114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L1</w:t>
            </w:r>
          </w:p>
        </w:tc>
        <w:tc>
          <w:tcPr>
            <w:tcW w:type="pct" w:w="2600"/>
            <w:shd w:fill="FBFAF6" w:val="clear"/>
            <w:tcMar>
              <w:top w:type="dxa" w:w="50"/>
              <w:left w:type="dxa" w:w="110"/>
              <w:bottom w:type="dxa" w:w="50"/>
              <w:right w:type="dxa" w:w="110"/>
            </w:tcMar>
          </w:tcPr>
          <w:p>
            <w:pPr>
              <w:spacing w:before="28" w:after="28"/>
            </w:pPr>
            <w:r>
              <w:rPr>
                <w:sz w:val="15"/>
                <w:szCs w:val="15"/>
              </w:rPr>
              <w:t xml:space="preserve">Development costs of a new ordering app capitalized in 2027 under IAS 38: 240. None is amortized yet.</w:t>
            </w:r>
          </w:p>
        </w:tc>
      </w:tr>
      <w:tr>
        <w:tc>
          <w:tcPr>
            <w:tcW w:type="pct" w:w="2400"/>
            <w:tcMar>
              <w:top w:type="dxa" w:w="50"/>
              <w:left w:type="dxa" w:w="110"/>
              <w:bottom w:type="dxa" w:w="50"/>
              <w:right w:type="dxa" w:w="110"/>
            </w:tcMar>
          </w:tcPr>
          <w:p>
            <w:pPr>
              <w:spacing w:before="28" w:after="28"/>
            </w:pPr>
            <w:r>
              <w:rPr>
                <w:sz w:val="15"/>
                <w:szCs w:val="15"/>
              </w:rPr>
              <w:t xml:space="preserve">L2</w:t>
            </w:r>
          </w:p>
        </w:tc>
        <w:tc>
          <w:tcPr>
            <w:tcW w:type="pct" w:w="2600"/>
            <w:tcMar>
              <w:top w:type="dxa" w:w="50"/>
              <w:left w:type="dxa" w:w="110"/>
              <w:bottom w:type="dxa" w:w="50"/>
              <w:right w:type="dxa" w:w="110"/>
            </w:tcMar>
          </w:tcPr>
          <w:p>
            <w:pPr>
              <w:spacing w:before="28" w:after="28"/>
            </w:pPr>
            <w:r>
              <w:rPr>
                <w:sz w:val="15"/>
                <w:szCs w:val="15"/>
              </w:rPr>
              <w:t xml:space="preserve">A 2026 inventory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was reversed in 2027 under IAS 2: gain of 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L3</w:t>
            </w:r>
          </w:p>
        </w:tc>
        <w:tc>
          <w:tcPr>
            <w:tcW w:type="pct" w:w="2600"/>
            <w:shd w:fill="FBFAF6" w:val="clear"/>
            <w:tcMar>
              <w:top w:type="dxa" w:w="50"/>
              <w:left w:type="dxa" w:w="110"/>
              <w:bottom w:type="dxa" w:w="50"/>
              <w:right w:type="dxa" w:w="110"/>
            </w:tcMar>
          </w:tcPr>
          <w:p>
            <w:pPr>
              <w:spacing w:before="28" w:after="28"/>
            </w:pPr>
            <w:r>
              <w:rPr>
                <w:sz w:val="15"/>
                <w:szCs w:val="15"/>
              </w:rPr>
              <w:t xml:space="preserve">Warehouse land revalued upward by 400; the surplus is in OCI.</w:t>
            </w:r>
          </w:p>
        </w:tc>
      </w:tr>
      <w:tr>
        <w:tc>
          <w:tcPr>
            <w:tcW w:type="pct" w:w="2400"/>
            <w:tcMar>
              <w:top w:type="dxa" w:w="50"/>
              <w:left w:type="dxa" w:w="110"/>
              <w:bottom w:type="dxa" w:w="50"/>
              <w:right w:type="dxa" w:w="110"/>
            </w:tcMar>
          </w:tcPr>
          <w:p>
            <w:pPr>
              <w:spacing w:before="28" w:after="28"/>
            </w:pPr>
            <w:r>
              <w:rPr>
                <w:sz w:val="15"/>
                <w:szCs w:val="15"/>
              </w:rPr>
              <w:t xml:space="preserve">L4</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L5</w:t>
            </w:r>
          </w:p>
        </w:tc>
        <w:tc>
          <w:tcPr>
            <w:tcW w:type="pct" w:w="2600"/>
            <w:shd w:fill="FBFAF6" w:val="clear"/>
            <w:tcMar>
              <w:top w:type="dxa" w:w="50"/>
              <w:left w:type="dxa" w:w="110"/>
              <w:bottom w:type="dxa" w:w="50"/>
              <w:right w:type="dxa" w:w="110"/>
            </w:tcMar>
          </w:tcPr>
          <w:p>
            <w:pPr>
              <w:spacing w:before="28" w:after="28"/>
            </w:pPr>
            <w:r>
              <w:rPr>
                <w:sz w:val="15"/>
                <w:szCs w:val="15"/>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Orontes must convert Levant's figures to U.S. GAAP before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(Chapter 16). Ignore tax effects.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consolidation   ·   write-down   ·   Warehouse   ·   Delivery fleet</w:t>
            </w:r>
          </w:p>
        </w:tc>
      </w:tr>
    </w:tbl>
    <w:p/>
    <w:p>
      <w:pPr>
        <w:pageBreakBefore w:val="true"/>
        <w:spacing w:after="0"/>
      </w:pPr>
      <w:r>
        <w:rPr>
          <w:sz w:val="2"/>
        </w:rPr>
        <w:t xml:space="preserve"> </w:t>
      </w:r>
    </w:p>
    <w:p>
      <w:pPr>
        <w:spacing w:before="44" w:after="10"/>
      </w:pPr>
      <w:r>
        <w:rPr>
          <w:b/>
          <w:bCs/>
          <w:color w:val="353A7C"/>
          <w:sz w:val="18"/>
          <w:szCs w:val="18"/>
        </w:rPr>
        <w:t xml:space="preserve">Item — Answer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short-term lease exemption exists   ·   Prior service cost expensed immediately</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L2 Write-down reversal   ·   value in use   ·   L4 Fleet impairment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research and development (R&amp;D)   ·   value in 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recoverable amount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4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(vi) Impairment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future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short-term lease exemption 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cash-generating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Prior service cost is expensed 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impairment-only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screen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Delivery fleet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Prior service cost expensed 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L2 Write-down 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failed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L4 Fleet 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value in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fair value less costs of disposal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others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tests a held-and-used asset group in two steps. First, it compares the carrying amount with undiscounted future cash flows. Only if the carrying amount is higher does it measure a loss, equal to the carrying amount minus fair value. IAS 36 uses one step. It compares the carrying amount of an asset or cash-generating unit with its recoverable amount: the higher of fair value less costs of disposal and value in use, a discounted cash-flow measure. Because there is no undiscounted screen, IFRS losses often come earlier. The frameworks also differ after the loss. IFRS reverses an impairment when the recoverable amount rises, but not for goodwill and not above the carrying amount without the loss. U.S. GAAP never reverses an impairment of a held-and-used asset or of goodwill.</w:t>
      </w:r>
    </w:p>
    <w:p>
      <w:pPr>
        <w:spacing w:before="20" w:after="20"/>
        <w:ind w:left="240" w:hanging="240"/>
      </w:pPr>
      <w:r>
        <w:rPr>
          <w:b/>
          <w:bCs/>
          <w:color w:val="353A7C"/>
          <w:sz w:val="15"/>
          <w:szCs w:val="15"/>
        </w:rPr>
        <w:t xml:space="preserve">Summary 2   </w:t>
      </w:r>
      <w:r>
        <w:rPr>
          <w:color w:val="6B7280"/>
          <w:sz w:val="15"/>
          <w:szCs w:val="15"/>
        </w:rPr>
        <w:t xml:space="preserve">Undiscounted cash flows of $4,200,000 are above the carrying amount of $4,000,000: the plant is recoverable, so there is no loss. Recoverable amount is the higher of $3,500,000 and $3,700,000: $3,700,000. The carrying amount is higher, so the loss is $300,000. If the U.S. test had failed, the loss would have been measured against fair value: $500,000.</w:t>
      </w:r>
    </w:p>
    <w:p>
      <w:pPr>
        <w:spacing w:before="20" w:after="20"/>
        <w:ind w:left="240" w:hanging="240"/>
      </w:pPr>
      <w:r>
        <w:rPr>
          <w:b/>
          <w:bCs/>
          <w:color w:val="353A7C"/>
          <w:sz w:val="15"/>
          <w:szCs w:val="15"/>
        </w:rPr>
        <w:t xml:space="preserve">Summary 3   </w:t>
      </w:r>
      <w:r>
        <w:rPr>
          <w:color w:val="6B7280"/>
          <w:sz w:val="15"/>
          <w:szCs w:val="15"/>
        </w:rPr>
        <w:t xml:space="preserve">The first two are done. Decide whether each of the others is true under U.S. GAAP only, IFRS only, or both.</w:t>
      </w:r>
    </w:p>
    <w:p>
      <w:pPr>
        <w:spacing w:before="20" w:after="20"/>
        <w:ind w:left="240" w:hanging="240"/>
      </w:pPr>
      <w:r>
        <w:rPr>
          <w:b/>
          <w:bCs/>
          <w:color w:val="353A7C"/>
          <w:sz w:val="15"/>
          <w:szCs w:val="15"/>
        </w:rPr>
        <w:t xml:space="preserve">Summary 4   </w:t>
      </w:r>
      <w:r>
        <w:rPr>
          <w:color w:val="6B7280"/>
          <w:sz w:val="15"/>
          <w:szCs w:val="15"/>
        </w:rPr>
        <w:t xml:space="preserve">The IASB is still discussing changes to goodwill impairment disclosures after its 2024 exposure draft. Goodwill remains impairment-only under both frameworks for public companies. Do not treat the proposal as a rule.</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reporting and sustainability disclo   ·   value creation process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integrated thinking, a report is just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   ·   communication   ·   preservation   ·   International   ·   medium   ·   periodic   ·   resources   ·   Without   ·   capitals   ·   reporting   ·   decisions   ·   relationships   ·   collection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التقرير المتكامل</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Integrated reporting and sustainability disclo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integrated thinking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primary purpose of an integrated report is to explain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financial capital,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lenders, how the company creates, preserves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also benefit: employees, customers, suppliers, communities,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company's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create value. </w:t>
      </w:r>
      <w:r>
        <w:rPr>
          <w:sz w:val="19"/>
          <w:szCs w:val="19"/>
        </w:rPr>
        <w:t xml:space="preserve">In the United States, 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voluntary; U.S. GAAP and the SEC do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interested   ·   ability   ·   shareholders   ·   providers   ·   stakeholders   ·   answer   ·   require   ·   policymakers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3"/>
        <w:gridCol w:w="1272"/>
        <w:gridCol w:w="3367"/>
        <w:gridCol w:w="215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66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753"/>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460"/>
            <w:tcMar>
              <w:top w:type="dxa" w:w="50"/>
              <w:left w:type="dxa" w:w="110"/>
              <w:bottom w:type="dxa" w:w="50"/>
              <w:right w:type="dxa" w:w="110"/>
            </w:tcMar>
          </w:tcPr>
          <w:p>
            <w:pPr>
              <w:spacing w:before="28" w:after="28"/>
            </w:pPr>
            <w:r>
              <w:rPr>
                <w:sz w:val="15"/>
                <w:szCs w:val="15"/>
              </w:rPr>
              <w:t xml:space="preserve">Financial statements (U.S. GAAP)</w:t>
            </w:r>
          </w:p>
        </w:tc>
        <w:tc>
          <w:tcPr>
            <w:tcW w:type="pct" w:w="662"/>
            <w:tcMar>
              <w:top w:type="dxa" w:w="50"/>
              <w:left w:type="dxa" w:w="110"/>
              <w:bottom w:type="dxa" w:w="50"/>
              <w:right w:type="dxa" w:w="110"/>
            </w:tcMar>
          </w:tcPr>
          <w:p>
            <w:pPr>
              <w:spacing w:before="28" w:after="28"/>
            </w:pPr>
            <w:r>
              <w:rPr>
                <w:sz w:val="15"/>
                <w:szCs w:val="15"/>
              </w:rPr>
              <w:t xml:space="preserve">Investors and creditors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24"/>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11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460"/>
            <w:tcMar>
              <w:top w:type="dxa" w:w="50"/>
              <w:left w:type="dxa" w:w="110"/>
              <w:bottom w:type="dxa" w:w="50"/>
              <w:right w:type="dxa" w:w="110"/>
            </w:tcMar>
          </w:tcPr>
          <w:p>
            <w:pPr>
              <w:spacing w:before="28" w:after="28"/>
            </w:pPr>
            <w:r>
              <w:rPr>
                <w:sz w:val="15"/>
                <w:szCs w:val="15"/>
              </w:rPr>
              <w:t xml:space="preserve">Integrated report (&lt;IR&gt; Framework)</w:t>
            </w:r>
          </w:p>
        </w:tc>
        <w:tc>
          <w:tcPr>
            <w:tcW w:type="pct" w:w="66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53"/>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1124"/>
            <w:tcMar>
              <w:top w:type="dxa" w:w="50"/>
              <w:left w:type="dxa" w:w="110"/>
              <w:bottom w:type="dxa" w:w="50"/>
              <w:right w:type="dxa" w:w="110"/>
            </w:tcMar>
          </w:tcPr>
          <w:p>
            <w:pPr>
              <w:spacing w:before="28" w:after="28"/>
            </w:pPr>
            <w:r>
              <w:rPr>
                <w:sz w:val="15"/>
                <w:szCs w:val="15"/>
              </w:rPr>
              <w:t xml:space="preserve">No: voluntary</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24"/>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Providers of financial capital, then other stakeholders   ·   Yes: SEC requirement   ·   Yes: required for an SEC registrant   ·   Sustainability and climate risks that affect prospects   ·   Financial position and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The primary audience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   ·   shareholders   ·   providers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integrated reporting   ·   integrated thinking</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providers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Financial position and 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Yes: SEC 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Providers of financial capital, then other stakeholders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stakeholders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financial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 In the United States, integrated reporting is voluntary; U.S. GAAP and the SEC do not require it.</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describes value in terms of six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stocks of value that increase, decrease or change as the company works. </w:t>
      </w:r>
      <w:r>
        <w:rPr>
          <w:sz w:val="19"/>
          <w:szCs w:val="19"/>
        </w:rPr>
        <w:t xml:space="preserve">They are financial capital,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capital, intellectual capital, human capital, social and relationship capital and natural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products   ·   Framework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7"/>
        <w:gridCol w:w="4224"/>
        <w:gridCol w:w="27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1358"/>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1358"/>
            <w:tcMar>
              <w:top w:type="dxa" w:w="50"/>
              <w:left w:type="dxa" w:w="110"/>
              <w:bottom w:type="dxa" w:w="50"/>
              <w:right w:type="dxa" w:w="110"/>
            </w:tcMar>
          </w:tcPr>
          <w:p>
            <w:pPr>
              <w:spacing w:before="28" w:after="28"/>
            </w:pPr>
            <w:r>
              <w:rPr>
                <w:sz w:val="15"/>
                <w:szCs w:val="15"/>
              </w:rPr>
              <w:t xml:space="preserve">Financial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442"/>
            <w:tcMar>
              <w:top w:type="dxa" w:w="50"/>
              <w:left w:type="dxa" w:w="110"/>
              <w:bottom w:type="dxa" w:w="50"/>
              <w:right w:type="dxa" w:w="110"/>
            </w:tcMar>
          </w:tcPr>
          <w:p>
            <w:pPr>
              <w:spacing w:before="28" w:after="28"/>
            </w:pPr>
            <w:r>
              <w:rPr>
                <w:sz w:val="15"/>
                <w:szCs w:val="15"/>
              </w:rPr>
              <w:t xml:space="preserve">Cash flow from operations</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42"/>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1358"/>
            <w:tcMar>
              <w:top w:type="dxa" w:w="50"/>
              <w:left w:type="dxa" w:w="110"/>
              <w:bottom w:type="dxa" w:w="50"/>
              <w:right w:type="dxa" w:w="110"/>
            </w:tcMar>
          </w:tcPr>
          <w:p>
            <w:pPr>
              <w:spacing w:before="28" w:after="28"/>
            </w:pPr>
            <w:r>
              <w:rPr>
                <w:sz w:val="15"/>
                <w:szCs w:val="15"/>
              </w:rPr>
              <w:t xml:space="preserve">Intellectual</w:t>
            </w:r>
          </w:p>
        </w:tc>
        <w:tc>
          <w:tcPr>
            <w:tcW w:type="pct" w:w="2200"/>
            <w:tcMar>
              <w:top w:type="dxa" w:w="50"/>
              <w:left w:type="dxa" w:w="110"/>
              <w:bottom w:type="dxa" w:w="50"/>
              <w:right w:type="dxa" w:w="110"/>
            </w:tcMar>
          </w:tcPr>
          <w:p>
            <w:pPr>
              <w:spacing w:before="28" w:after="28"/>
            </w:pPr>
            <w:r>
              <w:rPr>
                <w:sz w:val="15"/>
                <w:szCs w:val="15"/>
              </w:rPr>
              <w:t xml:space="preserve">Recipes, brand, new sparkling-juice line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Human</w:t>
            </w:r>
          </w:p>
        </w:tc>
        <w:tc>
          <w:tcPr>
            <w:tcW w:type="pct" w:w="2200"/>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58"/>
            <w:tcMar>
              <w:top w:type="dxa" w:w="50"/>
              <w:left w:type="dxa" w:w="110"/>
              <w:bottom w:type="dxa" w:w="50"/>
              <w:right w:type="dxa" w:w="110"/>
            </w:tcMar>
          </w:tcPr>
          <w:p>
            <w:pPr>
              <w:spacing w:before="28" w:after="28"/>
            </w:pPr>
            <w:r>
              <w:rPr>
                <w:sz w:val="15"/>
                <w:szCs w:val="15"/>
              </w:rPr>
              <w:t xml:space="preserve">Social and relationship</w:t>
            </w:r>
          </w:p>
        </w:tc>
        <w:tc>
          <w:tcPr>
            <w:tcW w:type="pct" w:w="2200"/>
            <w:tcMar>
              <w:top w:type="dxa" w:w="50"/>
              <w:left w:type="dxa" w:w="110"/>
              <w:bottom w:type="dxa" w:w="50"/>
              <w:right w:type="dxa" w:w="110"/>
            </w:tcMar>
          </w:tcPr>
          <w:p>
            <w:pPr>
              <w:spacing w:before="28" w:after="28"/>
            </w:pPr>
            <w:r>
              <w:rPr>
                <w:sz w:val="15"/>
                <w:szCs w:val="15"/>
              </w:rPr>
              <w:t xml:space="preserve">2,400 farmers in grower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supermarket customers</w:t>
            </w:r>
          </w:p>
        </w:tc>
        <w:tc>
          <w:tcPr>
            <w:tcW w:type="pct" w:w="1442"/>
            <w:tcMar>
              <w:top w:type="dxa" w:w="50"/>
              <w:left w:type="dxa" w:w="110"/>
              <w:bottom w:type="dxa" w:w="50"/>
              <w:right w:type="dxa" w:w="110"/>
            </w:tcMar>
          </w:tcPr>
          <w:p>
            <w:pPr>
              <w:spacing w:before="28" w:after="28"/>
            </w:pPr>
            <w:r>
              <w:rPr>
                <w:sz w:val="15"/>
                <w:szCs w:val="15"/>
              </w:rPr>
              <w:t xml:space="preserve">Farmer contracts renewed</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Natural</w:t>
            </w:r>
          </w:p>
        </w:tc>
        <w:tc>
          <w:tcPr>
            <w:tcW w:type="pct" w:w="2200"/>
            <w:shd w:fill="FBFAF6" w:val="clear"/>
            <w:tcMar>
              <w:top w:type="dxa" w:w="50"/>
              <w:left w:type="dxa" w:w="110"/>
              <w:bottom w:type="dxa" w:w="50"/>
              <w:right w:type="dxa" w:w="110"/>
            </w:tcMar>
          </w:tcPr>
          <w:p>
            <w:pPr>
              <w:spacing w:before="28" w:after="28"/>
            </w:pPr>
            <w:r>
              <w:rPr>
                <w:sz w:val="15"/>
                <w:szCs w:val="15"/>
              </w:rPr>
              <w:t xml:space="preserve">Olive groves, water, energy</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and bank loans (Part I)   ·   Share of sales from new products   ·   Presses, bottling lines, cold stores   ·   Water 900,000 m3; renewable electricity 30%   ·   cooperatives   ·   20 training hours per employee   ·   manufactured capital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In the value creation process, the business model takes capitals as inputs and turns them, through its activities,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waste.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the effects on the capitals, inside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w:t>
      </w:r>
      <w:r>
        <w:rPr>
          <w:sz w:val="19"/>
          <w:szCs w:val="19"/>
        </w:rPr>
        <w:t xml:space="preserve">Capitals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decisions involve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differently,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trade-offs   ·   by-products   ·   outputs   ·   financial   ·   outside   ·   outcomes   ·   connected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3</w:t>
      </w:r>
      <w:r>
        <w:rPr>
          <w:color w:val="6B7280"/>
          <w:sz w:val="16"/>
          <w:szCs w:val="16"/>
        </w:rPr>
        <w:t xml:space="preserve">      gaps 16–20</w:t>
      </w:r>
    </w:p>
    <w:p>
      <w:pPr>
        <w:spacing w:before="20" w:after="20" w:line="360" w:lineRule="auto"/>
        <w:ind w:left="200"/>
      </w:pPr>
      <w:r>
        <w:rPr>
          <w:sz w:val="19"/>
          <w:szCs w:val="19"/>
        </w:rPr>
        <w:t xml:space="preserve">Suppose Orontes spends $2,000,000 on drip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its groves: financial capital falls and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rises. </w:t>
      </w:r>
      <w:r>
        <w:rPr>
          <w:sz w:val="19"/>
          <w:szCs w:val="19"/>
        </w:rPr>
        <w:t xml:space="preserve">Water use falls by 150,000 m3, about 17% of the total: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cooperative farmers to use the system: human and social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capital rise. </w:t>
      </w:r>
      <w:r>
        <w:rPr>
          <w:sz w:val="19"/>
          <w:szCs w:val="19"/>
        </w:rPr>
        <w:t xml:space="preserve">An integrated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preserved   ·   manufactured   ·   explains   ·   irrigation   ·   natural   ·   relationship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spacing w:before="20" w:after="20" w:line="360" w:lineRule="auto"/>
        <w:ind w:left="200"/>
      </w:pPr>
      <w:r>
        <w:rPr>
          <w:sz w:val="19"/>
          <w:szCs w:val="19"/>
        </w:rPr>
        <w:t xml:space="preserve">The first two are done. Name the capital for each of the others.</w:t>
      </w:r>
    </w:p>
    <w:p>
      <w:pPr>
        <w:pageBreakBefore w:val="true"/>
        <w:spacing w:after="0"/>
      </w:pPr>
      <w:r>
        <w:rPr>
          <w:sz w:val="2"/>
        </w:rPr>
        <w:t xml:space="preserve"> </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trademark for Orontes Gold olive oil   ·   Water drawn from local wells   ·   Long-term contracts with grower cooperatives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capitaux</w:t>
            </w:r>
          </w:p>
        </w:tc>
      </w:tr>
    </w:tbl>
    <w:p/>
    <w:p>
      <w:pPr>
        <w:spacing w:before="20" w:after="20" w:line="360" w:lineRule="auto"/>
        <w:ind w:left="200"/>
      </w:pPr>
      <w:r>
        <w:rPr>
          <w:sz w:val="19"/>
          <w:szCs w:val="19"/>
        </w:rPr>
        <w:t xml:space="preserve">In integrated reporting, capitals are resources and relationships, not share capital. Read the whole phrase.</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intellectual capital   ·   social and relationship capital   ·   financial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connected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trade-offs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irrigation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 and bank loans (Part I)</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Presses, bottling lines, cold stores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natural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 of sales from new products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The trademark for Orontes Gold olive oil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Water 900,000 m3; renewable electricity 30%</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Long-term contracts with grower cooperatives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by-products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intellectual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outcomes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before="20" w:after="20"/>
        <w:ind w:left="240" w:hanging="240"/>
      </w:pPr>
      <w:r>
        <w:rPr>
          <w:b/>
          <w:bCs/>
          <w:color w:val="353A7C"/>
          <w:sz w:val="15"/>
          <w:szCs w:val="15"/>
        </w:rPr>
        <w:t xml:space="preserve">Summary 2   </w:t>
      </w:r>
      <w:r>
        <w:rPr>
          <w:color w:val="6B7280"/>
          <w:sz w:val="15"/>
          <w:szCs w:val="15"/>
        </w:rPr>
        <w:t xml:space="preserve">In the value creation process, the business model takes capitals as inputs and turns them, through its activities, into outputs: products, by-products and waste. The outcomes are the effects on the capitals, inside and outside the company. 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3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Framework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does not prescribe KPIs or measurement methods. </w:t>
      </w:r>
      <w:r>
        <w:rPr>
          <w:sz w:val="19"/>
          <w:szCs w:val="19"/>
        </w:rPr>
        <w:t xml:space="preserve">Seven guiding principles shape how the report is prepared,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information, materiality and conciseness.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element   ·   principles-based   ·   connectivity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754"/>
        <w:gridCol w:w="32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seven guiding principles</w:t>
            </w:r>
          </w:p>
        </w:tc>
      </w:tr>
      <w:tr>
        <w:tc>
          <w:tcPr>
            <w:tcW w:type="pct" w:w="1371"/>
            <w:shd w:fill="353A7C" w:val="clear"/>
            <w:tcMar>
              <w:top w:type="dxa" w:w="50"/>
              <w:left w:type="dxa" w:w="110"/>
              <w:bottom w:type="dxa" w:w="50"/>
              <w:right w:type="dxa" w:w="110"/>
            </w:tcMar>
          </w:tcPr>
          <w:p>
            <w:pPr>
              <w:spacing w:before="30" w:after="30"/>
            </w:pPr>
            <w:r>
              <w:rPr>
                <w:b/>
                <w:bCs/>
                <w:color w:val="FFFFFF"/>
                <w:sz w:val="15"/>
                <w:szCs w:val="15"/>
              </w:rPr>
              <w:t xml:space="preserve">Guiding principle (7)</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371"/>
            <w:tcMar>
              <w:top w:type="dxa" w:w="50"/>
              <w:left w:type="dxa" w:w="110"/>
              <w:bottom w:type="dxa" w:w="50"/>
              <w:right w:type="dxa" w:w="110"/>
            </w:tcMar>
          </w:tcPr>
          <w:p>
            <w:pPr>
              <w:spacing w:before="28" w:after="28"/>
            </w:pPr>
            <w:r>
              <w:rPr>
                <w:sz w:val="15"/>
                <w:szCs w:val="15"/>
              </w:rPr>
              <w:t xml:space="preserve">Strategic focus and future orientation</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674"/>
            <w:tcMar>
              <w:top w:type="dxa" w:w="50"/>
              <w:left w:type="dxa" w:w="110"/>
              <w:bottom w:type="dxa" w:w="50"/>
              <w:right w:type="dxa" w:w="110"/>
            </w:tcMar>
          </w:tcPr>
          <w:p>
            <w:pPr>
              <w:spacing w:before="28" w:after="28"/>
            </w:pPr>
            <w:r>
              <w:rPr>
                <w:sz w:val="15"/>
                <w:szCs w:val="15"/>
              </w:rPr>
              <w:t xml:space="preserve">Plans for the sparkling-juice line to 2030</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Connectivity of information</w:t>
            </w:r>
          </w:p>
        </w:tc>
        <w:tc>
          <w:tcPr>
            <w:tcW w:type="pct" w:w="1955"/>
            <w:shd w:fill="FBFAF6" w:val="clear"/>
            <w:tcMar>
              <w:top w:type="dxa" w:w="50"/>
              <w:left w:type="dxa" w:w="110"/>
              <w:bottom w:type="dxa" w:w="50"/>
              <w:right w:type="dxa" w:w="110"/>
            </w:tcMar>
          </w:tcPr>
          <w:p>
            <w:pPr>
              <w:spacing w:before="28" w:after="28"/>
            </w:pPr>
            <w:r>
              <w:rPr>
                <w:sz w:val="15"/>
                <w:szCs w:val="15"/>
              </w:rPr>
              <w:t xml:space="preserve">Show how capitals, strategy and performance link</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spending linked to water use and grower yields</w:t>
            </w:r>
          </w:p>
        </w:tc>
      </w:tr>
      <w:tr>
        <w:tc>
          <w:tcPr>
            <w:tcW w:type="pct" w:w="1371"/>
            <w:tcMar>
              <w:top w:type="dxa" w:w="50"/>
              <w:left w:type="dxa" w:w="110"/>
              <w:bottom w:type="dxa" w:w="50"/>
              <w:right w:type="dxa" w:w="110"/>
            </w:tcMar>
          </w:tcPr>
          <w:p>
            <w:pPr>
              <w:spacing w:before="28" w:after="28"/>
            </w:pPr>
            <w:r>
              <w:rPr>
                <w:sz w:val="15"/>
                <w:szCs w:val="15"/>
              </w:rPr>
              <w:t xml:space="preserve">Stakeholder relationships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4"/>
            <w:tcMar>
              <w:top w:type="dxa" w:w="50"/>
              <w:left w:type="dxa" w:w="110"/>
              <w:bottom w:type="dxa" w:w="50"/>
              <w:right w:type="dxa" w:w="110"/>
            </w:tcMar>
          </w:tcPr>
          <w:p>
            <w:pPr>
              <w:spacing w:before="28" w:after="28"/>
            </w:pPr>
            <w:r>
              <w:rPr>
                <w:sz w:val="15"/>
                <w:szCs w:val="15"/>
              </w:rPr>
              <w:t xml:space="preserve">Work with grower cooperatives</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Materiality</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matters that substantively affect value creation</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71"/>
            <w:tcMar>
              <w:top w:type="dxa" w:w="50"/>
              <w:left w:type="dxa" w:w="110"/>
              <w:bottom w:type="dxa" w:w="50"/>
              <w:right w:type="dxa" w:w="110"/>
            </w:tcMar>
          </w:tcPr>
          <w:p>
            <w:pPr>
              <w:spacing w:before="28" w:after="28"/>
            </w:pPr>
            <w:r>
              <w:rPr>
                <w:sz w:val="15"/>
                <w:szCs w:val="15"/>
              </w:rPr>
              <w:t xml:space="preserve">Conciseness</w:t>
            </w:r>
          </w:p>
        </w:tc>
        <w:tc>
          <w:tcPr>
            <w:tcW w:type="pct" w:w="1955"/>
            <w:tcMar>
              <w:top w:type="dxa" w:w="50"/>
              <w:left w:type="dxa" w:w="110"/>
              <w:bottom w:type="dxa" w:w="50"/>
              <w:right w:type="dxa" w:w="110"/>
            </w:tcMar>
          </w:tcPr>
          <w:p>
            <w:pPr>
              <w:spacing w:before="28" w:after="28"/>
            </w:pPr>
            <w:r>
              <w:rPr>
                <w:sz w:val="15"/>
                <w:szCs w:val="15"/>
              </w:rPr>
              <w:t xml:space="preserve">Be short and clear</w:t>
            </w:r>
          </w:p>
        </w:tc>
        <w:tc>
          <w:tcPr>
            <w:tcW w:type="pct" w:w="1674"/>
            <w:tcMar>
              <w:top w:type="dxa" w:w="50"/>
              <w:left w:type="dxa" w:w="110"/>
              <w:bottom w:type="dxa" w:w="50"/>
              <w:right w:type="dxa" w:w="110"/>
            </w:tcMar>
          </w:tcPr>
          <w:p>
            <w:pPr>
              <w:spacing w:before="28" w:after="28"/>
            </w:pPr>
            <w:r>
              <w:rPr>
                <w:sz w:val="15"/>
                <w:szCs w:val="15"/>
              </w:rPr>
              <w:t xml:space="preserve">Refer to the financial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rather than repeat them</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Reliability and completeness</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positive and negative matters, without material error</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71"/>
            <w:tcMar>
              <w:top w:type="dxa" w:w="50"/>
              <w:left w:type="dxa" w:w="110"/>
              <w:bottom w:type="dxa" w:w="50"/>
              <w:right w:type="dxa" w:w="110"/>
            </w:tcMar>
          </w:tcPr>
          <w:p>
            <w:pPr>
              <w:spacing w:before="28" w:after="28"/>
            </w:pPr>
            <w:r>
              <w:rPr>
                <w:sz w:val="15"/>
                <w:szCs w:val="15"/>
              </w:rPr>
              <w:t xml:space="preserve">Consistency and comparability</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Same water measure every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a failed product launch too   ·   Water scarcity; olive prices   ·   Explain key relationships and how the company responds   ·   Irrigation   ·   statements   ·   Explain strategy and how it creates value over time   ·   Use the same basis over time and allow comparison   ·   Grow, press, bottle, sell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Eight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elements set what the report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works, how its business model creates value, which risks and opportunities it faces, where its strategy is going, how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lies ahead, and how the report was prepared. </w:t>
      </w:r>
      <w:r>
        <w:rPr>
          <w:sz w:val="19"/>
          <w:szCs w:val="19"/>
        </w:rPr>
        <w:t xml:space="preserve">The elements are linked,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chapters. </w:t>
      </w:r>
      <w:r>
        <w:rPr>
          <w:sz w:val="19"/>
          <w:szCs w:val="19"/>
        </w:rPr>
        <w:t xml:space="preserve">For example, Orontes's water risk appears under risks and opportunities, drives its strategy, and is measured under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content   ·   performance   ·   performed   ·   separate   ·   governance   ·   covers   ·   statement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78"/>
        <w:gridCol w:w="3585"/>
        <w:gridCol w:w="323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47"/>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867"/>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47"/>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686"/>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Governance</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686"/>
            <w:shd w:fill="FBFAF6" w:val="clear"/>
            <w:tcMar>
              <w:top w:type="dxa" w:w="50"/>
              <w:left w:type="dxa" w:w="110"/>
              <w:bottom w:type="dxa" w:w="50"/>
              <w:right w:type="dxa" w:w="110"/>
            </w:tcMar>
          </w:tcPr>
          <w:p>
            <w:pPr>
              <w:spacing w:before="28" w:after="28"/>
            </w:pPr>
            <w:r>
              <w:rPr>
                <w:sz w:val="15"/>
                <w:szCs w:val="15"/>
              </w:rPr>
              <w:t xml:space="preserve">Board committee oversees water risk</w:t>
            </w:r>
          </w:p>
        </w:tc>
      </w:tr>
      <w:tr>
        <w:tc>
          <w:tcPr>
            <w:tcW w:type="pct" w:w="1447"/>
            <w:tcMar>
              <w:top w:type="dxa" w:w="50"/>
              <w:left w:type="dxa" w:w="110"/>
              <w:bottom w:type="dxa" w:w="50"/>
              <w:right w:type="dxa" w:w="110"/>
            </w:tcMar>
          </w:tcPr>
          <w:p>
            <w:pPr>
              <w:spacing w:before="28" w:after="28"/>
            </w:pPr>
            <w:r>
              <w:rPr>
                <w:sz w:val="15"/>
                <w:szCs w:val="15"/>
              </w:rPr>
              <w:t xml:space="preserve">Business model</w:t>
            </w:r>
          </w:p>
        </w:tc>
        <w:tc>
          <w:tcPr>
            <w:tcW w:type="pct" w:w="1867"/>
            <w:tcMar>
              <w:top w:type="dxa" w:w="50"/>
              <w:left w:type="dxa" w:w="110"/>
              <w:bottom w:type="dxa" w:w="50"/>
              <w:right w:type="dxa" w:w="110"/>
            </w:tcMar>
          </w:tcPr>
          <w:p>
            <w:pPr>
              <w:spacing w:before="28" w:after="28"/>
            </w:pPr>
            <w:r>
              <w:rPr>
                <w:sz w:val="15"/>
                <w:szCs w:val="15"/>
              </w:rPr>
              <w:t xml:space="preserve">How does the company turn capitals into value?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867"/>
            <w:shd w:fill="FBFAF6" w:val="clear"/>
            <w:tcMar>
              <w:top w:type="dxa" w:w="50"/>
              <w:left w:type="dxa" w:w="110"/>
              <w:bottom w:type="dxa" w:w="50"/>
              <w:right w:type="dxa" w:w="110"/>
            </w:tcMar>
          </w:tcPr>
          <w:p>
            <w:pPr>
              <w:spacing w:before="28" w:after="28"/>
            </w:pPr>
            <w:r>
              <w:rPr>
                <w:sz w:val="15"/>
                <w:szCs w:val="15"/>
              </w:rPr>
              <w:t xml:space="preserve">What could help or harm value creation?</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1447"/>
            <w:tcMar>
              <w:top w:type="dxa" w:w="50"/>
              <w:left w:type="dxa" w:w="110"/>
              <w:bottom w:type="dxa" w:w="50"/>
              <w:right w:type="dxa" w:w="110"/>
            </w:tcMar>
          </w:tcPr>
          <w:p>
            <w:pPr>
              <w:spacing w:before="28" w:after="28"/>
            </w:pPr>
            <w:r>
              <w:rPr>
                <w:sz w:val="15"/>
                <w:szCs w:val="15"/>
              </w:rPr>
              <w:t xml:space="preserve">Strategy and resource allocation</w:t>
            </w:r>
          </w:p>
        </w:tc>
        <w:tc>
          <w:tcPr>
            <w:tcW w:type="pct" w:w="1867"/>
            <w:tcMar>
              <w:top w:type="dxa" w:w="50"/>
              <w:left w:type="dxa" w:w="110"/>
              <w:bottom w:type="dxa" w:w="50"/>
              <w:right w:type="dxa" w:w="110"/>
            </w:tcMar>
          </w:tcPr>
          <w:p>
            <w:pPr>
              <w:spacing w:before="28" w:after="28"/>
            </w:pPr>
            <w:r>
              <w:rPr>
                <w:sz w:val="15"/>
                <w:szCs w:val="15"/>
              </w:rPr>
              <w:t xml:space="preserve">Where is it going, and how will it get there?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867"/>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1447"/>
            <w:tcMar>
              <w:top w:type="dxa" w:w="50"/>
              <w:left w:type="dxa" w:w="110"/>
              <w:bottom w:type="dxa" w:w="50"/>
              <w:right w:type="dxa" w:w="110"/>
            </w:tcMar>
          </w:tcPr>
          <w:p>
            <w:pPr>
              <w:spacing w:before="28" w:after="28"/>
            </w:pPr>
            <w:r>
              <w:rPr>
                <w:sz w:val="15"/>
                <w:szCs w:val="15"/>
              </w:rPr>
              <w:t xml:space="preserve">Outlook</w:t>
            </w:r>
          </w:p>
        </w:tc>
        <w:tc>
          <w:tcPr>
            <w:tcW w:type="pct" w:w="1867"/>
            <w:tcMar>
              <w:top w:type="dxa" w:w="50"/>
              <w:left w:type="dxa" w:w="110"/>
              <w:bottom w:type="dxa" w:w="50"/>
              <w:right w:type="dxa" w:w="110"/>
            </w:tcMar>
          </w:tcPr>
          <w:p>
            <w:pPr>
              <w:spacing w:before="28" w:after="28"/>
            </w:pPr>
            <w:r>
              <w:rPr>
                <w:sz w:val="15"/>
                <w:szCs w:val="15"/>
              </w:rPr>
              <w:t xml:space="preserve">What challenges and uncertainties lie ahead?</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867"/>
            <w:shd w:fill="FBFAF6" w:val="clear"/>
            <w:tcMar>
              <w:top w:type="dxa" w:w="50"/>
              <w:left w:type="dxa" w:w="110"/>
              <w:bottom w:type="dxa" w:w="50"/>
              <w:right w:type="dxa" w:w="110"/>
            </w:tcMar>
          </w:tcPr>
          <w:p>
            <w:pPr>
              <w:spacing w:before="28" w:after="28"/>
            </w:pPr>
            <w:r>
              <w:rPr>
                <w:sz w:val="15"/>
                <w:szCs w:val="15"/>
              </w:rPr>
              <w:t xml:space="preserve">How were matters chosen and measured?</w:t>
            </w:r>
          </w:p>
        </w:tc>
        <w:tc>
          <w:tcPr>
            <w:tcW w:type="pct" w:w="1686"/>
            <w:shd w:fill="FBFAF6" w:val="clear"/>
            <w:tcMar>
              <w:top w:type="dxa" w:w="50"/>
              <w:left w:type="dxa" w:w="110"/>
              <w:bottom w:type="dxa" w:w="50"/>
              <w:right w:type="dxa" w:w="110"/>
            </w:tcMar>
          </w:tcPr>
          <w:p>
            <w:pPr>
              <w:spacing w:before="28" w:after="28"/>
            </w:pPr>
            <w:r>
              <w:rPr>
                <w:sz w:val="15"/>
                <w:szCs w:val="15"/>
              </w:rPr>
              <w:t xml:space="preserve">Materiality process; measurement methods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Renewable electricity 30%   ·   Olive yields and prices to 2030   ·   Water scarcity; demand for healthy drinks   ·   What does the company do, and where?   ·   Show how capitals, strategy and performance link   ·   Invest in irrigation and new products   ·   How does governance support value creation?   ·   Grow, press, bottle, sell</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Those charged with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such as the board, should include a statement that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governance   ·   distinguishable   ·   responsible   ·   outlook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There are seven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connectivity   ·   guiding   ·   distinguishable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رؤوس الأموال   ·   guiding principles   ·   content elements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What does the company do, and 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connectivity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How does governance support value creation?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Explain strategy and how it creates value over time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Grow, press, bottle,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Irrigation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Water scarcity; demand for healthy drinks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 key relationships and how the company 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Invest in irrigation and new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Water scarcity; olive prices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Renewable electricity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 yields and prices to 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 a failed product launch too</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 the same basis over time and allow 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governance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content elements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guiding principles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is principles-based: it does not prescribe KPIs or measurement methods. Seven guiding principles shape how the report is prepared, such as connectivity of information, materiality and conciseness.</w:t>
      </w:r>
    </w:p>
    <w:p>
      <w:pPr>
        <w:spacing w:before="20" w:after="20"/>
        <w:ind w:left="240" w:hanging="240"/>
      </w:pPr>
      <w:r>
        <w:rPr>
          <w:b/>
          <w:bCs/>
          <w:color w:val="353A7C"/>
          <w:sz w:val="15"/>
          <w:szCs w:val="15"/>
        </w:rPr>
        <w:t xml:space="preserve">Summary 2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 The elements are linked, not separate chapters. For example, Orontes's water risk appears under risks and opportunities, drives its strategy, and is measured under performance.</w:t>
      </w:r>
    </w:p>
    <w:p>
      <w:pPr>
        <w:spacing w:before="20" w:after="20"/>
        <w:ind w:left="240" w:hanging="240"/>
      </w:pPr>
      <w:r>
        <w:rPr>
          <w:b/>
          <w:bCs/>
          <w:color w:val="353A7C"/>
          <w:sz w:val="15"/>
          <w:szCs w:val="15"/>
        </w:rPr>
        <w:t xml:space="preserve">Summary 3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4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Benefits against Challenges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assurance   ·   information   ·   capitals   ·   non-financial   ·   Framework   ·   integrated reporting   ·   comparability   ·   relationships   ·   investors   ·   guiding principles</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 reporting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assurance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non-financial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comparability</w:t>
            </w:r>
          </w:p>
        </w:tc>
      </w:tr>
    </w:tbl>
    <w:p/>
    <w:p>
      <w:pPr>
        <w:spacing w:before="50" w:after="14"/>
      </w:pPr>
      <w:r>
        <w:rPr>
          <w:b/>
          <w:bCs/>
          <w:color w:val="353A7C"/>
          <w:sz w:val="18"/>
          <w:szCs w:val="18"/>
        </w:rPr>
        <w:t xml:space="preserve">the summaries in full</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is stayed, and the SEC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Practice   ·   proposed   ·   separate   ·   information   ·   Framework   ·   effect   ·   reporting   ·   voluntary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400"/>
            <w:tcMar>
              <w:top w:type="dxa" w:w="50"/>
              <w:left w:type="dxa" w:w="110"/>
              <w:bottom w:type="dxa" w:w="50"/>
              <w:right w:type="dxa" w:w="110"/>
            </w:tcMar>
          </w:tcPr>
          <w:p>
            <w:pPr>
              <w:spacing w:before="28" w:after="28"/>
            </w:pPr>
            <w:r>
              <w:rPr>
                <w:sz w:val="15"/>
                <w:szCs w:val="15"/>
              </w:rPr>
              <w:t xml:space="preserve">D1</w:t>
            </w:r>
          </w:p>
        </w:tc>
        <w:tc>
          <w:tcPr>
            <w:tcW w:type="pct" w:w="2600"/>
            <w:tcMar>
              <w:top w:type="dxa" w:w="50"/>
              <w:left w:type="dxa" w:w="110"/>
              <w:bottom w:type="dxa" w:w="50"/>
              <w:right w:type="dxa" w:w="110"/>
            </w:tcMar>
          </w:tcPr>
          <w:p>
            <w:pPr>
              <w:spacing w:before="28" w:after="28"/>
            </w:pPr>
            <w:r>
              <w:rPr>
                <w:sz w:val="15"/>
                <w:szCs w:val="15"/>
              </w:rPr>
              <w:t xml:space="preserve">Barada trained all delivery drivers in safe driving.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400"/>
            <w:tcMar>
              <w:top w:type="dxa" w:w="50"/>
              <w:left w:type="dxa" w:w="110"/>
              <w:bottom w:type="dxa" w:w="50"/>
              <w:right w:type="dxa" w:w="110"/>
            </w:tcMar>
          </w:tcPr>
          <w:p>
            <w:pPr>
              <w:spacing w:before="28" w:after="28"/>
            </w:pPr>
            <w:r>
              <w:rPr>
                <w:sz w:val="15"/>
                <w:szCs w:val="15"/>
              </w:rPr>
              <w:t xml:space="preserve">D3</w:t>
            </w:r>
          </w:p>
        </w:tc>
        <w:tc>
          <w:tcPr>
            <w:tcW w:type="pct" w:w="2600"/>
            <w:tcMar>
              <w:top w:type="dxa" w:w="50"/>
              <w:left w:type="dxa" w:w="110"/>
              <w:bottom w:type="dxa" w:w="50"/>
              <w:right w:type="dxa" w:w="110"/>
            </w:tcMar>
          </w:tcPr>
          <w:p>
            <w:pPr>
              <w:spacing w:before="28" w:after="28"/>
            </w:pPr>
            <w:r>
              <w:rPr>
                <w:sz w:val="15"/>
                <w:szCs w:val="15"/>
              </w:rPr>
              <w:t xml:space="preserve">Barada signed five-year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with 60 small farmers.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D4</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400"/>
            <w:tcMar>
              <w:top w:type="dxa" w:w="50"/>
              <w:left w:type="dxa" w:w="110"/>
              <w:bottom w:type="dxa" w:w="50"/>
              <w:right w:type="dxa" w:w="110"/>
            </w:tcMar>
          </w:tcPr>
          <w:p>
            <w:pPr>
              <w:spacing w:before="28" w:after="28"/>
            </w:pPr>
            <w:r>
              <w:rPr>
                <w:sz w:val="15"/>
                <w:szCs w:val="15"/>
              </w:rPr>
              <w:t xml:space="preserve">D5</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D6</w:t>
            </w:r>
          </w:p>
        </w:tc>
        <w:tc>
          <w:tcPr>
            <w:tcW w:type="pct" w:w="2600"/>
            <w:shd w:fill="FBFAF6" w:val="clear"/>
            <w:tcMar>
              <w:top w:type="dxa" w:w="50"/>
              <w:left w:type="dxa" w:w="110"/>
              <w:bottom w:type="dxa" w:w="50"/>
              <w:right w:type="dxa" w:w="110"/>
            </w:tcMar>
          </w:tcPr>
          <w:p>
            <w:pPr>
              <w:spacing w:before="28" w:after="28"/>
            </w:pPr>
            <w:r>
              <w:rPr>
                <w:sz w:val="15"/>
                <w:szCs w:val="15"/>
              </w:rPr>
              <w:t xml:space="preserve">Rising fuel prices could cut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delivery margins in 2029 and 2030.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draft links each strategic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Barada's   ·   partnerships   ·   Staff turnover in the warehouse fell from 25% to 15%.   ·   Packaging waste sent to landfill fell by one third.   ·   guiding principles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Safety training for factory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trademark for Orontes Gold olive oil</w:t>
            </w:r>
          </w:p>
        </w:tc>
        <w:tc>
          <w:tcPr>
            <w:tcW w:type="pct" w:w="2400"/>
            <w:shd w:fill="FBFAF6" w:val="clear"/>
            <w:tcMar>
              <w:top w:type="dxa" w:w="50"/>
              <w:left w:type="dxa" w:w="110"/>
              <w:bottom w:type="dxa" w:w="50"/>
              <w:right w:type="dxa" w:w="110"/>
            </w:tcMar>
          </w:tcPr>
          <w:p>
            <w:pPr>
              <w:spacing w:before="28" w:after="28"/>
            </w:pPr>
            <w:r>
              <w:rPr>
                <w:sz w:val="15"/>
                <w:szCs w:val="15"/>
              </w:rPr>
              <w:t xml:space="preserve">Intellectual capital</w:t>
            </w:r>
          </w:p>
        </w:tc>
      </w:tr>
      <w:tr>
        <w:tc>
          <w:tcPr>
            <w:tcW w:type="pct" w:w="2600"/>
            <w:tcMar>
              <w:top w:type="dxa" w:w="50"/>
              <w:left w:type="dxa" w:w="110"/>
              <w:bottom w:type="dxa" w:w="50"/>
              <w:right w:type="dxa" w:w="110"/>
            </w:tcMar>
          </w:tcPr>
          <w:p>
            <w:pPr>
              <w:spacing w:before="28" w:after="28"/>
            </w:pPr>
            <w:r>
              <w:rPr>
                <w:sz w:val="15"/>
                <w:szCs w:val="15"/>
              </w:rPr>
              <w:t xml:space="preserve">Water drawn from local wells</w:t>
            </w:r>
          </w:p>
        </w:tc>
        <w:tc>
          <w:tcPr>
            <w:tcW w:type="pct" w:w="2400"/>
            <w:tcMar>
              <w:top w:type="dxa" w:w="50"/>
              <w:left w:type="dxa" w:w="110"/>
              <w:bottom w:type="dxa" w:w="50"/>
              <w:right w:type="dxa" w:w="110"/>
            </w:tcMar>
          </w:tcPr>
          <w:p>
            <w:pPr>
              <w:spacing w:before="28" w:after="28"/>
            </w:pPr>
            <w:r>
              <w:rPr>
                <w:sz w:val="15"/>
                <w:szCs w:val="15"/>
              </w:rPr>
              <w:t xml:space="preserve">Natural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Long-term contracts with grower cooperatives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Social and relationship capital   ·   natural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D1 Driver training</w:t>
            </w:r>
          </w:p>
        </w:tc>
        <w:tc>
          <w:tcPr>
            <w:tcW w:type="pct" w:w="2400"/>
            <w:tcMar>
              <w:top w:type="dxa" w:w="50"/>
              <w:left w:type="dxa" w:w="110"/>
              <w:bottom w:type="dxa" w:w="50"/>
              <w:right w:type="dxa" w:w="110"/>
            </w:tcMar>
          </w:tcPr>
          <w:p>
            <w:pPr>
              <w:spacing w:before="28" w:after="28"/>
            </w:pPr>
            <w:r>
              <w:rPr>
                <w:sz w:val="15"/>
                <w:szCs w:val="15"/>
              </w:rPr>
              <w:t xml:space="preserve">Human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D2 Electricity and solar</w:t>
            </w:r>
          </w:p>
        </w:tc>
        <w:tc>
          <w:tcPr>
            <w:tcW w:type="pct" w:w="2400"/>
            <w:shd w:fill="FBFAF6" w:val="clear"/>
            <w:tcMar>
              <w:top w:type="dxa" w:w="50"/>
              <w:left w:type="dxa" w:w="110"/>
              <w:bottom w:type="dxa" w:w="50"/>
              <w:right w:type="dxa" w:w="110"/>
            </w:tcMar>
          </w:tcPr>
          <w:p>
            <w:pPr>
              <w:spacing w:before="28" w:after="28"/>
            </w:pPr>
            <w:r>
              <w:rPr>
                <w:sz w:val="15"/>
                <w:szCs w:val="15"/>
              </w:rPr>
              <w:t xml:space="preserve">Natural capital</w:t>
            </w:r>
          </w:p>
        </w:tc>
      </w:tr>
      <w:tr>
        <w:tc>
          <w:tcPr>
            <w:tcW w:type="pct" w:w="2600"/>
            <w:tcMar>
              <w:top w:type="dxa" w:w="50"/>
              <w:left w:type="dxa" w:w="110"/>
              <w:bottom w:type="dxa" w:w="50"/>
              <w:right w:type="dxa" w:w="110"/>
            </w:tcMar>
          </w:tcPr>
          <w:p>
            <w:pPr>
              <w:spacing w:before="28" w:after="28"/>
            </w:pPr>
            <w:r>
              <w:rPr>
                <w:sz w:val="15"/>
                <w:szCs w:val="15"/>
              </w:rPr>
              <w:t xml:space="preserve">D3 Farmer partnerships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D4 Warehouse staff turnover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D5 Packaging waste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manufactured capital   ·   Social and relationship capital   ·   Natural capital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رؤوس الأموال   ·   integrated report</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partnerships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Staff turnover in the warehouse fell from 25% to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Packaging waste sent to landfill fell by one third.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Natural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integrated 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capitals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88"/>
          <w:pgSz w:w="11906" w:h="16838" w:orient="portrait"/>
          <w:pgMar w:top="1180" w:right="1000" w:bottom="900" w:left="1000" w:header="708" w:footer="708" w:gutter="0"/>
          <w:docGrid w:linePitch="360"/>
          <w:pgNumType w:start="1"/>
        </w:sectPr>
      </w:pPr>
    </w:p>
    <w:sectPr>
      <w:headerReference w:type="default" r:id="rIdHdr18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Why book income and taxable income differ</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Measuring current and deferred taxes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Rate changes, valuation allowances, losses and presentation</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IFRS differences and disclosures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Subsequent measurement: two expense patterns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Presentation</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Short-term leases, sale and leaseback, and IFRS 16</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fb3409c59d5ba967155659445d60da5da01136b.png" Type="http://schemas.openxmlformats.org/officeDocument/2006/relationships/image"/><Relationship Id="rId102" Target="media/e6cd6c3f15face523ac58431cbe41acddf35ae08.png" Type="http://schemas.openxmlformats.org/officeDocument/2006/relationships/image"/><Relationship Id="rId103" Target="media/21f6a451e2701825b997f01d8e7ac7d40d3a3ac5.png" Type="http://schemas.openxmlformats.org/officeDocument/2006/relationships/image"/><Relationship Id="rId104" Target="media/e394543c29ca0c7e7e02f4ee2e2ffca62c555660.png" Type="http://schemas.openxmlformats.org/officeDocument/2006/relationships/image"/><Relationship Id="rId105" Target="media/a5ba304055d8dc8bf74baa59f834ffa0d8b6b2b1.png" Type="http://schemas.openxmlformats.org/officeDocument/2006/relationships/image"/><Relationship Id="rId106" Target="media/9274e320d00cc1f15fc5d976bc9a92aad3a8d9a9.png" Type="http://schemas.openxmlformats.org/officeDocument/2006/relationships/image"/><Relationship Id="rId107" Target="media/a21839203d8366da0bdb003e8f133c171c18bfcf.png" Type="http://schemas.openxmlformats.org/officeDocument/2006/relationships/image"/><Relationship Id="rId108" Target="media/606b29f8e606b81a649bb3ab3cb2a9fdad59a237.png" Type="http://schemas.openxmlformats.org/officeDocument/2006/relationships/image"/><Relationship Id="rId109" Target="media/efef428e16f6bcd528bc2d7543a0c9f34eefe1aa.png" Type="http://schemas.openxmlformats.org/officeDocument/2006/relationships/image"/><Relationship Id="rId110" Target="media/c8f9bc9301c519fa51cdcd7d57e36a7dc172e6d2.png" Type="http://schemas.openxmlformats.org/officeDocument/2006/relationships/image"/><Relationship Id="rId111" Target="media/2d433156bdc1333ff5fc44a2d81a87bd0a3d3e8f.png" Type="http://schemas.openxmlformats.org/officeDocument/2006/relationships/image"/><Relationship Id="rId112" Target="media/0dece7206b1150af26055271d0da2e81b778f13e.png" Type="http://schemas.openxmlformats.org/officeDocument/2006/relationships/image"/><Relationship Id="rId113" Target="media/bc498578c61b76cbb87adfe3bbe9e1d2d1297a70.png" Type="http://schemas.openxmlformats.org/officeDocument/2006/relationships/image"/><Relationship Id="rId114" Target="media/b787336fc654f523ad74989a47cc8d612fe08f0b.png" Type="http://schemas.openxmlformats.org/officeDocument/2006/relationships/image"/><Relationship Id="rId115" Target="media/78dcd6ce27314b3f0e7c5df1f8068fbef49a14dc.png" Type="http://schemas.openxmlformats.org/officeDocument/2006/relationships/image"/><Relationship Id="rId116" Target="media/bf13b71f98c2bca22e4508d5f201092365d56134.png" Type="http://schemas.openxmlformats.org/officeDocument/2006/relationships/image"/><Relationship Id="rId117" Target="media/b3c13ee14d573e9c11a446fa760a79c792d27b12.png" Type="http://schemas.openxmlformats.org/officeDocument/2006/relationships/image"/><Relationship Id="rId118" Target="media/62696186d75f7aba50e3a5457b5ee77057337ef6.png" Type="http://schemas.openxmlformats.org/officeDocument/2006/relationships/image"/><Relationship Id="rId119" Target="media/e532e14566190bb0ca65a7bc990028384b543be3.png" Type="http://schemas.openxmlformats.org/officeDocument/2006/relationships/image"/><Relationship Id="rId120" Target="media/2ec8f26fe1363498b17b14836aa057388e3b2797.png" Type="http://schemas.openxmlformats.org/officeDocument/2006/relationships/image"/><Relationship Id="rId121" Target="media/a8d893ed39d62d80f594cff6c158c76e2880c991.png" Type="http://schemas.openxmlformats.org/officeDocument/2006/relationships/image"/><Relationship Id="rId122" Target="media/8a9a066b6ba2c25ffb0078ca394599696be7ea7c.png" Type="http://schemas.openxmlformats.org/officeDocument/2006/relationships/image"/><Relationship Id="rId123" Target="media/446ca8459f293474586bbb97d37c5b938a90f156.png" Type="http://schemas.openxmlformats.org/officeDocument/2006/relationships/image"/><Relationship Id="rId124" Target="media/c3d5b35f9ef794f37aff0bc428d9b6fa04f6b4aa.png" Type="http://schemas.openxmlformats.org/officeDocument/2006/relationships/image"/><Relationship Id="rId125" Target="media/74c3341ead4c1174cdd6be8e2f7f4166ec0e3a72.png" Type="http://schemas.openxmlformats.org/officeDocument/2006/relationships/image"/><Relationship Id="rId126" Target="media/82030786494837d1e00a382193d3fee737a62007.png" Type="http://schemas.openxmlformats.org/officeDocument/2006/relationships/image"/><Relationship Id="rId127" Target="media/d2c11b7280b5766959a8bd1c339735fa5c38bf87.png" Type="http://schemas.openxmlformats.org/officeDocument/2006/relationships/image"/><Relationship Id="rId128" Target="media/24d9e605f47edce61e68b7ae3f2a818a9e5e93cb.png" Type="http://schemas.openxmlformats.org/officeDocument/2006/relationships/image"/><Relationship Id="rId129" Target="media/fbeb962de72923677f65877b561ea2ba3d95db7f.png" Type="http://schemas.openxmlformats.org/officeDocument/2006/relationships/image"/><Relationship Id="rId130" Target="media/7d3a995f97353689360da589359d324052e3199e.png" Type="http://schemas.openxmlformats.org/officeDocument/2006/relationships/image"/><Relationship Id="rId131" Target="media/d6a737557e5217da5d375874c7c4f118048b2981.png" Type="http://schemas.openxmlformats.org/officeDocument/2006/relationships/image"/><Relationship Id="rId132" Target="media/570f8c1e8c48d24363ff024860b438fb79c72bde.png" Type="http://schemas.openxmlformats.org/officeDocument/2006/relationships/image"/><Relationship Id="rId133" Target="media/98671c5b9b80adaf867b9e3dcdcfee344ee2759f.png" Type="http://schemas.openxmlformats.org/officeDocument/2006/relationships/image"/><Relationship Id="rId134" Target="media/77055da939cdb53606c98c401f79ca172ea9eb7c.png" Type="http://schemas.openxmlformats.org/officeDocument/2006/relationships/image"/><Relationship Id="rId135" Target="media/8e8240a756d8365560b2c35e38dad7ae05558565.png" Type="http://schemas.openxmlformats.org/officeDocument/2006/relationships/image"/><Relationship Id="rId136" Target="media/dcd76e46d8370de81b2a1336b42fbeef64ee8507.png" Type="http://schemas.openxmlformats.org/officeDocument/2006/relationships/image"/><Relationship Id="rId137" Target="media/c2ccdcef03ee4613a15991a3f896b6b54d951f4d.png" Type="http://schemas.openxmlformats.org/officeDocument/2006/relationships/image"/><Relationship Id="rId138" Target="media/f82deda45a82a14e264ea539b199d017d2b38e40.png" Type="http://schemas.openxmlformats.org/officeDocument/2006/relationships/image"/><Relationship Id="rId139" Target="media/cc9a644d92103316c913de4bde48f6c0a6ffc573.png" Type="http://schemas.openxmlformats.org/officeDocument/2006/relationships/image"/><Relationship Id="rId140" Target="media/609f0d9f0eb62dac0dfa2f268f8ad76b23f5b497.png" Type="http://schemas.openxmlformats.org/officeDocument/2006/relationships/image"/><Relationship Id="rId141" Target="media/cd050a3751879b5e2321c2fea9ec57d212e7bf58.png" Type="http://schemas.openxmlformats.org/officeDocument/2006/relationships/image"/><Relationship Id="rId142" Target="media/0e3dcc198ce4b402c04a40ded42335ed43da313a.png" Type="http://schemas.openxmlformats.org/officeDocument/2006/relationships/image"/><Relationship Id="rId143" Target="media/ac28cb4267294a1fdf891ef640e6c77a94e2cbd5.png" Type="http://schemas.openxmlformats.org/officeDocument/2006/relationships/image"/><Relationship Id="rId144" Target="media/8c672e97454a36d9691b12d235563ef1da1d15b6.png" Type="http://schemas.openxmlformats.org/officeDocument/2006/relationships/image"/><Relationship Id="rId145" Target="media/239c0173c4126a60d5ee1db365241eb70cf802c6.png" Type="http://schemas.openxmlformats.org/officeDocument/2006/relationships/image"/><Relationship Id="rId146" Target="media/cab6766e86a80cde24420a7e2dc600bcafcb956d.png" Type="http://schemas.openxmlformats.org/officeDocument/2006/relationships/image"/><Relationship Id="rId147" Target="media/4035911c48e5a5b36cd9edc4c9178e32832d9d51.png" Type="http://schemas.openxmlformats.org/officeDocument/2006/relationships/image"/><Relationship Id="rId148" Target="media/039cfb7799b0037741ef0ec7b9f6a3becc800c16.png" Type="http://schemas.openxmlformats.org/officeDocument/2006/relationships/image"/><Relationship Id="rId149" Target="media/90990591fe9056e34070906d86f9fe9c1ec3c455.png" Type="http://schemas.openxmlformats.org/officeDocument/2006/relationships/image"/><Relationship Id="rId150" Target="media/94391c13d155da102c3d4694cffbe6152d6ef6f4.png" Type="http://schemas.openxmlformats.org/officeDocument/2006/relationships/image"/><Relationship Id="rId151" Target="media/e862b26eb3a02c8b9a55058185528e92d6cb76ca.png" Type="http://schemas.openxmlformats.org/officeDocument/2006/relationships/image"/><Relationship Id="rId152" Target="media/e9beb181497f995c7f4f820f51958262b18d4a9c.png" Type="http://schemas.openxmlformats.org/officeDocument/2006/relationships/image"/><Relationship Id="rId153" Target="media/39d4e7e2f131b818d16c68ce0fd9a43e71954d73.png" Type="http://schemas.openxmlformats.org/officeDocument/2006/relationships/image"/><Relationship Id="rId154" Target="media/022434368ebb1365fd5d35821d520109ec46f350.png" Type="http://schemas.openxmlformats.org/officeDocument/2006/relationships/image"/><Relationship Id="rId155" Target="media/c11fad706af8b49bea55501ac7f9b904678041c7.png" Type="http://schemas.openxmlformats.org/officeDocument/2006/relationships/image"/><Relationship Id="rId156" Target="media/855fba116821b807c9ab51a62accc1d61365b658.png" Type="http://schemas.openxmlformats.org/officeDocument/2006/relationships/image"/><Relationship Id="rId157" Target="media/93c22d2aa635928e900fda5a752097b5582b156c.png" Type="http://schemas.openxmlformats.org/officeDocument/2006/relationships/image"/><Relationship Id="rId158" Target="media/f7d1965f677c9fbe95666bdd7ac6e8576fe75753.png" Type="http://schemas.openxmlformats.org/officeDocument/2006/relationships/image"/><Relationship Id="rId159" Target="media/2b54fdcf833fe11ce0b4dc25f34d99d7e563dd72.png" Type="http://schemas.openxmlformats.org/officeDocument/2006/relationships/image"/><Relationship Id="rId160" Target="media/e2b35aaa50a5251826b899af27c7c527083e7ff0.png" Type="http://schemas.openxmlformats.org/officeDocument/2006/relationships/image"/><Relationship Id="rId161" Target="media/fba2b5ada76d7f9688f2668941cb6c8603ea7ef5.png" Type="http://schemas.openxmlformats.org/officeDocument/2006/relationships/image"/><Relationship Id="rId162" Target="media/f525dab043aa0b268e5e7845c36cd24090dfa1f2.png" Type="http://schemas.openxmlformats.org/officeDocument/2006/relationships/image"/><Relationship Id="rId163" Target="media/647e6f9a0a2afefce9e8e3680bfb8cad475ad403.png" Type="http://schemas.openxmlformats.org/officeDocument/2006/relationships/image"/><Relationship Id="rId164" Target="media/af5ffcd955e38022daf54f0605d5c4dbd20eff4f.png" Type="http://schemas.openxmlformats.org/officeDocument/2006/relationships/image"/><Relationship Id="rId165" Target="media/3fe02b7012fd91aa8585bf5cfaca134ad150a61d.png" Type="http://schemas.openxmlformats.org/officeDocument/2006/relationships/image"/><Relationship Id="rId166" Target="media/61c6844b061ba32ec442be33f888d4f5cda188ad.png" Type="http://schemas.openxmlformats.org/officeDocument/2006/relationships/image"/><Relationship Id="rId167" Target="media/cedb5ab9d7c91d775501d61b6ee2e8f96dc509cd.png" Type="http://schemas.openxmlformats.org/officeDocument/2006/relationships/image"/><Relationship Id="rId168" Target="media/1e08ac3cb744318270531de87752c4c4d74589e3.png" Type="http://schemas.openxmlformats.org/officeDocument/2006/relationships/image"/><Relationship Id="rId169" Target="media/67b035e8a54802842b2b2062c45b9e17080ec6d4.png" Type="http://schemas.openxmlformats.org/officeDocument/2006/relationships/image"/><Relationship Id="rId170" Target="media/465390ead1112a179f95aac641fc911ce0d1b18d.png" Type="http://schemas.openxmlformats.org/officeDocument/2006/relationships/image"/><Relationship Id="rId171" Target="media/1235e892a8f777b9628458365848e39d7acdec27.png" Type="http://schemas.openxmlformats.org/officeDocument/2006/relationships/image"/><Relationship Id="rId172" Target="media/ce5485de9a2a57634b2f77957276f20369ca7f19.png" Type="http://schemas.openxmlformats.org/officeDocument/2006/relationships/image"/><Relationship Id="rId173" Target="media/2f2b395c51d2599f16674019ad8bb92abbf954e5.png" Type="http://schemas.openxmlformats.org/officeDocument/2006/relationships/image"/><Relationship Id="rId174" Target="media/fb14663fd5ba47eb16d9776a523adf7d4b7c683e.png" Type="http://schemas.openxmlformats.org/officeDocument/2006/relationships/image"/><Relationship Id="rId175" Target="media/b00ea7490dd164b3af8b631a42d8342e53a455f1.png" Type="http://schemas.openxmlformats.org/officeDocument/2006/relationships/image"/><Relationship Id="rId176" Target="media/883d6d583445e81aedf1f7b8b157a9d6569acfa7.png" Type="http://schemas.openxmlformats.org/officeDocument/2006/relationships/image"/><Relationship Id="rId177" Target="media/f98f39982d77ff660524514fc8f79d724a92aa5d.png" Type="http://schemas.openxmlformats.org/officeDocument/2006/relationships/image"/><Relationship Id="rId178" Target="media/6c0e0531fae1cce08b86321aaca8ff05a691d530.png" Type="http://schemas.openxmlformats.org/officeDocument/2006/relationships/image"/><Relationship Id="rId179" Target="media/b977408f89ded03da98f4a38f2088c6f2ec9d2a6.png" Type="http://schemas.openxmlformats.org/officeDocument/2006/relationships/image"/><Relationship Id="rId180" Target="media/9054b5e0335361351a96d7ad19e9fc96b4747643.png" Type="http://schemas.openxmlformats.org/officeDocument/2006/relationships/image"/><Relationship Id="rId181" Target="media/9c7ebebd30ece72b513e046773092a806c681bff.png" Type="http://schemas.openxmlformats.org/officeDocument/2006/relationships/image"/><Relationship Id="rId182" Target="media/683bc8aad0b67e817be65e6f6237919d39e2416a.png" Type="http://schemas.openxmlformats.org/officeDocument/2006/relationships/image"/><Relationship Id="rId183" Target="media/d111153324099ec7b943f10c4bc83f601e6f0d84.png" Type="http://schemas.openxmlformats.org/officeDocument/2006/relationships/image"/><Relationship Id="rId184" Target="media/9a78e68ea5c28c7993f9406368a6ecf213c4deb2.png" Type="http://schemas.openxmlformats.org/officeDocument/2006/relationships/image"/><Relationship Id="rId185" Target="media/12766161e94680159a2a21ae2ee0a457f938cdf7.png" Type="http://schemas.openxmlformats.org/officeDocument/2006/relationships/image"/><Relationship Id="rId186" Target="media/19a8f0638aa75a07518ee3e0a832d7a465424ec1.png" Type="http://schemas.openxmlformats.org/officeDocument/2006/relationships/image"/><Relationship Id="rId187" Target="media/e1b630ad262b1fe8c2900059e66f27b8c0ccccca.png" Type="http://schemas.openxmlformats.org/officeDocument/2006/relationships/image"/><Relationship Id="rId188" Target="media/95239b04230276ae52a00ec91eabbdc4c70fb25b.png" Type="http://schemas.openxmlformats.org/officeDocument/2006/relationships/image"/><Relationship Id="rId189" Target="media/ed46f9f1b2f5c2affe6908cc38b9197f1f9c1ac1.png" Type="http://schemas.openxmlformats.org/officeDocument/2006/relationships/image"/><Relationship Id="rId190" Target="media/d6466bce8f3cbfbee9aa4c85c55b95d20c73caac.png" Type="http://schemas.openxmlformats.org/officeDocument/2006/relationships/image"/><Relationship Id="rId191" Target="media/74c988504ab235d3e1218af4eb36c305eb3b82ee.png" Type="http://schemas.openxmlformats.org/officeDocument/2006/relationships/image"/><Relationship Id="rId192" Target="media/9dd87b9b12328c77c7e0e2a46945795ac59aa9ed.png" Type="http://schemas.openxmlformats.org/officeDocument/2006/relationships/image"/><Relationship Id="rId193" Target="media/f7e15f3041979c0f0800750646009153b0b2c194.png" Type="http://schemas.openxmlformats.org/officeDocument/2006/relationships/image"/><Relationship Id="rId194" Target="media/4f677b32f8d4af79e4848ac7bf3bd9641206d216.png" Type="http://schemas.openxmlformats.org/officeDocument/2006/relationships/image"/><Relationship Id="rId195" Target="media/b3b5045f6a64492f21b9b2f98b268b1174a57933.png" Type="http://schemas.openxmlformats.org/officeDocument/2006/relationships/image"/><Relationship Id="rId196" Target="media/abbdf57c8cd0304776854e99905965adc41728e6.png" Type="http://schemas.openxmlformats.org/officeDocument/2006/relationships/image"/><Relationship Id="rId197" Target="media/276faacc22f69db430f811d8773968f6be17fc17.png" Type="http://schemas.openxmlformats.org/officeDocument/2006/relationships/image"/><Relationship Id="rId198" Target="media/5d2c2fb9e7f4d56feaf8b756e92cc32e091daa9f.png" Type="http://schemas.openxmlformats.org/officeDocument/2006/relationships/image"/><Relationship Id="rId199" Target="media/5f34ad085fdfd10f0cb38ac3a807f5fc13bd99a3.png" Type="http://schemas.openxmlformats.org/officeDocument/2006/relationships/image"/><Relationship Id="rId200" Target="media/3dea6b800a1a010f5a4ec6aca101fb562a920ad8.png" Type="http://schemas.openxmlformats.org/officeDocument/2006/relationships/image"/><Relationship Id="rId201" Target="media/e2ee2edff8aee42ed572b64927c2951fa26f92ec.png" Type="http://schemas.openxmlformats.org/officeDocument/2006/relationships/image"/><Relationship Id="rId202" Target="media/fcfb45eca7d811eb81d64b64dc59db8a3cfa597a.png" Type="http://schemas.openxmlformats.org/officeDocument/2006/relationships/image"/><Relationship Id="rId203" Target="media/5dcfd62c280437311370e2954585046c9358c7f0.png" Type="http://schemas.openxmlformats.org/officeDocument/2006/relationships/image"/><Relationship Id="rId204" Target="media/d5dff68cef7f5d77fc6cacfad65fbf605a9d073a.png" Type="http://schemas.openxmlformats.org/officeDocument/2006/relationships/image"/><Relationship Id="rId205" Target="media/f874be114b7abe27b8ffab80b8d515e1efcbb34a.png" Type="http://schemas.openxmlformats.org/officeDocument/2006/relationships/image"/><Relationship Id="rId206" Target="media/2c4e4ce9527cf8369fc7bdab43e1c1f19fc914b5.png" Type="http://schemas.openxmlformats.org/officeDocument/2006/relationships/image"/><Relationship Id="rId207" Target="media/75edccbd1dabdd9f05f102278ee118cad7ee9faf.png" Type="http://schemas.openxmlformats.org/officeDocument/2006/relationships/image"/><Relationship Id="rId208" Target="media/4c3abcd3ab336731d91aaadf10ff7a928617f243.png" Type="http://schemas.openxmlformats.org/officeDocument/2006/relationships/image"/><Relationship Id="rId209" Target="media/0843ae7be6a4b21e06daf93d3b1c1c81ecb2caad.png" Type="http://schemas.openxmlformats.org/officeDocument/2006/relationships/image"/><Relationship Id="rId210" Target="media/a52102a1b5ba718b85dde308a42dc413702209da.png" Type="http://schemas.openxmlformats.org/officeDocument/2006/relationships/image"/><Relationship Id="rId211" Target="media/0387ddb538a75faf3a5d9222e11b6ee053fe2094.png" Type="http://schemas.openxmlformats.org/officeDocument/2006/relationships/image"/><Relationship Id="rId212" Target="media/6b59b15d557096d8f3831b41d334bcf544ca9294.png" Type="http://schemas.openxmlformats.org/officeDocument/2006/relationships/image"/><Relationship Id="rId213" Target="media/3f21923d0500c9882b696bf4c4cf6d35482aaf16.png" Type="http://schemas.openxmlformats.org/officeDocument/2006/relationships/image"/><Relationship Id="rId214" Target="media/6732c05ebbea2d870c0860a576442729e170e6b3.png" Type="http://schemas.openxmlformats.org/officeDocument/2006/relationships/image"/><Relationship Id="rId215" Target="media/14941d47b3b983da72302d2a29742b57dc9ce68f.png" Type="http://schemas.openxmlformats.org/officeDocument/2006/relationships/image"/><Relationship Id="rId216" Target="media/f700317ec38426027e3b8f10f2b3c138ab56527f.png" Type="http://schemas.openxmlformats.org/officeDocument/2006/relationships/image"/><Relationship Id="rId217" Target="media/72039dc6389f2d0fee3b25c0e45322dd6c7d8aab.png" Type="http://schemas.openxmlformats.org/officeDocument/2006/relationships/image"/><Relationship Id="rId218" Target="media/015b07e6086d8804d43f18e485e4d2375c757808.png" Type="http://schemas.openxmlformats.org/officeDocument/2006/relationships/image"/><Relationship Id="rId219" Target="media/88d2713b7e058f7992f2b3626227bef5553f3cc6.png" Type="http://schemas.openxmlformats.org/officeDocument/2006/relationships/image"/><Relationship Id="rId220" Target="media/8ca6d23550b824cb4b79c9cff2f0aca0ead6accf.png" Type="http://schemas.openxmlformats.org/officeDocument/2006/relationships/image"/><Relationship Id="rId221" Target="media/08468bed85b1684d504e931032c8e440a72b4a78.png" Type="http://schemas.openxmlformats.org/officeDocument/2006/relationships/image"/><Relationship Id="rId222" Target="media/a292a42ae8ffa10da3021466078307dc919edec2.png" Type="http://schemas.openxmlformats.org/officeDocument/2006/relationships/image"/><Relationship Id="rId223" Target="media/cef42b92b2fe3edd58c1662453c3d3306c50568a.png" Type="http://schemas.openxmlformats.org/officeDocument/2006/relationships/image"/><Relationship Id="rId224" Target="media/62b947c4af12c356fb51de508c91963f0a2797ca.png" Type="http://schemas.openxmlformats.org/officeDocument/2006/relationships/image"/><Relationship Id="rId225" Target="media/ceda61ddb7dc70f609f54601d4aa4ba105cf9c52.png" Type="http://schemas.openxmlformats.org/officeDocument/2006/relationships/image"/><Relationship Id="rId226" Target="media/3386c2b7c3e248f9fab263b627882d1dfa9ddfef.png" Type="http://schemas.openxmlformats.org/officeDocument/2006/relationships/image"/><Relationship Id="rId227" Target="media/da99c5f5420c67ffba6f5d058f678640bda9a31b.png" Type="http://schemas.openxmlformats.org/officeDocument/2006/relationships/image"/><Relationship Id="rId228" Target="media/33009da2db2f0ea1f2fc7614f45f271f2d23c11c.png" Type="http://schemas.openxmlformats.org/officeDocument/2006/relationships/image"/><Relationship Id="rId229" Target="media/5320e7d0b92d11012c9ccd17926961d4a4bee897.png" Type="http://schemas.openxmlformats.org/officeDocument/2006/relationships/image"/><Relationship Id="rId230" Target="media/a2316d5b11ab5b31a5a9966d7ba884fac38c1265.png" Type="http://schemas.openxmlformats.org/officeDocument/2006/relationships/image"/><Relationship Id="rId231" Target="media/6079310665d3ec6b15530441b6fd27cf6232cd22.png" Type="http://schemas.openxmlformats.org/officeDocument/2006/relationships/image"/><Relationship Id="rId232" Target="media/a34c5c335e1eea830c4aba924780d8451d823039.png" Type="http://schemas.openxmlformats.org/officeDocument/2006/relationships/image"/><Relationship Id="rId233" Target="media/e561da45ab32e9c87b22cd6886f342742441c0ae.png" Type="http://schemas.openxmlformats.org/officeDocument/2006/relationships/image"/><Relationship Id="rId234" Target="media/1b660a4227facfb2837c9d3c96cc96d377049ac8.png" Type="http://schemas.openxmlformats.org/officeDocument/2006/relationships/image"/><Relationship Id="rId235" Target="media/c69ec0cc02be2b096d814ceb126f53881cebef7f.png" Type="http://schemas.openxmlformats.org/officeDocument/2006/relationships/image"/><Relationship Id="rId236" Target="media/b35c9359080247d48bbb7bc6a813eb581bc1996b.png" Type="http://schemas.openxmlformats.org/officeDocument/2006/relationships/image"/><Relationship Id="rId237" Target="media/cf8da8baf689a174df57c4d380656786e7efe350.png" Type="http://schemas.openxmlformats.org/officeDocument/2006/relationships/image"/><Relationship Id="rId238" Target="media/50d5f7e827be402988e67ee439e88e4dea4bce3a.png" Type="http://schemas.openxmlformats.org/officeDocument/2006/relationships/image"/><Relationship Id="rId239" Target="media/9c355cdd3f46465d071e1e733b4c8b971ae669aa.png" Type="http://schemas.openxmlformats.org/officeDocument/2006/relationships/image"/><Relationship Id="rId240" Target="media/b9e5e6217cb3aaa76e1c93107d88fa33e942f56c.png" Type="http://schemas.openxmlformats.org/officeDocument/2006/relationships/image"/><Relationship Id="rId241" Target="media/877c10b6da609cbaf2770a1b493aa09de30203f9.png" Type="http://schemas.openxmlformats.org/officeDocument/2006/relationships/image"/><Relationship Id="rId242" Target="media/8dbd7f53dd4a81ac7a1766493303d101282caf55.png" Type="http://schemas.openxmlformats.org/officeDocument/2006/relationships/image"/><Relationship Id="rId243" Target="media/7c8d5a4e739763d43ff4204220546ccca0206539.png" Type="http://schemas.openxmlformats.org/officeDocument/2006/relationships/image"/><Relationship Id="rId244" Target="media/4c7a846fa8aa7fca3e04c9f34bc7999a8ff338de.png" Type="http://schemas.openxmlformats.org/officeDocument/2006/relationships/image"/><Relationship Id="rId245" Target="media/5ab5dce138e136ad1f50b9018c266d193d440dc5.png" Type="http://schemas.openxmlformats.org/officeDocument/2006/relationships/image"/><Relationship Id="rId246" Target="media/53fe57f55846d83123cdc7cf041eea71b0a9a99c.png" Type="http://schemas.openxmlformats.org/officeDocument/2006/relationships/image"/><Relationship Id="rId247" Target="media/7fa5922cae2d4a0a3e530ecf3e9762ed89aa8a33.png" Type="http://schemas.openxmlformats.org/officeDocument/2006/relationships/image"/><Relationship Id="rId248" Target="media/3049647d6c1e0fc22a08f7b7ff5ec90e142c3937.png" Type="http://schemas.openxmlformats.org/officeDocument/2006/relationships/image"/><Relationship Id="rId249" Target="media/bbdfdd997fbc407477f3cde0be304b64fe1261ee.png" Type="http://schemas.openxmlformats.org/officeDocument/2006/relationships/image"/><Relationship Id="rId250" Target="media/818fa4282922ea543584a790d1f4091b5f457621.png" Type="http://schemas.openxmlformats.org/officeDocument/2006/relationships/image"/><Relationship Id="rId251" Target="media/e7bd9cb9efaa8c86c34594fb3a0349dc54bd38fa.png" Type="http://schemas.openxmlformats.org/officeDocument/2006/relationships/image"/><Relationship Id="rId252" Target="media/78905924507a058b631ca8df57244ede084fe1de.png" Type="http://schemas.openxmlformats.org/officeDocument/2006/relationships/image"/><Relationship Id="rId253" Target="media/f44b45c7f54b9dcf93165727472834e5db074db8.png" Type="http://schemas.openxmlformats.org/officeDocument/2006/relationships/image"/><Relationship Id="rId254" Target="media/83dc32318da747d75f83d3db2042d22203aef718.png" Type="http://schemas.openxmlformats.org/officeDocument/2006/relationships/image"/><Relationship Id="rId255" Target="media/3ed5d59b43a3e22f82603bac8c25e69a83a88a35.png" Type="http://schemas.openxmlformats.org/officeDocument/2006/relationships/image"/><Relationship Id="rId256" Target="media/5edd283dfab5863e204d839239197a35ff9b2de9.png" Type="http://schemas.openxmlformats.org/officeDocument/2006/relationships/image"/><Relationship Id="rId257" Target="media/b752323eb06ec2f731295efcb3d30e782a26ff12.png" Type="http://schemas.openxmlformats.org/officeDocument/2006/relationships/image"/><Relationship Id="rId258" Target="media/70472a846834fb7d38c62ec9bfc7ad3ab2a09dc4.png" Type="http://schemas.openxmlformats.org/officeDocument/2006/relationships/image"/><Relationship Id="rId259" Target="media/7b07a48bd02a14e7926ecfe7c8e861804da7a46b.png" Type="http://schemas.openxmlformats.org/officeDocument/2006/relationships/image"/><Relationship Id="rId260" Target="media/95648366b55e2da07d5006835a61239a39ec6b7d.png" Type="http://schemas.openxmlformats.org/officeDocument/2006/relationships/image"/><Relationship Id="rId261" Target="media/90b9d32f8dbb7b9a030c323ff706e859a2409664.png" Type="http://schemas.openxmlformats.org/officeDocument/2006/relationships/image"/><Relationship Id="rId262" Target="media/25f69c675698263daba1a33e9946b9b9741eca20.png" Type="http://schemas.openxmlformats.org/officeDocument/2006/relationships/image"/><Relationship Id="rId263" Target="media/bee48fd26688127c1053efd9ebea86554a39f351.png" Type="http://schemas.openxmlformats.org/officeDocument/2006/relationships/image"/><Relationship Id="rId264" Target="media/09683a216ab8176477e64a0d2a62873e032de727.png" Type="http://schemas.openxmlformats.org/officeDocument/2006/relationships/image"/><Relationship Id="rId265" Target="media/dcb36629addba6705fb486d5bd05443a434e774c.png" Type="http://schemas.openxmlformats.org/officeDocument/2006/relationships/image"/><Relationship Id="rId266" Target="media/f7064d2a48f405e9230781aad1091d977ed0c4f2.png" Type="http://schemas.openxmlformats.org/officeDocument/2006/relationships/image"/><Relationship Id="rId267" Target="media/e7b8e1271a560f1929569440bec2b2911ecee981.png" Type="http://schemas.openxmlformats.org/officeDocument/2006/relationships/image"/><Relationship Id="rId268" Target="media/2d71cf5af4272bb87a2f65280bdaff4df77a6a1a.png" Type="http://schemas.openxmlformats.org/officeDocument/2006/relationships/image"/><Relationship Id="rId269" Target="media/036857c03df7b8d623d057093e58e47468c9124f.png" Type="http://schemas.openxmlformats.org/officeDocument/2006/relationships/image"/><Relationship Id="rId270" Target="media/e56ede6e62403fd1e49c433e603f14cdca348acd.png" Type="http://schemas.openxmlformats.org/officeDocument/2006/relationships/image"/><Relationship Id="rId271" Target="media/10307c680d16037bc8373e343357661284ee5f9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dc:title>
  <dc:subject>Summary handouts</dc:subject>
  <cp:category>Student Book</cp:category>
</cp:coreProperties>
</file>