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 uses financial statements, and why?   ·   A first look at the four statements   ·   The building blocks: elements and the accounti   ·   The accrual basis and the matching principle</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company collects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facts every day: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salaries and loans. </w:t>
      </w:r>
      <w:r>
        <w:rPr>
          <w:sz w:val="19"/>
          <w:szCs w:val="19"/>
        </w:rPr>
        <w:t xml:space="preserve">Financial statements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these facts in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form for people outside the company. </w:t>
      </w:r>
      <w:r>
        <w:rPr>
          <w:sz w:val="19"/>
          <w:szCs w:val="19"/>
        </w:rPr>
        <w:t xml:space="preserve">The four main statements are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sheet, the income statement, the statement of changes 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framework names the most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readers. </w:t>
      </w:r>
      <w:r>
        <w:rPr>
          <w:sz w:val="19"/>
          <w:szCs w:val="19"/>
        </w:rPr>
        <w:t xml:space="preserve">The primary users are existing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credit) to the company. </w:t>
      </w:r>
      <w:r>
        <w:rPr>
          <w:sz w:val="19"/>
          <w:szCs w:val="19"/>
        </w:rPr>
        <w:t xml:space="preserve">They usually cannot ask the company for special reports, so they depend on the published statements. </w:t>
      </w:r>
      <w:r>
        <w:rPr>
          <w:sz w:val="19"/>
          <w:szCs w:val="19"/>
        </w:rPr>
        <w:t xml:space="preserve">Each user makes a different decision, so each user looks for different information.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general-purpose   ·   standard   ·   summarize   ·   purchases   ·   wrongly   ·   important   ·   reader   ·   equity   ·   balance   ·   conceptual   ·   thousands   ·   potential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79"/>
        <w:gridCol w:w="1822"/>
        <w:gridCol w:w="2837"/>
        <w:gridCol w:w="266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87"/>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478"/>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87"/>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87"/>
            <w:tcMar>
              <w:top w:type="dxa" w:w="50"/>
              <w:left w:type="dxa" w:w="110"/>
              <w:bottom w:type="dxa" w:w="50"/>
              <w:right w:type="dxa" w:w="110"/>
            </w:tcMar>
          </w:tcPr>
          <w:p>
            <w:pPr>
              <w:spacing w:before="28" w:after="28"/>
            </w:pPr>
            <w:r>
              <w:rPr>
                <w:sz w:val="15"/>
                <w:szCs w:val="15"/>
              </w:rPr>
              <w:t xml:space="preserve">Investors (shareholders) — PRIMARY</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78"/>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87"/>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949"/>
            <w:shd w:fill="FBFAF6" w:val="clear"/>
            <w:tcMar>
              <w:top w:type="dxa" w:w="50"/>
              <w:left w:type="dxa" w:w="110"/>
              <w:bottom w:type="dxa" w:w="50"/>
              <w:right w:type="dxa" w:w="110"/>
            </w:tcMar>
          </w:tcPr>
          <w:p>
            <w:pPr>
              <w:spacing w:before="28" w:after="28"/>
            </w:pPr>
            <w:r>
              <w:rPr>
                <w:sz w:val="15"/>
                <w:szCs w:val="15"/>
              </w:rPr>
              <w:t xml:space="preserve">Lend, renew or stop a loan</w:t>
            </w:r>
          </w:p>
        </w:tc>
        <w:tc>
          <w:tcPr>
            <w:tcW w:type="pct" w:w="1478"/>
            <w:shd w:fill="FBFAF6" w:val="clear"/>
            <w:tcMar>
              <w:top w:type="dxa" w:w="50"/>
              <w:left w:type="dxa" w:w="110"/>
              <w:bottom w:type="dxa" w:w="50"/>
              <w:right w:type="dxa" w:w="110"/>
            </w:tcMar>
          </w:tcPr>
          <w:p>
            <w:pPr>
              <w:spacing w:before="28" w:after="28"/>
            </w:pPr>
            <w:r>
              <w:rPr>
                <w:sz w:val="15"/>
                <w:szCs w:val="15"/>
              </w:rPr>
              <w:t xml:space="preserve">Can the company pay interest and repay the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on time?</w:t>
            </w:r>
          </w:p>
        </w:tc>
        <w:tc>
          <w:tcPr>
            <w:tcW w:type="pct" w:w="1387"/>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87"/>
            <w:tcMar>
              <w:top w:type="dxa" w:w="50"/>
              <w:left w:type="dxa" w:w="110"/>
              <w:bottom w:type="dxa" w:w="50"/>
              <w:right w:type="dxa" w:w="110"/>
            </w:tcMar>
          </w:tcPr>
          <w:p>
            <w:pPr>
              <w:spacing w:before="28" w:after="28"/>
            </w:pPr>
            <w:r>
              <w:rPr>
                <w:sz w:val="15"/>
                <w:szCs w:val="15"/>
              </w:rPr>
              <w:t xml:space="preserve">Other creditors (suppliers) — PRIMARY</w:t>
            </w:r>
          </w:p>
        </w:tc>
        <w:tc>
          <w:tcPr>
            <w:tcW w:type="pct" w:w="949"/>
            <w:tcMar>
              <w:top w:type="dxa" w:w="50"/>
              <w:left w:type="dxa" w:w="110"/>
              <w:bottom w:type="dxa" w:w="50"/>
              <w:right w:type="dxa" w:w="110"/>
            </w:tcMar>
          </w:tcPr>
          <w:p>
            <w:pPr>
              <w:spacing w:before="28" w:after="28"/>
            </w:pPr>
            <w:r>
              <w:rPr>
                <w:sz w:val="15"/>
                <w:szCs w:val="15"/>
              </w:rPr>
              <w:t xml:space="preserve">Sell on credit, set credit terms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7"/>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949"/>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7"/>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87"/>
            <w:tcMar>
              <w:top w:type="dxa" w:w="50"/>
              <w:left w:type="dxa" w:w="110"/>
              <w:bottom w:type="dxa" w:w="50"/>
              <w:right w:type="dxa" w:w="110"/>
            </w:tcMar>
          </w:tcPr>
          <w:p>
            <w:pPr>
              <w:spacing w:before="28" w:after="28"/>
            </w:pPr>
            <w:r>
              <w:rPr>
                <w:sz w:val="15"/>
                <w:szCs w:val="15"/>
              </w:rPr>
              <w:t xml:space="preserve">Customers</w:t>
            </w:r>
          </w:p>
        </w:tc>
        <w:tc>
          <w:tcPr>
            <w:tcW w:type="pct" w:w="949"/>
            <w:tcMar>
              <w:top w:type="dxa" w:w="50"/>
              <w:left w:type="dxa" w:w="110"/>
              <w:bottom w:type="dxa" w:w="50"/>
              <w:right w:type="dxa" w:w="110"/>
            </w:tcMar>
          </w:tcPr>
          <w:p>
            <w:pPr>
              <w:spacing w:before="28" w:after="28"/>
            </w:pPr>
            <w:r>
              <w:rPr>
                <w:sz w:val="15"/>
                <w:szCs w:val="15"/>
              </w:rPr>
              <w:t xml:space="preserve">Sign long-term contracts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7"/>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78"/>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87"/>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87"/>
            <w:tcMar>
              <w:top w:type="dxa" w:w="50"/>
              <w:left w:type="dxa" w:w="110"/>
              <w:bottom w:type="dxa" w:w="50"/>
              <w:right w:type="dxa" w:w="110"/>
            </w:tcMar>
          </w:tcPr>
          <w:p>
            <w:pPr>
              <w:spacing w:before="28" w:after="28"/>
            </w:pPr>
            <w:r>
              <w:rPr>
                <w:sz w:val="15"/>
                <w:szCs w:val="15"/>
              </w:rPr>
              <w:t xml:space="preserve">Managers (internal)</w:t>
            </w:r>
          </w:p>
        </w:tc>
        <w:tc>
          <w:tcPr>
            <w:tcW w:type="pct" w:w="949"/>
            <w:tcMar>
              <w:top w:type="dxa" w:w="50"/>
              <w:left w:type="dxa" w:w="110"/>
              <w:bottom w:type="dxa" w:w="50"/>
              <w:right w:type="dxa" w:w="110"/>
            </w:tcMar>
          </w:tcPr>
          <w:p>
            <w:pPr>
              <w:spacing w:before="28" w:after="28"/>
            </w:pPr>
            <w:r>
              <w:rPr>
                <w:sz w:val="15"/>
                <w:szCs w:val="15"/>
              </w:rPr>
              <w:t xml:space="preserve">Plan and control operations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387"/>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principal   ·   Is the company stable and profitable?   ·   Buy, hold or sell shares   ·   Will the company pay its bills when due?   ·   Will the company continue to supply us?   ·   Not a primary user: can use internal reports   ·   equity</w:t>
            </w:r>
          </w:p>
        </w:tc>
      </w:tr>
    </w:tbl>
    <w:p/>
    <w:p>
      <w:pPr>
        <w:spacing w:before="44" w:after="14"/>
      </w:pPr>
      <w:r>
        <w:rPr>
          <w:b/>
          <w:bCs/>
          <w:color w:val="353A7C"/>
          <w:sz w:val="18"/>
          <w:szCs w:val="18"/>
        </w:rPr>
        <w:t xml:space="preserve">Summary 2</w:t>
      </w:r>
      <w:r>
        <w:rPr>
          <w:color w:val="6B7280"/>
          <w:sz w:val="16"/>
          <w:szCs w:val="16"/>
        </w:rPr>
        <w:t xml:space="preserve">      gaps 22–32</w:t>
      </w:r>
    </w:p>
    <w:p>
      <w:pPr>
        <w:spacing w:before="20" w:after="20" w:line="360" w:lineRule="auto"/>
        <w:ind w:left="200"/>
      </w:pPr>
      <w:r>
        <w:rPr>
          <w:sz w:val="19"/>
          <w:szCs w:val="19"/>
        </w:rPr>
        <w:t xml:space="preserve">Other groups also read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Managers read them too. </w:t>
      </w:r>
      <w:r>
        <w:rPr>
          <w:sz w:val="19"/>
          <w:szCs w:val="19"/>
        </w:rPr>
        <w:t xml:space="preserve">However, managers are not primary users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in the period?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financial   ·   perform   ·   information   ·   management   ·   governments   ·   simple   ·   balance   ·   Reporting   ·   material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33–41</w:t>
      </w:r>
    </w:p>
    <w:p>
      <w:pPr>
        <w:spacing w:before="20" w:after="20" w:line="360" w:lineRule="auto"/>
        <w:ind w:left="200"/>
      </w:pPr>
      <w:r>
        <w:rPr>
          <w:sz w:val="19"/>
          <w:szCs w:val="19"/>
        </w:rPr>
        <w:t xml:space="preserve">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representation   ·   benefit   ·   conceptual   ·   confirmatory   ·   materiality   ·   complete   ·   fundamental   ·   constraint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42–44</w:t>
      </w:r>
    </w:p>
    <w:p>
      <w:pPr>
        <w:spacing w:before="20" w:after="20" w:line="360" w:lineRule="auto"/>
        <w:ind w:left="200"/>
      </w:pPr>
      <w:r>
        <w:rPr>
          <w:sz w:val="19"/>
          <w:szCs w:val="19"/>
        </w:rPr>
        <w:t xml:space="preserve">Primary users are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relevance   ·   general-purpose   ·   T-account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spacing w:before="44" w:after="10"/>
      </w:pPr>
      <w:r>
        <w:rPr>
          <w:b/>
          <w:bCs/>
          <w:color w:val="353A7C"/>
          <w:sz w:val="18"/>
          <w:szCs w:val="18"/>
        </w:rPr>
        <w:t xml:space="preserve">Five accounting verbs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decide the amount of the item   ·   statements   ·   disclose   ·   record   ·   U.S. GAAP</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49–51</w:t>
      </w:r>
    </w:p>
    <w:p>
      <w:pPr>
        <w:spacing w:before="20" w:after="20" w:line="360" w:lineRule="auto"/>
        <w:ind w:left="200"/>
      </w:pPr>
      <w:r>
        <w:rPr>
          <w:sz w:val="19"/>
          <w:szCs w:val="19"/>
        </w:rPr>
        <w:t xml:space="preserve">Example: Orontes </w:t>
      </w:r>
      <w:r>
        <w:rPr>
          <w:b/>
          <w:bCs/>
          <w:color w:val="8186EF"/>
          <w:sz w:val="15"/>
          <w:szCs w:val="15"/>
        </w:rPr>
        <w:t xml:space="preserve"> (49)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(50)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w:t>
      </w:r>
      <w:r>
        <w:rPr>
          <w:b/>
          <w:bCs/>
          <w:color w:val="8186EF"/>
          <w:sz w:val="15"/>
          <w:szCs w:val="15"/>
        </w:rPr>
        <w:t xml:space="preserve"> (51) </w:t>
      </w:r>
      <w:r>
        <w:rPr>
          <w:u w:val="single"/>
          <w:sz w:val="19"/>
          <w:szCs w:val="19"/>
        </w:rPr>
        <w:t xml:space="preserve">           </w:t>
      </w:r>
      <w:r>
        <w:rPr>
          <w:sz w:val="19"/>
          <w:szCs w:val="19"/>
        </w:rPr>
        <w:t xml:space="preserve"> </w:t>
      </w:r>
      <w:r>
        <w:rPr>
          <w:sz w:val="19"/>
          <w:szCs w:val="19"/>
        </w:rPr>
        <w:t xml:space="preserve">,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relevance   ·   statement   ·   measures   ·   recognizes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relevance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first look at the four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perform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constraint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decide the amount of the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Not a primary user: can use internal reports</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faithful 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 Each user makes a different decision, so each user looks for different information.</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Managers read them too.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It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claim. </w:t>
      </w:r>
      <w:r>
        <w:rPr>
          <w:sz w:val="19"/>
          <w:szCs w:val="19"/>
        </w:rPr>
        <w:t xml:space="preserve">The other elements describe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expense   ·   different   ·   Equity   ·   revenue   ·   statements   ·   operations   ·   FASB   ·   liability   ·   owners   ·   changes</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Investments by owners,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new shares, increase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dividends, decrease equity.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is the total change in equity from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other than owners. </w:t>
      </w:r>
      <w:r>
        <w:rPr>
          <w:sz w:val="19"/>
          <w:szCs w:val="19"/>
        </w:rPr>
        <w:t xml:space="preserve">The equation always holds, because creditors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or owners (equity) finance every asset. </w:t>
      </w:r>
      <w:r>
        <w:rPr>
          <w:sz w:val="19"/>
          <w:szCs w:val="19"/>
        </w:rPr>
        <w:t xml:space="preserve">Equity has two main parts.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what owners paid: common stock at its par value, plus additional paid-in capital (APIC). </w:t>
      </w:r>
      <w:r>
        <w:rPr>
          <w:sz w:val="19"/>
          <w:szCs w:val="19"/>
        </w:rPr>
        <w:t xml:space="preserve">Retained earnings (RE) are the past net income that the company kept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paying it out as dividends. </w:t>
      </w:r>
      <w:r>
        <w:rPr>
          <w:sz w:val="19"/>
          <w:szCs w:val="19"/>
        </w:rPr>
        <w:t xml:space="preserve">Look at the lower part.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gains increase retained earnings.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losses decrease it. </w:t>
      </w:r>
      <w:r>
        <w:rPr>
          <w:sz w:val="19"/>
          <w:szCs w:val="19"/>
        </w:rPr>
        <w:t xml:space="preserve">Dividends also decrease it, but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is a distribution to owners, so it never appears in the income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Conceptual Framework (2018) defines an asset as a present economic resource controlled by the entity as a result of past events.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   ·   buying   ·   Contributed   ·   dividend   ·   Comprehensive   ·   statement   ·   sources   ·   IFRS   ·   instead   ·   Expenses   ·   Revenues   ·   liabilities   ·   Distributions</w:t>
            </w:r>
          </w:p>
        </w:tc>
      </w:tr>
    </w:tbl>
    <w:p/>
    <w:p>
      <w:pPr>
        <w:spacing w:before="44" w:after="14"/>
      </w:pPr>
      <w:r>
        <w:rPr>
          <w:b/>
          <w:bCs/>
          <w:color w:val="353A7C"/>
          <w:sz w:val="18"/>
          <w:szCs w:val="18"/>
        </w:rPr>
        <w:t xml:space="preserve">Summary 3</w:t>
      </w:r>
      <w:r>
        <w:rPr>
          <w:color w:val="6B7280"/>
          <w:sz w:val="16"/>
          <w:szCs w:val="16"/>
        </w:rPr>
        <w:t xml:space="preserve">      gaps 25–29</w:t>
      </w:r>
    </w:p>
    <w:p>
      <w:pPr>
        <w:spacing w:before="20" w:after="20" w:line="360" w:lineRule="auto"/>
        <w:ind w:left="200"/>
      </w:pPr>
      <w:r>
        <w:rPr>
          <w:sz w:val="19"/>
          <w:szCs w:val="19"/>
        </w:rPr>
        <w:t xml:space="preserve">The idea is the same as in U.S. GAAP; only the wording is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IFRS also uses the word income for both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and gains, while U.S. GAAP keeps revenues and gains apart. </w:t>
      </w:r>
      <w:r>
        <w:rPr>
          <w:sz w:val="19"/>
          <w:szCs w:val="19"/>
        </w:rPr>
        <w:t xml:space="preserve">You may also know these IFRS names: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of financial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(balance sheet), share capital (common stock) and share premium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additional   ·   incidental   ·   different   ·   statement   ·   position   ·   revenue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balance sheet   ·   equity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Revenues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owners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position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buying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additional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retained earnings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sources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It is the owners' claim.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equation always holds, because creditors (liabilities) or owners (equity) finance every asset. Equity has two main parts. Contributed capital is what owners paid: common stock at its par value, plus additional paid-in capital (APIC). Retained earnings (RE) are the past net income that the company kept instead of paying it out as dividends. Look at the lower part. Revenues and gains increase retained earnings. Expenses and losses decrease it. Dividends also decrease it, but a dividend is not an expense. It is a distribution to owners, so it never appears in the income statement. The IFRS Conceptual Framework (2018) defines an asset as a present economic resource controlled by the entity as a result of past events.</w:t>
      </w:r>
    </w:p>
    <w:p>
      <w:pPr>
        <w:spacing w:before="20" w:after="20"/>
        <w:ind w:left="240" w:hanging="240"/>
      </w:pPr>
      <w:r>
        <w:rPr>
          <w:b/>
          <w:bCs/>
          <w:color w:val="353A7C"/>
          <w:sz w:val="15"/>
          <w:szCs w:val="15"/>
        </w:rPr>
        <w:t xml:space="preserve">Summary 3   </w:t>
      </w:r>
      <w:r>
        <w:rPr>
          <w:color w:val="6B7280"/>
          <w:sz w:val="15"/>
          <w:szCs w:val="15"/>
        </w:rPr>
        <w:t xml:space="preserve">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least two accounts, and total debits always equal total credits. </w:t>
      </w:r>
      <w:r>
        <w:rPr>
          <w:sz w:val="19"/>
          <w:szCs w:val="19"/>
        </w:rPr>
        <w:t xml:space="preserve">This is why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equation always balances. </w:t>
      </w:r>
      <w:r>
        <w:rPr>
          <w:sz w:val="19"/>
          <w:szCs w:val="19"/>
        </w:rPr>
        <w:t xml:space="preserve">Debit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means the left side of an account, and credit means the right side. </w:t>
      </w:r>
      <w:r>
        <w:rPr>
          <w:sz w:val="19"/>
          <w:szCs w:val="19"/>
        </w:rPr>
        <w:t xml:space="preserve">Neither word means good or bad, and neither word always means increase.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debit increases an account depends on the type of account. </w:t>
      </w:r>
      <w:r>
        <w:rPr>
          <w:sz w:val="19"/>
          <w:szCs w:val="19"/>
        </w:rPr>
        <w:t xml:space="preserve">Each account has a normal balance: the side that increases it.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equation at the bottom is a useful memory aid. </w:t>
      </w:r>
      <w:r>
        <w:rPr>
          <w:sz w:val="19"/>
          <w:szCs w:val="19"/>
        </w:rPr>
        <w:t xml:space="preserve">Accounts on the left side of the equation (assets, expenses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increase with a debit. </w:t>
      </w:r>
      <w:r>
        <w:rPr>
          <w:sz w:val="19"/>
          <w:szCs w:val="19"/>
        </w:rPr>
        <w:t xml:space="preserve">Accounts on the right side (liabilities,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revenues) increase with a credit. </w:t>
      </w:r>
      <w:r>
        <w:rPr>
          <w:sz w:val="19"/>
          <w:szCs w:val="19"/>
        </w:rPr>
        <w:t xml:space="preserve">A contra account reduces a related account, so it has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reduces equipment. </w:t>
      </w:r>
      <w:r>
        <w:rPr>
          <w:sz w:val="19"/>
          <w:szCs w:val="19"/>
        </w:rPr>
        <w:t xml:space="preserve">It has a credit balance, but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the assets. </w:t>
      </w:r>
      <w:r>
        <w:rPr>
          <w:sz w:val="19"/>
          <w:szCs w:val="19"/>
        </w:rPr>
        <w:t xml:space="preserve">The allowance for credit losses reduces accounts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the same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expanded   ·   receivable   ·   Whether   ·   dividends   ·   equity   ·   depreciation   ·   opposite   ·   double-entry   ·   affects   ·   simply   ·   accounting   ·   issuing   ·   belongs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 January 2025.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are in USD 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exchange   ·   pastries   ·   affects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44"/>
        <w:gridCol w:w="1344"/>
        <w:gridCol w:w="4224"/>
        <w:gridCol w:w="1344"/>
        <w:gridCol w:w="134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700"/>
            <w:tcMar>
              <w:top w:type="dxa" w:w="50"/>
              <w:left w:type="dxa" w:w="110"/>
              <w:bottom w:type="dxa" w:w="50"/>
              <w:right w:type="dxa" w:w="110"/>
            </w:tcMar>
          </w:tcPr>
          <w:p>
            <w:pPr>
              <w:spacing w:before="28" w:after="28"/>
            </w:pPr>
            <w:r>
              <w:rPr>
                <w:sz w:val="15"/>
                <w:szCs w:val="15"/>
              </w:rPr>
              <w:t xml:space="preserve">1</w:t>
            </w:r>
          </w:p>
        </w:tc>
        <w:tc>
          <w:tcPr>
            <w:tcW w:type="pct" w:w="700"/>
            <w:tcMar>
              <w:top w:type="dxa" w:w="50"/>
              <w:left w:type="dxa" w:w="110"/>
              <w:bottom w:type="dxa" w:w="50"/>
              <w:right w:type="dxa" w:w="110"/>
            </w:tcMar>
          </w:tcPr>
          <w:p>
            <w:pPr>
              <w:spacing w:before="28" w:after="28"/>
            </w:pPr>
            <w:r>
              <w:rPr>
                <w:sz w:val="15"/>
                <w:szCs w:val="15"/>
              </w:rPr>
              <w:t xml:space="preserve">Jan 2</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1,500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Common stock</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100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Additional paid-in capital</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1,400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2</w:t>
            </w:r>
          </w:p>
        </w:tc>
        <w:tc>
          <w:tcPr>
            <w:tcW w:type="pct" w:w="7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800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800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cash from Levant Commerce Bank on a 5-year note at 6% interest.</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3</w:t>
            </w:r>
          </w:p>
        </w:tc>
        <w:tc>
          <w:tcPr>
            <w:tcW w:type="pct" w:w="700"/>
            <w:shd w:fill="FBFAF6" w:val="clear"/>
            <w:tcMar>
              <w:top w:type="dxa" w:w="50"/>
              <w:left w:type="dxa" w:w="110"/>
              <w:bottom w:type="dxa" w:w="50"/>
              <w:right w:type="dxa" w:w="110"/>
            </w:tcMar>
          </w:tcPr>
          <w:p>
            <w:pPr>
              <w:spacing w:before="28" w:after="28"/>
            </w:pPr>
            <w:r>
              <w:rPr>
                <w:sz w:val="15"/>
                <w:szCs w:val="15"/>
              </w:rPr>
              <w:t xml:space="preserve">Jan 10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700"/>
            <w:shd w:fill="FBFAF6" w:val="clear"/>
            <w:tcMar>
              <w:top w:type="dxa" w:w="50"/>
              <w:left w:type="dxa" w:w="110"/>
              <w:bottom w:type="dxa" w:w="50"/>
              <w:right w:type="dxa" w:w="110"/>
            </w:tcMar>
          </w:tcPr>
          <w:p>
            <w:pPr>
              <w:spacing w:before="28" w:after="28"/>
            </w:pPr>
            <w:r>
              <w:rPr>
                <w:sz w:val="15"/>
                <w:szCs w:val="15"/>
              </w:rPr>
              <w:t xml:space="preserve">1,200</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1,200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Bought a new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line for the Amman plant and paid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4</w:t>
            </w:r>
          </w:p>
        </w:tc>
        <w:tc>
          <w:tcPr>
            <w:tcW w:type="pct" w:w="700"/>
            <w:tcMar>
              <w:top w:type="dxa" w:w="50"/>
              <w:left w:type="dxa" w:w="110"/>
              <w:bottom w:type="dxa" w:w="50"/>
              <w:right w:type="dxa" w:w="110"/>
            </w:tcMar>
          </w:tcPr>
          <w:p>
            <w:pPr>
              <w:spacing w:before="28" w:after="28"/>
            </w:pPr>
            <w:r>
              <w:rPr>
                <w:sz w:val="15"/>
                <w:szCs w:val="15"/>
              </w:rPr>
              <w:t xml:space="preserve">Jan 18</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700"/>
            <w:tcMar>
              <w:top w:type="dxa" w:w="50"/>
              <w:left w:type="dxa" w:w="110"/>
              <w:bottom w:type="dxa" w:w="50"/>
              <w:right w:type="dxa" w:w="110"/>
            </w:tcMar>
          </w:tcPr>
          <w:p>
            <w:pPr>
              <w:spacing w:before="28" w:after="28"/>
            </w:pPr>
            <w:r>
              <w:rPr>
                <w:sz w:val="15"/>
                <w:szCs w:val="15"/>
              </w:rPr>
              <w:t xml:space="preserve">300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700"/>
            <w:tcMar>
              <w:top w:type="dxa" w:w="50"/>
              <w:left w:type="dxa" w:w="110"/>
              <w:bottom w:type="dxa" w:w="50"/>
              <w:right w:type="dxa" w:w="110"/>
            </w:tcMar>
          </w:tcPr>
          <w:p>
            <w:pPr>
              <w:spacing w:before="28" w:after="28"/>
            </w:pPr>
            <w:r>
              <w:rPr>
                <w:sz w:val="15"/>
                <w:szCs w:val="15"/>
              </w:rPr>
              <w:t xml:space="preserve">180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Inventory</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180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Sold olive oil to GreenBasket Supermarkets on credit. The goods had cost Orontes less than the selling price.</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5</w:t>
            </w:r>
          </w:p>
        </w:tc>
        <w:tc>
          <w:tcPr>
            <w:tcW w:type="pct" w:w="7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700"/>
            <w:shd w:fill="FBFAF6" w:val="clear"/>
            <w:tcMar>
              <w:top w:type="dxa" w:w="50"/>
              <w:left w:type="dxa" w:w="110"/>
              <w:bottom w:type="dxa" w:w="50"/>
              <w:right w:type="dxa" w:w="110"/>
            </w:tcMar>
          </w:tcPr>
          <w:p>
            <w:pPr>
              <w:spacing w:before="28" w:after="28"/>
            </w:pPr>
            <w:r>
              <w:rPr>
                <w:sz w:val="15"/>
                <w:szCs w:val="15"/>
              </w:rPr>
              <w:t xml:space="preserve">40</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40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Paid January wages to plant workers in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6</w:t>
            </w:r>
          </w:p>
        </w:tc>
        <w:tc>
          <w:tcPr>
            <w:tcW w:type="pct" w:w="700"/>
            <w:tcMar>
              <w:top w:type="dxa" w:w="50"/>
              <w:left w:type="dxa" w:w="110"/>
              <w:bottom w:type="dxa" w:w="50"/>
              <w:right w:type="dxa" w:w="110"/>
            </w:tcMar>
          </w:tcPr>
          <w:p>
            <w:pPr>
              <w:spacing w:before="28" w:after="28"/>
            </w:pPr>
            <w:r>
              <w:rPr>
                <w:sz w:val="15"/>
                <w:szCs w:val="15"/>
              </w:rPr>
              <w:t xml:space="preserve">Jan 31</w:t>
            </w:r>
          </w:p>
        </w:tc>
        <w:tc>
          <w:tcPr>
            <w:tcW w:type="pct" w:w="2200"/>
            <w:tcMar>
              <w:top w:type="dxa" w:w="50"/>
              <w:left w:type="dxa" w:w="110"/>
              <w:bottom w:type="dxa" w:w="50"/>
              <w:right w:type="dxa" w:w="110"/>
            </w:tcMar>
          </w:tcPr>
          <w:p>
            <w:pPr>
              <w:spacing w:before="28" w:after="28"/>
            </w:pPr>
            <w:r>
              <w:rPr>
                <w:sz w:val="15"/>
                <w:szCs w:val="15"/>
              </w:rPr>
              <w:t xml:space="preserve">Retained earnings (dividends declared)</w:t>
            </w:r>
          </w:p>
        </w:tc>
        <w:tc>
          <w:tcPr>
            <w:tcW w:type="pct" w:w="700"/>
            <w:tcMar>
              <w:top w:type="dxa" w:w="50"/>
              <w:left w:type="dxa" w:w="110"/>
              <w:bottom w:type="dxa" w:w="50"/>
              <w:right w:type="dxa" w:w="110"/>
            </w:tcMar>
          </w:tcPr>
          <w:p>
            <w:pPr>
              <w:spacing w:before="28" w:after="28"/>
            </w:pPr>
            <w:r>
              <w:rPr>
                <w:sz w:val="15"/>
                <w:szCs w:val="15"/>
              </w:rPr>
              <w:t xml:space="preserve">50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700"/>
            <w:shd w:fill="FBFAF6" w:val="clear"/>
            <w:tcMar>
              <w:top w:type="dxa" w:w="50"/>
              <w:left w:type="dxa" w:w="110"/>
              <w:bottom w:type="dxa" w:w="50"/>
              <w:right w:type="dxa" w:w="110"/>
            </w:tcMar>
          </w:tcPr>
          <w:p>
            <w:pPr>
              <w:spacing w:before="28" w:after="28"/>
            </w:pPr>
            <w:r>
              <w:rPr>
                <w:sz w:val="15"/>
                <w:szCs w:val="15"/>
              </w:rPr>
              <w:t xml:space="preserve">4,070</w:t>
            </w:r>
          </w:p>
        </w:tc>
        <w:tc>
          <w:tcPr>
            <w:tcW w:type="pct" w:w="700"/>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Totals   ·   Jan 5   ·   Jan 31   ·   bottling   ·   Wages expense   ·   Borrowed   ·   Equipment   ·   Sales revenue   ·   Accounts receivable   ·   Cash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27–35</w:t>
      </w:r>
    </w:p>
    <w:p>
      <w:pPr>
        <w:spacing w:before="20" w:after="20" w:line="360" w:lineRule="auto"/>
        <w:ind w:left="200"/>
      </w:pPr>
      <w:r>
        <w:rPr>
          <w:sz w:val="19"/>
          <w:szCs w:val="19"/>
        </w:rPr>
        <w:t xml:space="preserve">Check each entry: the debits equal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Read the grid row by row. </w:t>
      </w:r>
      <w:r>
        <w:rPr>
          <w:sz w:val="19"/>
          <w:szCs w:val="19"/>
        </w:rPr>
        <w:t xml:space="preserve">Three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and lenders is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   owners   ·   February   ·   delivers   ·   points   ·   liability   ·   equation   ·   credits   ·   receivable   ·   financing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36–39</w:t>
      </w:r>
    </w:p>
    <w:p>
      <w:pPr>
        <w:spacing w:before="20" w:after="20" w:line="360" w:lineRule="auto"/>
        <w:ind w:left="200"/>
      </w:pPr>
      <w:r>
        <w:rPr>
          <w:sz w:val="19"/>
          <w:szCs w:val="19"/>
        </w:rPr>
        <w:t xml:space="preserve">A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reduces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account   ·   retained   ·   revenue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44" w:after="14"/>
      </w:pPr>
      <w:r>
        <w:rPr>
          <w:b/>
          <w:bCs/>
          <w:color w:val="353A7C"/>
          <w:sz w:val="18"/>
          <w:szCs w:val="18"/>
        </w:rPr>
        <w:t xml:space="preserve">Summary 5</w:t>
      </w:r>
      <w:r>
        <w:rPr>
          <w:color w:val="6B7280"/>
          <w:sz w:val="16"/>
          <w:szCs w:val="16"/>
        </w:rPr>
        <w:t xml:space="preserve">      gaps 40–41</w:t>
      </w:r>
    </w:p>
    <w:p>
      <w:pPr>
        <w:spacing w:before="20" w:after="20" w:line="360" w:lineRule="auto"/>
        <w:ind w:left="200"/>
      </w:pPr>
      <w:r>
        <w:rPr>
          <w:sz w:val="19"/>
          <w:szCs w:val="19"/>
        </w:rPr>
        <w:t xml:space="preserve">Here are six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from February (USD 000). </w:t>
      </w:r>
      <w:r>
        <w:rPr>
          <w:sz w:val="19"/>
          <w:szCs w:val="19"/>
        </w:rPr>
        <w:t xml:space="preserve">Rows 1 to 3 are done for you. </w:t>
      </w:r>
      <w:r>
        <w:rPr>
          <w:sz w:val="19"/>
          <w:szCs w:val="19"/>
        </w:rPr>
        <w:t xml:space="preserve"/>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rows 4 to 6. </w:t>
      </w:r>
      <w:r>
        <w:rPr>
          <w:sz w:val="19"/>
          <w:szCs w:val="19"/>
        </w:rPr>
        <w:t xml:space="preserve">Then write the journal entries for rows 4 to 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Complete   ·   creates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spacing w:before="44" w:after="14"/>
      </w:pPr>
      <w:r>
        <w:rPr>
          <w:b/>
          <w:bCs/>
          <w:color w:val="353A7C"/>
          <w:sz w:val="18"/>
          <w:szCs w:val="18"/>
        </w:rPr>
        <w:t xml:space="preserve">Summary 6</w:t>
      </w:r>
      <w:r>
        <w:rPr>
          <w:color w:val="6B7280"/>
          <w:sz w:val="16"/>
          <w:szCs w:val="16"/>
        </w:rPr>
        <w:t xml:space="preserve">      gaps 42–43</w:t>
      </w:r>
    </w:p>
    <w:p>
      <w:pPr>
        <w:spacing w:before="20" w:after="20" w:line="360" w:lineRule="auto"/>
        <w:ind w:left="200"/>
      </w:pPr>
      <w:r>
        <w:rPr>
          <w:sz w:val="19"/>
          <w:szCs w:val="19"/>
        </w:rPr>
        <w:t xml:space="preserve">X is debited (or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is to increase...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credited   ·   Whether   ·   transaction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 value   ·   normal balance   ·   double-entry system   ·   debit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Jan 31</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affects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Wages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simply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expanded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owners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Jan 5</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Borrowed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transaction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debit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Sales revenue</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normal balance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Debit simply means the left side of an account, and credit means the right side. Neither word means good or bad, and neither word always means increase. Whether a debit increases an account depends on the type of account. Each account has a normal balance: the side that increases it. The expanded equation at the bottom is a useful memory aid. Accounts on the left side of the equation (assets, expenses and dividends) increase with a debit. Accounts on the right side (liabilities, equity and revenues) increase with a credit. A contra account reduces a related account, so it has the opposite normal balance. For example, accumulated depreciation reduces equipment. It has a credit balance, but it belongs with the assets. The allowance for credit losses reduces accounts receivable in the same way.</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 Amounts are in USD 000.</w:t>
      </w:r>
    </w:p>
    <w:p>
      <w:pPr>
        <w:spacing w:before="20" w:after="20"/>
        <w:ind w:left="240" w:hanging="240"/>
      </w:pPr>
      <w:r>
        <w:rPr>
          <w:b/>
          <w:bCs/>
          <w:color w:val="353A7C"/>
          <w:sz w:val="15"/>
          <w:szCs w:val="15"/>
        </w:rPr>
        <w:t xml:space="preserve">Summary 3   </w:t>
      </w:r>
      <w:r>
        <w:rPr>
          <w:color w:val="6B7280"/>
          <w:sz w:val="15"/>
          <w:szCs w:val="15"/>
        </w:rPr>
        <w:t xml:space="preserve">Check each entry: the debits equal the credits. Read the grid row by row. 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A dividend is not an expense. 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Here are six transactions from February (USD 000). Rows 1 to 3 are done for you. Complete rows 4 to 6. Then write the journal entries for rows 4 to 6.</w:t>
      </w:r>
    </w:p>
    <w:p>
      <w:pPr>
        <w:spacing w:before="20" w:after="20"/>
        <w:ind w:left="240" w:hanging="240"/>
      </w:pPr>
      <w:r>
        <w:rPr>
          <w:b/>
          <w:bCs/>
          <w:color w:val="353A7C"/>
          <w:sz w:val="15"/>
          <w:szCs w:val="15"/>
        </w:rPr>
        <w:t xml:space="preserve">Summary 6   </w:t>
      </w:r>
      <w:r>
        <w:rPr>
          <w:color w:val="6B7280"/>
          <w:sz w:val="15"/>
          <w:szCs w:val="15"/>
        </w:rPr>
        <w:t xml:space="preserve">X is debited (or credited) for an amount: Cash is debited for 1,500. Exam stems often say: The effect of this transaction is to increase...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should a company record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expenses? U.S. GAAP financial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records expenses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the cash does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period. </w:t>
      </w:r>
      <w:r>
        <w:rPr>
          <w:sz w:val="19"/>
          <w:szCs w:val="19"/>
        </w:rPr>
        <w:t xml:space="preserve">The cash basis records items only when cash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but it is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Under the accrual basis,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records the revenue and the cost of goods sold in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2025, the year it delivered the goods. </w:t>
      </w:r>
      <w:r>
        <w:rPr>
          <w:sz w:val="19"/>
          <w:szCs w:val="19"/>
        </w:rPr>
        <w:t xml:space="preserve">The gross profit of 36 belongs to 2025. </w:t>
      </w:r>
      <w:r>
        <w:rPr>
          <w:sz w:val="19"/>
          <w:szCs w:val="19"/>
        </w:rPr>
        <w:t xml:space="preserve">In January, the cash receipt only changes one asset (the receivable) into another asset (cash). </w:t>
      </w:r>
      <w:r>
        <w:rPr>
          <w:sz w:val="19"/>
          <w:szCs w:val="19"/>
        </w:rPr>
        <w:t xml:space="preserve">Under the cash basis, the revenue would fall in 2026, which is the wrong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incurs   ·   delivers   ·   simple   ·   services   ·   acceptable   ·   Orontes   ·   decide   ·   another   ·   revenues   ·   received   ·   statements   ·   fiscal   ·   timing</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The matching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incurred   ·   bottling   ·   advertising   ·   directly   ·   adjustment   ·   classic   ·   Depreciation   ·   Systematic   ·   principle   ·   T-account</w:t>
            </w:r>
          </w:p>
        </w:tc>
      </w:tr>
    </w:tbl>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for credit losses   ·   Contract liability, or unearned revenue (deferral)   ·   Prepaid expense (deferral)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Two of these names are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advertising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28–29</w:t>
      </w:r>
    </w:p>
    <w:p>
      <w:pPr>
        <w:spacing w:before="20" w:after="20" w:line="360" w:lineRule="auto"/>
        <w:ind w:left="200"/>
      </w:pPr>
      <w:r>
        <w:rPr>
          <w:sz w:val="19"/>
          <w:szCs w:val="19"/>
        </w:rPr>
        <w:t xml:space="preserve">Cash received in advance is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expense   ·   liability</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prepaid expense   ·   contract liability (unearned revenue)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decide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fiscal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contract liability (unearned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Systematic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Under the accrual basis, Orontes records the revenue and the cost of goods sold in fiscal 2025, the year it delivered the goods. The gross profit of 36 belongs to 2025. In January, the cash receipt only changes one asset (the receivable) into another asset (cash). Under the cash basis, the revenue would fall in 2026, which is the wrong period.</w:t>
      </w:r>
    </w:p>
    <w:p>
      <w:pPr>
        <w:spacing w:before="20" w:after="20"/>
        <w:ind w:left="240" w:hanging="240"/>
      </w:pPr>
      <w:r>
        <w:rPr>
          <w:b/>
          <w:bCs/>
          <w:color w:val="353A7C"/>
          <w:sz w:val="15"/>
          <w:szCs w:val="15"/>
        </w:rPr>
        <w:t xml:space="preserve">Summary 2   </w:t>
      </w:r>
      <w:r>
        <w:rPr>
          <w:color w:val="6B7280"/>
          <w:sz w:val="15"/>
          <w:szCs w:val="15"/>
        </w:rPr>
        <w:t xml:space="preserve">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In the United States, the accounting rules are called U.S. GAAP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accepted accounting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generally   ·   recognizes   ·   changes   ·   oversees   ·   nongovernmental   ·   report   ·   principles   ·   Securities   ·   writes   ·   organization   ·   authoritative   ·   revenue   ·   organized</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The PCAOB 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United States, many countries use IFRS (International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Reporting Standards).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(International Accounting Standards Board) issues them, under the IFRS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Many countries in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East and North Africa, for example Jordan and the United Arab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require IFRS for listed companies. </w:t>
      </w:r>
      <w:r>
        <w:rPr>
          <w:sz w:val="19"/>
          <w:szCs w:val="19"/>
        </w:rPr>
        <w:t xml:space="preserve">The CMA exam tests U.S. GAAP.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Section A also asks about the main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between U.S. GAAP and IFRS. </w:t>
      </w:r>
      <w:r>
        <w:rPr>
          <w:sz w:val="19"/>
          <w:szCs w:val="19"/>
        </w:rPr>
        <w:t xml:space="preserve">If you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accounting under IFRS, this is good news: most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box, so. </w:t>
      </w:r>
      <w:r>
        <w:rPr>
          <w:sz w:val="19"/>
          <w:szCs w:val="19"/>
        </w:rPr>
        <w:t xml:space="preserve">Both systems rest on a conceptual framework: the basic ideas behind the standards, such as the users, the elements and the qualities of useful information. </w:t>
      </w:r>
      <w:r>
        <w:rPr>
          <w:sz w:val="19"/>
          <w:szCs w:val="19"/>
        </w:rPr>
        <w:t xml:space="preserve">You studied the U.S. version in Sections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Emirates   ·   auditing   ·   Financial   ·   Outside   ·   learned   ·   Middle   ·   However   ·   Foundation   ·   differences   ·   Contrast   ·   concepts   ·   IASB</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primary users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30–31</w:t>
      </w:r>
    </w:p>
    <w:p>
      <w:pPr>
        <w:spacing w:before="20" w:after="20" w:line="360" w:lineRule="auto"/>
        <w:ind w:left="200"/>
      </w:pPr>
      <w:r>
        <w:rPr>
          <w:sz w:val="19"/>
          <w:szCs w:val="19"/>
        </w:rPr>
        <w:t xml:space="preserve">FASB: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between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IFRS   ·   SEC   ·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generally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Middle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Emirates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auditing</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IASB</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Foundation</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SEC</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Outside the United States, many countries use IFRS (International Financial Reporting Standards). The IASB (International Accounting Standards Board) issues them, under the IFRS Foundation. Many countries in the Middle East and North Africa, for example Jordan and the United Arab Emirates, require IFRS for listed companies. The CMA exam tests U.S. GAAP. However, Section A also asks about the main differences between U.S. GAAP and IFRS. If you learned accounting under IFRS, this is good news: most concepts are the same. Every chapter has an IFRS Contrast box, so.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 Here is the overview.</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Statement of changes in equity   ·   double-entry system</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linked. </w:t>
      </w:r>
      <w:r>
        <w:rPr>
          <w:sz w:val="19"/>
          <w:szCs w:val="19"/>
        </w:rPr>
        <w:t xml:space="preserve">Net income flows into retained earnings, and the net change in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cash balance on the balance sheet. </w:t>
      </w:r>
      <w:r>
        <w:rPr>
          <w:sz w:val="19"/>
          <w:szCs w:val="19"/>
        </w:rPr>
        <w:t xml:space="preserve">You can see both links in the January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Orontes.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outflow of 40,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outflow of 1,200 and a financing inflow of 2,300.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net income and the change in cash are very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basis at work. </w:t>
      </w:r>
      <w:r>
        <w:rPr>
          <w:sz w:val="19"/>
          <w:szCs w:val="19"/>
        </w:rPr>
        <w:t xml:space="preserve">A trial balance lists every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balance and checks that total debits equal total credits. </w:t>
      </w:r>
      <w:r>
        <w:rPr>
          <w:sz w:val="19"/>
          <w:szCs w:val="19"/>
        </w:rPr>
        <w:t xml:space="preserve">You will use it in the section check below and in the practice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transactions   ·   accrual   ·   account   ·   statements   ·   Notice   ·   dividend   ·   investing   ·   explains   ·   describes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92"/>
        <w:gridCol w:w="26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4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9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2"/>
            <w:tcMar>
              <w:top w:type="dxa" w:w="50"/>
              <w:left w:type="dxa" w:w="110"/>
              <w:bottom w:type="dxa" w:w="50"/>
              <w:right w:type="dxa" w:w="110"/>
            </w:tcMar>
          </w:tcPr>
          <w:p>
            <w:pPr>
              <w:spacing w:before="28" w:after="28"/>
            </w:pPr>
            <w:r>
              <w:rPr>
                <w:sz w:val="15"/>
                <w:szCs w:val="15"/>
              </w:rPr>
              <w:t xml:space="preserve">1,050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402"/>
            <w:shd w:fill="FBFAF6" w:val="clear"/>
            <w:tcMar>
              <w:top w:type="dxa" w:w="50"/>
              <w:left w:type="dxa" w:w="110"/>
              <w:bottom w:type="dxa" w:w="50"/>
              <w:right w:type="dxa" w:w="110"/>
            </w:tcMar>
          </w:tcPr>
          <w:p>
            <w:pPr>
              <w:spacing w:before="28" w:after="28"/>
            </w:pPr>
            <w:r>
              <w:rPr>
                <w:sz w:val="15"/>
                <w:szCs w:val="15"/>
              </w:rPr>
              <w:t xml:space="preserve">300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2"/>
            <w:shd w:fill="FBFAF6" w:val="clear"/>
            <w:tcMar>
              <w:top w:type="dxa" w:w="50"/>
              <w:left w:type="dxa" w:w="110"/>
              <w:bottom w:type="dxa" w:w="50"/>
              <w:right w:type="dxa" w:w="110"/>
            </w:tcMar>
          </w:tcPr>
          <w:p>
            <w:pPr>
              <w:spacing w:before="28" w:after="28"/>
            </w:pPr>
            <w:r>
              <w:rPr>
                <w:sz w:val="15"/>
                <w:szCs w:val="15"/>
              </w:rPr>
              <w:t xml:space="preserve">420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2"/>
            <w:tcMar>
              <w:top w:type="dxa" w:w="50"/>
              <w:left w:type="dxa" w:w="110"/>
              <w:bottom w:type="dxa" w:w="50"/>
              <w:right w:type="dxa" w:w="110"/>
            </w:tcMar>
          </w:tcPr>
          <w:p>
            <w:pPr>
              <w:spacing w:before="28" w:after="28"/>
            </w:pPr>
            <w:r>
              <w:rPr>
                <w:sz w:val="15"/>
                <w:szCs w:val="15"/>
              </w:rPr>
              <w:t xml:space="preserve">24</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2"/>
            <w:shd w:fill="FBFAF6" w:val="clear"/>
            <w:tcMar>
              <w:top w:type="dxa" w:w="50"/>
              <w:left w:type="dxa" w:w="110"/>
              <w:bottom w:type="dxa" w:w="50"/>
              <w:right w:type="dxa" w:w="110"/>
            </w:tcMar>
          </w:tcPr>
          <w:p>
            <w:pPr>
              <w:spacing w:before="28" w:after="28"/>
            </w:pPr>
            <w:r>
              <w:rPr>
                <w:sz w:val="15"/>
                <w:szCs w:val="15"/>
              </w:rPr>
              <w:t xml:space="preserve">936</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Equipment</w:t>
            </w:r>
          </w:p>
        </w:tc>
        <w:tc>
          <w:tcPr>
            <w:tcW w:type="pct" w:w="1402"/>
            <w:tcMar>
              <w:top w:type="dxa" w:w="50"/>
              <w:left w:type="dxa" w:w="110"/>
              <w:bottom w:type="dxa" w:w="50"/>
              <w:right w:type="dxa" w:w="110"/>
            </w:tcMar>
          </w:tcPr>
          <w:p>
            <w:pPr>
              <w:spacing w:before="28" w:after="28"/>
            </w:pPr>
            <w:r>
              <w:rPr>
                <w:sz w:val="15"/>
                <w:szCs w:val="15"/>
              </w:rPr>
              <w:t xml:space="preserve">4,200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380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50</w:t>
            </w:r>
          </w:p>
        </w:tc>
      </w:tr>
      <w:tr>
        <w:tc>
          <w:tcPr>
            <w:tcW w:type="pct" w:w="2200"/>
            <w:tcMar>
              <w:top w:type="dxa" w:w="50"/>
              <w:left w:type="dxa" w:w="110"/>
              <w:bottom w:type="dxa" w:w="50"/>
              <w:right w:type="dxa" w:w="110"/>
            </w:tcMar>
          </w:tcPr>
          <w:p>
            <w:pPr>
              <w:spacing w:before="28" w:after="28"/>
            </w:pPr>
            <w:r>
              <w:rPr>
                <w:sz w:val="15"/>
                <w:szCs w:val="15"/>
              </w:rPr>
              <w:t xml:space="preserve">Notes payable (long-term)</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Dividends declared</w:t>
            </w:r>
          </w:p>
        </w:tc>
        <w:tc>
          <w:tcPr>
            <w:tcW w:type="pct" w:w="1402"/>
            <w:tcMar>
              <w:top w:type="dxa" w:w="50"/>
              <w:left w:type="dxa" w:w="110"/>
              <w:bottom w:type="dxa" w:w="50"/>
              <w:right w:type="dxa" w:w="110"/>
            </w:tcMar>
          </w:tcPr>
          <w:p>
            <w:pPr>
              <w:spacing w:before="28" w:after="28"/>
            </w:pPr>
            <w:r>
              <w:rPr>
                <w:sz w:val="15"/>
                <w:szCs w:val="15"/>
              </w:rPr>
              <w:t xml:space="preserve">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402"/>
            <w:tcMar>
              <w:top w:type="dxa" w:w="50"/>
              <w:left w:type="dxa" w:w="110"/>
              <w:bottom w:type="dxa" w:w="50"/>
              <w:right w:type="dxa" w:w="110"/>
            </w:tcMar>
          </w:tcPr>
          <w:p>
            <w:pPr>
              <w:spacing w:before="28" w:after="28"/>
            </w:pPr>
            <w:r>
              <w:rPr>
                <w:sz w:val="15"/>
                <w:szCs w:val="15"/>
              </w:rPr>
              <w:t xml:space="preserve">1,860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520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2"/>
            <w:tcMar>
              <w:top w:type="dxa" w:w="50"/>
              <w:left w:type="dxa" w:w="110"/>
              <w:bottom w:type="dxa" w:w="50"/>
              <w:right w:type="dxa" w:w="110"/>
            </w:tcMar>
          </w:tcPr>
          <w:p>
            <w:pPr>
              <w:spacing w:before="28" w:after="28"/>
            </w:pPr>
            <w:r>
              <w:rPr>
                <w:sz w:val="15"/>
                <w:szCs w:val="15"/>
              </w:rPr>
              <w:t xml:space="preserve">300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90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Totals</w:t>
            </w:r>
          </w:p>
        </w:tc>
        <w:tc>
          <w:tcPr>
            <w:tcW w:type="pct" w:w="1402"/>
            <w:tcMar>
              <w:top w:type="dxa" w:w="50"/>
              <w:left w:type="dxa" w:w="110"/>
              <w:bottom w:type="dxa" w:w="50"/>
              <w:right w:type="dxa" w:w="110"/>
            </w:tcMar>
          </w:tcPr>
          <w:p>
            <w:pPr>
              <w:spacing w:before="28" w:after="28"/>
            </w:pPr>
            <w:r>
              <w:rPr>
                <w:sz w:val="15"/>
                <w:szCs w:val="15"/>
              </w:rPr>
              <w:t xml:space="preserve">9,750</w:t>
            </w:r>
          </w:p>
        </w:tc>
        <w:tc>
          <w:tcPr>
            <w:tcW w:type="pct" w:w="1398"/>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Depreciation expense   ·   Additional paid-in capital   ·   Accumulated depreciation   ·   Retained earnings, January 1   ·   statement of financial position   ·   Allowance for credit losses   ·   Prepaid rent   ·   Land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pageBreakBefore w:val="true"/>
        <w:spacing w:after="0"/>
      </w:pPr>
      <w:r>
        <w:rPr>
          <w:sz w:val="2"/>
        </w:rPr>
        <w:t xml:space="preserve"> </w:t>
      </w:r>
    </w:p>
    <w:p>
      <w:pPr>
        <w:spacing w:before="44" w:after="10"/>
      </w:pPr>
      <w:r>
        <w:rPr>
          <w:b/>
          <w:bCs/>
          <w:color w:val="353A7C"/>
          <w:sz w:val="18"/>
          <w:szCs w:val="18"/>
        </w:rPr>
        <w:t xml:space="preserve">Net income, and how it is reached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disclose</w:t>
            </w:r>
          </w:p>
        </w:tc>
      </w:tr>
    </w:tbl>
    <w:p/>
    <w:p>
      <w:pPr>
        <w:spacing w:before="44" w:after="14"/>
      </w:pPr>
      <w:r>
        <w:rPr>
          <w:b/>
          <w:bCs/>
          <w:color w:val="353A7C"/>
          <w:sz w:val="18"/>
          <w:szCs w:val="18"/>
        </w:rPr>
        <w:t xml:space="preserve">Summary 2</w:t>
      </w:r>
      <w:r>
        <w:rPr>
          <w:color w:val="6B7280"/>
          <w:sz w:val="16"/>
          <w:szCs w:val="16"/>
        </w:rPr>
        <w:t xml:space="preserve">      gaps 24–25</w:t>
      </w:r>
    </w:p>
    <w:p>
      <w:pPr>
        <w:spacing w:before="20" w:after="20" w:line="360" w:lineRule="auto"/>
        <w:ind w:left="200"/>
      </w:pPr>
      <w:r>
        <w:rPr>
          <w:sz w:val="19"/>
          <w:szCs w:val="19"/>
        </w:rPr>
        <w:t xml:space="preserve">MOST likely or BEST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best one. </w:t>
      </w:r>
      <w:r>
        <w:rPr>
          <w:sz w:val="19"/>
          <w:szCs w:val="19"/>
        </w:rPr>
        <w:t xml:space="preserve">NOT or EXCEPT: three options are true. </w:t>
      </w:r>
      <w:r>
        <w:rPr>
          <w:sz w:val="19"/>
          <w:szCs w:val="19"/>
        </w:rPr>
        <w:t xml:space="preserve">Find the one that is false.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   describes   ·   Choose</w:t>
            </w:r>
          </w:p>
        </w:tc>
      </w:tr>
    </w:tbl>
    <w:p/>
    <w:p>
      <w:pPr>
        <w:spacing w:before="44" w:after="10"/>
      </w:pPr>
      <w:r>
        <w:rPr>
          <w:b/>
          <w:bCs/>
          <w:color w:val="353A7C"/>
          <w:sz w:val="18"/>
          <w:szCs w:val="18"/>
        </w:rPr>
        <w:t xml:space="preserve">Reading exam questions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   ·   6   ·   dividend   ·   4</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2400"/>
            <w:tcMar>
              <w:top w:type="dxa" w:w="50"/>
              <w:left w:type="dxa" w:w="110"/>
              <w:bottom w:type="dxa" w:w="50"/>
              <w:right w:type="dxa" w:w="110"/>
            </w:tcMar>
          </w:tcPr>
          <w:p>
            <w:pPr>
              <w:spacing w:before="28" w:after="28"/>
            </w:pPr>
            <w:r>
              <w:rPr>
                <w:sz w:val="15"/>
                <w:szCs w:val="15"/>
              </w:rPr>
              <w:t xml:space="preserve">Liability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tcMar>
              <w:top w:type="dxa" w:w="50"/>
              <w:left w:type="dxa" w:w="110"/>
              <w:bottom w:type="dxa" w:w="50"/>
              <w:right w:type="dxa" w:w="110"/>
            </w:tcMar>
          </w:tcPr>
          <w:p>
            <w:pPr>
              <w:spacing w:before="28" w:after="28"/>
            </w:pPr>
            <w:r>
              <w:rPr>
                <w:sz w:val="15"/>
                <w:szCs w:val="15"/>
              </w:rPr>
              <w:t xml:space="preserve">Revenue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Expense</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Contra-asset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Asset   ·   Equity   ·   Debit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matching principle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 of changes in 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Notice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4</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Allowance for credit losses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rent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statement of changes in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Land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four statements are linked. Net income flows into retained earnings, and the net change in cash explains the cash balance on the balance sheet. You can see both links in the January transactions of Orontes. The dividend declared was 50, so retained earnings rose by 30. Cash rose by 1,060: an operating outflow of 40, an investing outflow of 1,200 and a financing inflow of 2,300. Notice that net income and the change in cash are very different numbers. This is the accrual basis at work. A trial balance lists every account balance and checks that total debits equal total credits. You will use it in the section check below and in the practice set.</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Choose the best one. NOT or EXCEPT: three options are true. Find the one that is false.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fb3409c59d5ba967155659445d60da5da01136b.png" Type="http://schemas.openxmlformats.org/officeDocument/2006/relationships/image"/><Relationship Id="rId102" Target="media/e6cd6c3f15face523ac58431cbe41acddf35ae08.png" Type="http://schemas.openxmlformats.org/officeDocument/2006/relationships/image"/><Relationship Id="rId103" Target="media/21f6a451e2701825b997f01d8e7ac7d40d3a3ac5.png" Type="http://schemas.openxmlformats.org/officeDocument/2006/relationships/image"/><Relationship Id="rId104" Target="media/e3ab0274cc721aec522d6b552b42df94bd71405a.png" Type="http://schemas.openxmlformats.org/officeDocument/2006/relationships/image"/><Relationship Id="rId105" Target="media/ee850982fcdb7396c23f1f5394785c09793d16ec.png" Type="http://schemas.openxmlformats.org/officeDocument/2006/relationships/image"/><Relationship Id="rId106" Target="media/e978a255da0730ff0ca8ea8154e04f8d083475d2.png" Type="http://schemas.openxmlformats.org/officeDocument/2006/relationships/image"/><Relationship Id="rId107" Target="media/94ca45930d9e6201388e2282e4bbab0b9174c139.png" Type="http://schemas.openxmlformats.org/officeDocument/2006/relationships/image"/><Relationship Id="rId108" Target="media/606b29f8e606b81a649bb3ab3cb2a9fdad59a237.png" Type="http://schemas.openxmlformats.org/officeDocument/2006/relationships/image"/><Relationship Id="rId109" Target="media/efef428e16f6bcd528bc2d7543a0c9f34eefe1aa.png" Type="http://schemas.openxmlformats.org/officeDocument/2006/relationships/image"/><Relationship Id="rId110" Target="media/c8f9bc9301c519fa51cdcd7d57e36a7dc172e6d2.png" Type="http://schemas.openxmlformats.org/officeDocument/2006/relationships/image"/><Relationship Id="rId111" Target="media/2d433156bdc1333ff5fc44a2d81a87bd0a3d3e8f.png" Type="http://schemas.openxmlformats.org/officeDocument/2006/relationships/image"/><Relationship Id="rId112" Target="media/0dece7206b1150af26055271d0da2e81b778f13e.png" Type="http://schemas.openxmlformats.org/officeDocument/2006/relationships/image"/><Relationship Id="rId113" Target="media/bc498578c61b76cbb87adfe3bbe9e1d2d1297a70.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dc:title>
  <dc:subject>Summary handouts</dc:subject>
  <cp:category>Student Book</cp:category>
</cp:coreProperties>
</file>