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grouped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equivalents   ·   Moving   ·   company's   ·   short-term   ·   because   ·   investments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flows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0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00"/>
            <w:tcMar>
              <w:top w:type="dxa" w:w="50"/>
              <w:left w:type="dxa" w:w="110"/>
              <w:bottom w:type="dxa" w:w="50"/>
              <w:right w:type="dxa" w:w="110"/>
            </w:tcMar>
          </w:tcPr>
          <w:p>
            <w:pPr>
              <w:spacing w:before="28" w:after="28"/>
            </w:pPr>
            <w:r>
              <w:rPr>
                <w:sz w:val="15"/>
                <w:szCs w:val="15"/>
              </w:rPr>
              <w:t xml:space="preserve">Impairment losses</w:t>
            </w:r>
          </w:p>
        </w:tc>
        <w:tc>
          <w:tcPr>
            <w:tcW w:type="pct" w:w="2400"/>
            <w:tcMar>
              <w:top w:type="dxa" w:w="50"/>
              <w:left w:type="dxa" w:w="110"/>
              <w:bottom w:type="dxa" w:w="50"/>
              <w:right w:type="dxa" w:w="110"/>
            </w:tcMar>
          </w:tcPr>
          <w:p>
            <w:pPr>
              <w:spacing w:before="28" w:after="28"/>
            </w:pPr>
            <w:r>
              <w:rPr>
                <w:sz w:val="15"/>
                <w:szCs w:val="15"/>
              </w:rPr>
              <w:t xml:space="preserve">2,724,000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40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0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400"/>
            <w:tcMar>
              <w:top w:type="dxa" w:w="50"/>
              <w:left w:type="dxa" w:w="110"/>
              <w:bottom w:type="dxa" w:w="50"/>
              <w:right w:type="dxa" w:w="110"/>
            </w:tcMar>
          </w:tcPr>
          <w:p>
            <w:pPr>
              <w:spacing w:before="28" w:after="28"/>
            </w:pPr>
            <w:r>
              <w:rPr>
                <w:sz w:val="15"/>
                <w:szCs w:val="15"/>
              </w:rPr>
              <w:t xml:space="preserve">70,000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(384,000)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Increase in prepaid expenses</w:t>
            </w:r>
          </w:p>
        </w:tc>
        <w:tc>
          <w:tcPr>
            <w:tcW w:type="pct" w:w="2400"/>
            <w:tcMar>
              <w:top w:type="dxa" w:w="50"/>
              <w:left w:type="dxa" w:w="110"/>
              <w:bottom w:type="dxa" w:w="50"/>
              <w:right w:type="dxa" w:w="110"/>
            </w:tcMar>
          </w:tcPr>
          <w:p>
            <w:pPr>
              <w:spacing w:before="28" w:after="28"/>
            </w:pPr>
            <w:r>
              <w:rPr>
                <w:sz w:val="15"/>
                <w:szCs w:val="15"/>
              </w:rPr>
              <w:t xml:space="preserve">(24,000)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Increase in contract liabilities</w:t>
            </w:r>
          </w:p>
        </w:tc>
        <w:tc>
          <w:tcPr>
            <w:tcW w:type="pct" w:w="2400"/>
            <w:tcMar>
              <w:top w:type="dxa" w:w="50"/>
              <w:left w:type="dxa" w:w="110"/>
              <w:bottom w:type="dxa" w:w="50"/>
              <w:right w:type="dxa" w:w="110"/>
            </w:tcMar>
          </w:tcPr>
          <w:p>
            <w:pPr>
              <w:spacing w:before="28" w:after="28"/>
            </w:pPr>
            <w:r>
              <w:rPr>
                <w:sz w:val="15"/>
                <w:szCs w:val="15"/>
              </w:rPr>
              <w:t xml:space="preserve">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00"/>
            <w:tcMar>
              <w:top w:type="dxa" w:w="50"/>
              <w:left w:type="dxa" w:w="110"/>
              <w:bottom w:type="dxa" w:w="50"/>
              <w:right w:type="dxa" w:w="110"/>
            </w:tcMar>
          </w:tcPr>
          <w:p>
            <w:pPr>
              <w:spacing w:before="28" w:after="28"/>
            </w:pPr>
            <w:r>
              <w:rPr>
                <w:sz w:val="15"/>
                <w:szCs w:val="15"/>
              </w:rPr>
              <w:t xml:space="preserve">Cash flows from investing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00"/>
            <w:tcMar>
              <w:top w:type="dxa" w:w="50"/>
              <w:left w:type="dxa" w:w="110"/>
              <w:bottom w:type="dxa" w:w="50"/>
              <w:right w:type="dxa" w:w="110"/>
            </w:tcMar>
          </w:tcPr>
          <w:p>
            <w:pPr>
              <w:spacing w:before="28" w:after="28"/>
            </w:pPr>
            <w:r>
              <w:rPr>
                <w:sz w:val="15"/>
                <w:szCs w:val="15"/>
              </w:rPr>
              <w:t xml:space="preserve">Proceeds from sale of equipment</w:t>
            </w:r>
          </w:p>
        </w:tc>
        <w:tc>
          <w:tcPr>
            <w:tcW w:type="pct" w:w="2400"/>
            <w:tcMar>
              <w:top w:type="dxa" w:w="50"/>
              <w:left w:type="dxa" w:w="110"/>
              <w:bottom w:type="dxa" w:w="50"/>
              <w:right w:type="dxa" w:w="110"/>
            </w:tcMar>
          </w:tcPr>
          <w:p>
            <w:pPr>
              <w:spacing w:before="28" w:after="28"/>
            </w:pPr>
            <w:r>
              <w:rPr>
                <w:sz w:val="15"/>
                <w:szCs w:val="15"/>
              </w:rPr>
              <w:t xml:space="preserve">21,000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40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0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400"/>
            <w:tcMar>
              <w:top w:type="dxa" w:w="50"/>
              <w:left w:type="dxa" w:w="110"/>
              <w:bottom w:type="dxa" w:w="50"/>
              <w:right w:type="dxa" w:w="110"/>
            </w:tcMar>
          </w:tcPr>
          <w:p>
            <w:pPr>
              <w:spacing w:before="28" w:after="28"/>
            </w:pPr>
            <w:r>
              <w:rPr>
                <w:sz w:val="15"/>
                <w:szCs w:val="15"/>
              </w:rPr>
              <w:t xml:space="preserve">(4,179,000)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Repayment of long-term debt</w:t>
            </w:r>
          </w:p>
        </w:tc>
        <w:tc>
          <w:tcPr>
            <w:tcW w:type="pct" w:w="2400"/>
            <w:tcMar>
              <w:top w:type="dxa" w:w="50"/>
              <w:left w:type="dxa" w:w="110"/>
              <w:bottom w:type="dxa" w:w="50"/>
              <w:right w:type="dxa" w:w="110"/>
            </w:tcMar>
          </w:tcPr>
          <w:p>
            <w:pPr>
              <w:spacing w:before="28" w:after="28"/>
            </w:pPr>
            <w:r>
              <w:rPr>
                <w:sz w:val="15"/>
                <w:szCs w:val="15"/>
              </w:rPr>
              <w:t xml:space="preserve">(400,000)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400"/>
            <w:tcMar>
              <w:top w:type="dxa" w:w="50"/>
              <w:left w:type="dxa" w:w="110"/>
              <w:bottom w:type="dxa" w:w="50"/>
              <w:right w:type="dxa" w:w="110"/>
            </w:tcMar>
          </w:tcPr>
          <w:p>
            <w:pPr>
              <w:spacing w:before="28" w:after="28"/>
            </w:pPr>
            <w:r>
              <w:rPr>
                <w:sz w:val="15"/>
                <w:szCs w:val="15"/>
              </w:rPr>
              <w:t xml:space="preserve">1,850,000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40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00"/>
            <w:tcMar>
              <w:top w:type="dxa" w:w="50"/>
              <w:left w:type="dxa" w:w="110"/>
              <w:bottom w:type="dxa" w:w="50"/>
              <w:right w:type="dxa" w:w="110"/>
            </w:tcMar>
          </w:tcPr>
          <w:p>
            <w:pPr>
              <w:spacing w:before="28" w:after="28"/>
            </w:pPr>
            <w:r>
              <w:rPr>
                <w:sz w:val="15"/>
                <w:szCs w:val="15"/>
              </w:rPr>
              <w:t xml:space="preserve">Cash, January 1, 2025</w:t>
            </w:r>
          </w:p>
        </w:tc>
        <w:tc>
          <w:tcPr>
            <w:tcW w:type="pct" w:w="2400"/>
            <w:tcMar>
              <w:top w:type="dxa" w:w="50"/>
              <w:left w:type="dxa" w:w="110"/>
              <w:bottom w:type="dxa" w:w="50"/>
              <w:right w:type="dxa" w:w="110"/>
            </w:tcMar>
          </w:tcPr>
          <w:p>
            <w:pPr>
              <w:spacing w:before="28" w:after="28"/>
            </w:pPr>
            <w:r>
              <w:rPr>
                <w:sz w:val="15"/>
                <w:szCs w:val="15"/>
              </w:rPr>
              <w:t xml:space="preserve">2,100,000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40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Income taxes paid</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Depreciation   ·   Deferred income taxes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الأنشطة التشغيلية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transactions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Dividends received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Interest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received from selling Jordan Glass shares   ·   Land acquired by issuing a long-term note (no cash)   ·   Cash paid to buy back the company's own shares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disclose   ·   Orontes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 received from selling Jordan Glass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Working-capital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operating activities   ·   subtracted   ·   equity-method   ·   add back noncash expenses and losses   ·   receivables</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impairments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taxes, which used no cash: $4,924,000. </w:t>
      </w:r>
      <w:r>
        <w:rPr>
          <w:sz w:val="19"/>
          <w:szCs w:val="19"/>
        </w:rPr>
        <w:t xml:space="preserve">Subtract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changes reduce cash by a net $248,000. </w:t>
      </w:r>
      <w:r>
        <w:rPr>
          <w:sz w:val="19"/>
          <w:szCs w:val="19"/>
        </w:rPr>
        <w:t xml:space="preserve">The total, $7,531,100, equals net cash from operating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depreciation   ·   deferred   ·   activities   ·   equity-method   ·   Working-capital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unrealized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الأنشطة التشغيلية   ·   investing activities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subtracted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deferred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 The total, $7,531,100, equals net cash from operating activities.</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direct method shows the main classes of operating receipts and payments, such as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encourages   ·   disclose   ·   reconciliation   ·   customers   ·   suppliers</w:t>
            </w:r>
          </w:p>
        </w:tc>
      </w:tr>
    </w:tbl>
    <w:p/>
    <w:p>
      <w:pPr>
        <w:spacing w:before="44" w:after="10"/>
      </w:pPr>
      <w:r>
        <w:rPr>
          <w:b/>
          <w:bCs/>
          <w:color w:val="353A7C"/>
          <w:sz w:val="18"/>
          <w:szCs w:val="18"/>
        </w:rPr>
        <w:t xml:space="preserve">Orontes Foods Inc. — operating activities by the direct method,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9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497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Cash paid to suppliers and employees   ·   Cash received from customers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A company using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   indirect   ·   increase   ·   Orontes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الطريقة المباشرة   ·   operating activities   ·   indirect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Cash paid to suppliers and employees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indirect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Income taxes paid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also shows only one year, and it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also arbitrary: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is operating under U.S. GAAP but may be financing under IFRS, which makes companies harder to compare.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one year of cash flows can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stops investing will show strong cash flow for a while, even if its future is weak. </w:t>
      </w:r>
      <w:r>
        <w:rPr>
          <w:sz w:val="19"/>
          <w:szCs w:val="19"/>
        </w:rPr>
        <w:t xml:space="preserve">The links also help you find amounts that are not given. </w:t>
      </w:r>
      <w:r>
        <w:rPr>
          <w:sz w:val="19"/>
          <w:szCs w:val="19"/>
        </w:rPr>
        <w:t xml:space="preserve">Orontes declared dividends of $450,000, but dividends payable rose by $400,000, so dividends paid were only $50,000. </w:t>
      </w:r>
      <w:r>
        <w:rPr>
          <w:sz w:val="19"/>
          <w:szCs w:val="19"/>
        </w:rPr>
        <w:t xml:space="preserve">That is the amount in the financing section.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Finally   ·   classifications   ·   mislead   ·   Important   ·   delaying   ·   manage   ·   impossible   ·   interest   ·   suppliers   ·   statement   ·   measure   ·   building   ·   receivables</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In August 2026 the FASB proposed new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cash equivalents does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disclosures   ·   change   ·   definition   ·   digital   ·   payments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555"/>
        <w:gridCol w:w="18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851"/>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1851"/>
            <w:shd w:fill="FBFAF6" w:val="clear"/>
            <w:tcMar>
              <w:top w:type="dxa" w:w="50"/>
              <w:left w:type="dxa" w:w="110"/>
              <w:bottom w:type="dxa" w:w="50"/>
              <w:right w:type="dxa" w:w="110"/>
            </w:tcMar>
          </w:tcPr>
          <w:p>
            <w:pPr>
              <w:spacing w:before="28" w:after="28"/>
            </w:pPr>
            <w:r>
              <w:rPr>
                <w:sz w:val="15"/>
                <w:szCs w:val="15"/>
              </w:rPr>
              <w:t xml:space="preserve">165</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Depreciation expense</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20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851"/>
            <w:tcMar>
              <w:top w:type="dxa" w:w="50"/>
              <w:left w:type="dxa" w:w="110"/>
              <w:bottom w:type="dxa" w:w="50"/>
              <w:right w:type="dxa" w:w="110"/>
            </w:tcMar>
          </w:tcPr>
          <w:p>
            <w:pPr>
              <w:spacing w:before="28" w:after="28"/>
            </w:pPr>
            <w:r>
              <w:rPr>
                <w:sz w:val="15"/>
                <w:szCs w:val="15"/>
              </w:rPr>
              <w:t xml:space="preserve">40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Balances</w:t>
            </w:r>
          </w:p>
        </w:tc>
        <w:tc>
          <w:tcPr>
            <w:tcW w:type="pct" w:w="1851"/>
            <w:shd w:fill="FBFAF6" w:val="clear"/>
            <w:tcMar>
              <w:top w:type="dxa" w:w="50"/>
              <w:left w:type="dxa" w:w="110"/>
              <w:bottom w:type="dxa" w:w="50"/>
              <w:right w:type="dxa" w:w="110"/>
            </w:tcMar>
          </w:tcPr>
          <w:p>
            <w:pPr>
              <w:spacing w:before="28" w:after="28"/>
            </w:pPr>
            <w:r>
              <w:rPr>
                <w:sz w:val="15"/>
                <w:szCs w:val="15"/>
              </w:rPr>
              <w:t xml:space="preserve"> </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851"/>
            <w:tcMar>
              <w:top w:type="dxa" w:w="50"/>
              <w:left w:type="dxa" w:w="110"/>
              <w:bottom w:type="dxa" w:w="50"/>
              <w:right w:type="dxa" w:w="110"/>
            </w:tcMar>
          </w:tcPr>
          <w:p>
            <w:pPr>
              <w:spacing w:before="28" w:after="28"/>
            </w:pPr>
            <w:r>
              <w:rPr>
                <w:sz w:val="15"/>
                <w:szCs w:val="15"/>
              </w:rPr>
              <w:t xml:space="preserve">280</w:t>
            </w:r>
          </w:p>
        </w:tc>
        <w:tc>
          <w:tcPr>
            <w:tcW w:type="pct" w:w="949"/>
            <w:tcMar>
              <w:top w:type="dxa" w:w="50"/>
              <w:left w:type="dxa" w:w="110"/>
              <w:bottom w:type="dxa" w:w="50"/>
              <w:right w:type="dxa" w:w="110"/>
            </w:tcMar>
          </w:tcPr>
          <w:p>
            <w:pPr>
              <w:spacing w:before="28" w:after="28"/>
            </w:pPr>
            <w:r>
              <w:rPr>
                <w:sz w:val="15"/>
                <w:szCs w:val="15"/>
              </w:rPr>
              <w:t xml:space="preserve">310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851"/>
            <w:shd w:fill="FBFAF6" w:val="clear"/>
            <w:tcMar>
              <w:top w:type="dxa" w:w="50"/>
              <w:left w:type="dxa" w:w="110"/>
              <w:bottom w:type="dxa" w:w="50"/>
              <w:right w:type="dxa" w:w="110"/>
            </w:tcMar>
          </w:tcPr>
          <w:p>
            <w:pPr>
              <w:spacing w:before="28" w:after="28"/>
            </w:pPr>
            <w:r>
              <w:rPr>
                <w:sz w:val="15"/>
                <w:szCs w:val="15"/>
              </w:rPr>
              <w:t xml:space="preserve">420</w:t>
            </w:r>
          </w:p>
        </w:tc>
        <w:tc>
          <w:tcPr>
            <w:tcW w:type="pct" w:w="949"/>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851"/>
            <w:tcMar>
              <w:top w:type="dxa" w:w="50"/>
              <w:left w:type="dxa" w:w="110"/>
              <w:bottom w:type="dxa" w:w="50"/>
              <w:right w:type="dxa" w:w="110"/>
            </w:tcMar>
          </w:tcPr>
          <w:p>
            <w:pPr>
              <w:spacing w:before="28" w:after="28"/>
            </w:pPr>
            <w:r>
              <w:rPr>
                <w:sz w:val="15"/>
                <w:szCs w:val="15"/>
              </w:rPr>
              <w:t xml:space="preserve">24</w:t>
            </w:r>
          </w:p>
        </w:tc>
        <w:tc>
          <w:tcPr>
            <w:tcW w:type="pct" w:w="949"/>
            <w:tcMar>
              <w:top w:type="dxa" w:w="50"/>
              <w:left w:type="dxa" w:w="110"/>
              <w:bottom w:type="dxa" w:w="50"/>
              <w:right w:type="dxa" w:w="110"/>
            </w:tcMar>
          </w:tcPr>
          <w:p>
            <w:pPr>
              <w:spacing w:before="28" w:after="28"/>
            </w:pPr>
            <w:r>
              <w:rPr>
                <w:sz w:val="15"/>
                <w:szCs w:val="15"/>
              </w:rPr>
              <w:t xml:space="preserve">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851"/>
            <w:shd w:fill="FBFAF6" w:val="clear"/>
            <w:tcMar>
              <w:top w:type="dxa" w:w="50"/>
              <w:left w:type="dxa" w:w="110"/>
              <w:bottom w:type="dxa" w:w="50"/>
              <w:right w:type="dxa" w:w="110"/>
            </w:tcMar>
          </w:tcPr>
          <w:p>
            <w:pPr>
              <w:spacing w:before="28" w:after="28"/>
            </w:pPr>
            <w:r>
              <w:rPr>
                <w:sz w:val="15"/>
                <w:szCs w:val="15"/>
              </w:rPr>
              <w:t xml:space="preserve">380</w:t>
            </w:r>
          </w:p>
        </w:tc>
        <w:tc>
          <w:tcPr>
            <w:tcW w:type="pct" w:w="949"/>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851"/>
            <w:tcMar>
              <w:top w:type="dxa" w:w="50"/>
              <w:left w:type="dxa" w:w="110"/>
              <w:bottom w:type="dxa" w:w="50"/>
              <w:right w:type="dxa" w:w="110"/>
            </w:tcMar>
          </w:tcPr>
          <w:p>
            <w:pPr>
              <w:spacing w:before="28" w:after="28"/>
            </w:pPr>
            <w:r>
              <w:rPr>
                <w:sz w:val="15"/>
                <w:szCs w:val="15"/>
              </w:rPr>
              <w:t xml:space="preserve">0</w:t>
            </w:r>
          </w:p>
        </w:tc>
        <w:tc>
          <w:tcPr>
            <w:tcW w:type="pct" w:w="949"/>
            <w:tcMar>
              <w:top w:type="dxa" w:w="50"/>
              <w:left w:type="dxa" w:w="110"/>
              <w:bottom w:type="dxa" w:w="50"/>
              <w:right w:type="dxa" w:w="110"/>
            </w:tcMar>
          </w:tcPr>
          <w:p>
            <w:pPr>
              <w:spacing w:before="28" w:after="28"/>
            </w:pPr>
            <w:r>
              <w:rPr>
                <w:sz w:val="15"/>
                <w:szCs w:val="15"/>
              </w:rPr>
              <w:t xml:space="preserve">30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851"/>
            <w:shd w:fill="FBFAF6" w:val="clear"/>
            <w:tcMar>
              <w:top w:type="dxa" w:w="50"/>
              <w:left w:type="dxa" w:w="110"/>
              <w:bottom w:type="dxa" w:w="50"/>
              <w:right w:type="dxa" w:w="110"/>
            </w:tcMar>
          </w:tcPr>
          <w:p>
            <w:pPr>
              <w:spacing w:before="28" w:after="28"/>
            </w:pPr>
            <w:r>
              <w:rPr>
                <w:sz w:val="15"/>
                <w:szCs w:val="15"/>
              </w:rPr>
              <w:t xml:space="preserve">1,050</w:t>
            </w:r>
          </w:p>
        </w:tc>
        <w:tc>
          <w:tcPr>
            <w:tcW w:type="pct" w:w="949"/>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Other 2026 cash information</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Proceeds from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70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851"/>
            <w:tcMar>
              <w:top w:type="dxa" w:w="50"/>
              <w:left w:type="dxa" w:w="110"/>
              <w:bottom w:type="dxa" w:w="50"/>
              <w:right w:type="dxa" w:w="110"/>
            </w:tcMar>
          </w:tcPr>
          <w:p>
            <w:pPr>
              <w:spacing w:before="28" w:after="28"/>
            </w:pPr>
            <w:r>
              <w:rPr>
                <w:sz w:val="15"/>
                <w:szCs w:val="15"/>
              </w:rPr>
              <w:t xml:space="preserve">150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Note installment repaid (Chapter 2, M1)</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851"/>
            <w:shd w:fill="FBFAF6" w:val="clear"/>
            <w:tcMar>
              <w:top w:type="dxa" w:w="50"/>
              <w:left w:type="dxa" w:w="110"/>
              <w:bottom w:type="dxa" w:w="50"/>
              <w:right w:type="dxa" w:w="110"/>
            </w:tcMar>
          </w:tcPr>
          <w:p>
            <w:pPr>
              <w:spacing w:before="28" w:after="28"/>
            </w:pPr>
            <w:r>
              <w:rPr>
                <w:sz w:val="15"/>
                <w:szCs w:val="15"/>
              </w:rPr>
              <w:t xml:space="preserve">50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Treasury stock bought (Chapter 4, E1)</w:t>
            </w:r>
          </w:p>
        </w:tc>
        <w:tc>
          <w:tcPr>
            <w:tcW w:type="pct" w:w="1851"/>
            <w:tcMar>
              <w:top w:type="dxa" w:w="50"/>
              <w:left w:type="dxa" w:w="110"/>
              <w:bottom w:type="dxa" w:w="50"/>
              <w:right w:type="dxa" w:w="110"/>
            </w:tcMar>
          </w:tcPr>
          <w:p>
            <w:pPr>
              <w:spacing w:before="28" w:after="28"/>
            </w:pPr>
            <w:r>
              <w:rPr>
                <w:sz w:val="15"/>
                <w:szCs w:val="15"/>
              </w:rPr>
              <w:t xml:space="preserve">480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851"/>
            <w:tcMar>
              <w:top w:type="dxa" w:w="50"/>
              <w:left w:type="dxa" w:w="110"/>
              <w:bottom w:type="dxa" w:w="50"/>
              <w:right w:type="dxa" w:w="110"/>
            </w:tcMar>
          </w:tcPr>
          <w:p>
            <w:pPr>
              <w:spacing w:before="28" w:after="28"/>
            </w:pPr>
            <w:r>
              <w:rPr>
                <w:sz w:val="15"/>
                <w:szCs w:val="15"/>
              </w:rPr>
              <w:t xml:space="preserve">121</w:t>
            </w:r>
          </w:p>
        </w:tc>
        <w:tc>
          <w:tcPr>
            <w:tcW w:type="pct" w:w="94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Investing   ·   Prepaid rent   ·   Income statement items, 2026   ·   Inventory   ·   Accounts payable   ·   Accounts receivable, net   ·   Proceeds from sale of the division   ·   Purchases of equipment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w:t>
            </w:r>
            <w:r>
              <w:rPr>
                <w:b/>
                <w:bCs/>
                <w:color w:val="8186EF"/>
                <w:sz w:val="14"/>
                <w:szCs w:val="14"/>
              </w:rPr>
              <w:t xml:space="preserve"> (27) </w:t>
            </w:r>
            <w:r>
              <w:rPr>
                <w:u w:val="single"/>
                <w:sz w:val="15"/>
                <w:szCs w:val="15"/>
              </w:rPr>
              <w:t xml:space="preserve">              </w:t>
            </w:r>
            <w:r>
              <w:rPr>
                <w:sz w:val="15"/>
                <w:szCs w:val="15"/>
              </w:rPr>
              <w:t xml:space="preserve"> </w:t>
            </w:r>
            <w:r>
              <w:rPr>
                <w:sz w:val="15"/>
                <w:szCs w:val="15"/>
              </w:rPr>
              <w:t xml:space="preserve">.</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Noncash investing and financing activity   ·   securities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operating activities   ·   Interest paid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statement of cash flows   ·   operating activities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Income statement items,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Proceeds from sale of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Purchases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Dividend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digital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definition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The links also help you find amounts that are not given. Orontes declared dividends of $450,000, but dividends payable rose by $400,000, so dividends paid were only $50,000. That is the amount in the financing section.</w:t>
      </w:r>
    </w:p>
    <w:p>
      <w:pPr>
        <w:spacing w:before="20" w:after="20"/>
        <w:ind w:left="240" w:hanging="240"/>
      </w:pPr>
      <w:r>
        <w:rPr>
          <w:b/>
          <w:bCs/>
          <w:color w:val="353A7C"/>
          <w:sz w:val="15"/>
          <w:szCs w:val="15"/>
        </w:rPr>
        <w:t xml:space="preserve">Summary 2   </w:t>
      </w:r>
      <w:r>
        <w:rPr>
          <w:color w:val="6B7280"/>
          <w:sz w:val="15"/>
          <w:szCs w:val="15"/>
        </w:rPr>
        <w:t xml:space="preserve">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2ccdcef03ee4613a15991a3f896b6b54d951f4d.png" Type="http://schemas.openxmlformats.org/officeDocument/2006/relationships/image"/><Relationship Id="rId102" Target="media/8db2abe1ddbaafa868e515fed5519dfe0d92bc90.png" Type="http://schemas.openxmlformats.org/officeDocument/2006/relationships/image"/><Relationship Id="rId103" Target="media/cc9a644d92103316c913de4bde48f6c0a6ffc573.png" Type="http://schemas.openxmlformats.org/officeDocument/2006/relationships/image"/><Relationship Id="rId104" Target="media/85eabf43db71974cbc38e28059b6e26880a3bf42.png" Type="http://schemas.openxmlformats.org/officeDocument/2006/relationships/image"/><Relationship Id="rId105" Target="media/cd050a3751879b5e2321c2fea9ec57d212e7bf58.png" Type="http://schemas.openxmlformats.org/officeDocument/2006/relationships/image"/><Relationship Id="rId106" Target="media/0e3dcc198ce4b402c04a40ded42335ed43da313a.png" Type="http://schemas.openxmlformats.org/officeDocument/2006/relationships/image"/><Relationship Id="rId107" Target="media/ac28cb4267294a1fdf891ef640e6c77a94e2cbd5.png" Type="http://schemas.openxmlformats.org/officeDocument/2006/relationships/image"/><Relationship Id="rId108" Target="media/597d787ba2590e6f9f4c217a0177cb97919cba7e.png" Type="http://schemas.openxmlformats.org/officeDocument/2006/relationships/image"/><Relationship Id="rId109" Target="media/34e9764ef4202ca17b3b2fa4bda7ca70638417e8.png" Type="http://schemas.openxmlformats.org/officeDocument/2006/relationships/image"/><Relationship Id="rId110" Target="media/9d21e786eb1cb89d97e9bbf8aac784cf0ebfcd79.png" Type="http://schemas.openxmlformats.org/officeDocument/2006/relationships/image"/><Relationship Id="rId111" Target="media/2a0f3c5eaad6fc83db91e67c1d2f13144fcb5c7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5</dc:title>
  <dc:subject>Summary handouts</dc:subject>
  <cp:category>Student Book</cp:category>
</cp:coreProperties>
</file>