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Recognizing and measuring receivables</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41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418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allowance for credit losses   ·   Recognizing and measuring receivables   ·   Transferring receivables: sale or secured borr</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A company records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receivable when its right to be paid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only the passage of time is needed before payment is due. </w:t>
      </w:r>
      <w:r>
        <w:rPr>
          <w:sz w:val="19"/>
          <w:szCs w:val="19"/>
        </w:rPr>
        <w:t xml:space="preserve">This usually happens when 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goods or services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control. </w:t>
      </w:r>
      <w:r>
        <w:rPr>
          <w:sz w:val="19"/>
          <w:szCs w:val="19"/>
        </w:rPr>
        <w:t xml:space="preserve">If the company still has to do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else before it can bill, for example finish a second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has a contract asset, not a receivable. </w:t>
      </w:r>
      <w:r>
        <w:rPr>
          <w:sz w:val="19"/>
          <w:szCs w:val="19"/>
        </w:rPr>
        <w:t xml:space="preserve">The receivable is measured 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price: the amount the company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receive. </w:t>
      </w:r>
      <w:r>
        <w:rPr>
          <w:sz w:val="19"/>
          <w:szCs w:val="19"/>
        </w:rPr>
        <w:t xml:space="preserve">Expected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rebates and cash discount amounts are variable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so they reduce revenue and the receivable. </w:t>
      </w:r>
      <w:r>
        <w:rPr>
          <w:sz w:val="19"/>
          <w:szCs w:val="19"/>
        </w:rPr>
        <w:t xml:space="preserve">Some older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still use the gross and net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Under the gross method, the company records the full invoice and records a sales discount only when a customer pays early. </w:t>
      </w:r>
      <w:r>
        <w:rPr>
          <w:sz w:val="19"/>
          <w:szCs w:val="19"/>
        </w:rPr>
        <w:t xml:space="preserve">Under the net method, it records the sale net of the discount, and records sales discounts forfeited when a customer pays late.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transfers   ·   unconditional   ·   transaction   ·   expects   ·   delivers   ·   something   ·   returns   ·   methods   ·   delivery   ·   questions   ·   account   ·   write-off   ·   consideration</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Trade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are due within one year are not discounted to present value. </w:t>
      </w:r>
      <w:r>
        <w:rPr>
          <w:sz w:val="19"/>
          <w:szCs w:val="19"/>
        </w:rPr>
        <w:t xml:space="preserve">Notes receivable are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note is carried at its face amount plus accrued interest. </w:t>
      </w:r>
      <w:r>
        <w:rPr>
          <w:sz w:val="19"/>
          <w:szCs w:val="19"/>
        </w:rPr>
        <w:t xml:space="preserve">A note with no interest, or with a rate below the market rate,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at its present value. </w:t>
      </w:r>
      <w:r>
        <w:rPr>
          <w:sz w:val="19"/>
          <w:szCs w:val="19"/>
        </w:rPr>
        <w:t xml:space="preserve">The discount is then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interest revenue over the life of the note.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recorded   ·   amortized   ·   invoice   ·   receivables   ·   interest-bearing   ·   different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Receivable or contract asset?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Receivable: only time must pass before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asset: the company must still perform. </w:t>
      </w:r>
      <w:r>
        <w:rPr>
          <w:sz w:val="19"/>
          <w:szCs w:val="19"/>
        </w:rPr>
        <w:t xml:space="preserve">Expected cash discounts and returns reduce the receivable at the start, not only when they happen.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Contract   ·   transaction   ·   payment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notes receivable   ·   secured borrowing   ·   contract asset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contract asset</w:t>
            </w:r>
          </w:p>
        </w:tc>
        <w:tc>
          <w:tcPr>
            <w:tcW w:type="pct" w:w="2600"/>
            <w:tcMar>
              <w:top w:type="dxa" w:w="50"/>
              <w:left w:type="dxa" w:w="110"/>
              <w:bottom w:type="dxa" w:w="50"/>
              <w:right w:type="dxa" w:w="110"/>
            </w:tcMar>
          </w:tcPr>
          <w:p>
            <w:pPr>
              <w:spacing w:before="26" w:after="26"/>
            </w:pPr>
            <w:r>
              <w:rPr>
                <w:color w:val="232733"/>
                <w:sz w:val="16"/>
                <w:szCs w:val="16"/>
              </w:rPr>
              <w:t xml:space="preserve">أصل العقد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تعجيل الدفع (خصم نقدي)</w:t>
            </w:r>
          </w:p>
        </w:tc>
      </w:tr>
      <w:tr>
        <w:tc>
          <w:tcPr>
            <w:tcW w:type="pct" w:w="2400"/>
            <w:tcMar>
              <w:top w:type="dxa" w:w="50"/>
              <w:left w:type="dxa" w:w="110"/>
              <w:bottom w:type="dxa" w:w="50"/>
              <w:right w:type="dxa" w:w="110"/>
            </w:tcMar>
          </w:tcPr>
          <w:p>
            <w:pPr>
              <w:spacing w:before="26" w:after="26"/>
            </w:pPr>
            <w:r>
              <w:rPr>
                <w:color w:val="232733"/>
                <w:sz w:val="16"/>
                <w:szCs w:val="16"/>
              </w:rPr>
              <w:t xml:space="preserve">notes receivable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القبض</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amortized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المستنفدة (التكلفة المطفأة)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Recognizing and measuring receivables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Recognizing and measuring 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Transferring receivables: sale or secured borr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unconditional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delivers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interest-bearing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recorded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amortized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contract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notes receivable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consideration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records an account receivable when its right to be paid is unconditional: only the passage of time is needed before payment is due. This usually happens when it delivers the goods or services and transfers control. If the company still has to do something else before it can bill, for example finish a second delivery, it has a contract asset, not a receivable. The receivable is measured at the transaction price: the amount the company expects to receive. Expected returns, rebates and cash discount amounts are variable consideration, so they reduce revenue and the receivable. Some older questions still use the gross and net methods. Under the gross method, the company records the full invoice and records a sales discount only when a customer pays early. Under the net method, it records the sale net of the discount, and records sales discounts forfeited when a customer pays late.</w:t>
      </w:r>
    </w:p>
    <w:p>
      <w:pPr>
        <w:spacing w:before="20" w:after="20"/>
        <w:ind w:left="240" w:hanging="240"/>
      </w:pPr>
      <w:r>
        <w:rPr>
          <w:b/>
          <w:bCs/>
          <w:color w:val="353A7C"/>
          <w:sz w:val="15"/>
          <w:szCs w:val="15"/>
        </w:rPr>
        <w:t xml:space="preserve">Summary 2   </w:t>
      </w:r>
      <w:r>
        <w:rPr>
          <w:color w:val="6B7280"/>
          <w:sz w:val="15"/>
          <w:szCs w:val="15"/>
        </w:rPr>
        <w:t xml:space="preserve">Trade receivables that are due within one year are not discounted to present value. Notes receivable are different. An interest-bearing note is carried at its face amount plus accrued interest. A note with no interest, or with a rate below the market rate, is recorded at its present value. The discount is then amortized to interest revenue over the life of the note.</w:t>
      </w:r>
    </w:p>
    <w:p>
      <w:pPr>
        <w:spacing w:before="20" w:after="20"/>
        <w:ind w:left="240" w:hanging="240"/>
      </w:pPr>
      <w:r>
        <w:rPr>
          <w:b/>
          <w:bCs/>
          <w:color w:val="353A7C"/>
          <w:sz w:val="15"/>
          <w:szCs w:val="15"/>
        </w:rPr>
        <w:t xml:space="preserve">Summary 3   </w:t>
      </w:r>
      <w:r>
        <w:rPr>
          <w:color w:val="6B7280"/>
          <w:sz w:val="15"/>
          <w:szCs w:val="15"/>
        </w:rPr>
        <w:t xml:space="preserve">Receivable: only time must pass before payment. Contract asset: the company must still perform. Expected cash discounts and returns reduce the receivable at the start, not only when they happen.</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allowance for credit losses</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Under current expected credit losses (CECL),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its receivables net of an allowance that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all the credit losses it expects over their life. </w:t>
      </w:r>
      <w:r>
        <w:rPr>
          <w:sz w:val="19"/>
          <w:szCs w:val="19"/>
        </w:rPr>
        <w:t xml:space="preserve">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these expected losses from the first day. </w:t>
      </w:r>
      <w:r>
        <w:rPr>
          <w:sz w:val="19"/>
          <w:szCs w:val="19"/>
        </w:rPr>
        <w:t xml:space="preserve">It does not wait until a loss becomes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estimate uses past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current conditions and reasonable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forecasts. </w:t>
      </w:r>
      <w:r>
        <w:rPr>
          <w:sz w:val="19"/>
          <w:szCs w:val="19"/>
        </w:rPr>
        <w:t xml:space="preserve">Trade receivables are measured 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and the allowance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account. </w:t>
      </w:r>
      <w:r>
        <w:rPr>
          <w:sz w:val="19"/>
          <w:szCs w:val="19"/>
        </w:rPr>
        <w:t xml:space="preserve">The balance sheet shows receivables minus the allowance: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company expects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method is the aging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company groups its receivables by how long they are past due and applies an expected loss rate to each group. </w:t>
      </w:r>
      <w:r>
        <w:rPr>
          <w:sz w:val="19"/>
          <w:szCs w:val="19"/>
        </w:rPr>
        <w:t xml:space="preserve">The rates start from history and are adjusted for current conditions and forecasts. </w:t>
      </w:r>
      <w:r>
        <w:rPr>
          <w:sz w:val="19"/>
          <w:szCs w:val="19"/>
        </w:rPr>
        <w:t xml:space="preserve">The total is the balance the allowance must have at the end of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experience   ·   supportable   ·   covers   ·   records   ·   collect   ·   expected   ·   common   ·   schedule   ·   presents   ·   amortized   ·   amount   ·   probable   ·   contra-asset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Amman sales office at December 31, 2025</w:t>
            </w:r>
          </w:p>
        </w:tc>
      </w:tr>
    </w:tbl>
    <w:p/>
    <w:p>
      <w:pPr>
        <w:spacing w:before="44" w:after="10"/>
      </w:pPr>
      <w:r>
        <w:rPr>
          <w:b/>
          <w:bCs/>
          <w:color w:val="353A7C"/>
          <w:sz w:val="18"/>
          <w:szCs w:val="18"/>
        </w:rPr>
        <w:t xml:space="preserve">Aging schedule, Orontes Amman sales office, December 31, 2025 (whole USD)</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8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82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 90 days past due   ·   61–90 days past due   ·   holdback (due from factor)</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15–26</w:t>
      </w:r>
    </w:p>
    <w:p>
      <w:pPr>
        <w:spacing w:before="20" w:after="20" w:line="360" w:lineRule="auto"/>
        <w:ind w:left="200"/>
      </w:pPr>
      <w:r>
        <w:rPr>
          <w:sz w:val="19"/>
          <w:szCs w:val="19"/>
        </w:rPr>
        <w:t xml:space="preserve">The allowance must end the year at $34,000. </w:t>
      </w:r>
      <w:r>
        <w:rPr>
          <w:sz w:val="19"/>
          <w:szCs w:val="19"/>
        </w:rPr>
        <w:t xml:space="preserve">During the year, the allowance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at $30,000, Orontes wrote off $26,000 of bad receivables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$2,000 that it had written off earlier. </w:t>
      </w:r>
      <w:r>
        <w:rPr>
          <w:sz w:val="19"/>
          <w:szCs w:val="19"/>
        </w:rPr>
        <w:t xml:space="preserve">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entry is: debit Credit loss expense $28,000, credit Allowance for credit losses $28,000. </w:t>
      </w:r>
      <w:r>
        <w:rPr>
          <w:sz w:val="19"/>
          <w:szCs w:val="19"/>
        </w:rPr>
        <w:t xml:space="preserve">Net receivables on the balance sheet are $660,000 − $34,000 = $626,000. </w:t>
      </w:r>
      <w:r>
        <w:rPr>
          <w:sz w:val="19"/>
          <w:szCs w:val="19"/>
        </w:rPr>
        <w:t xml:space="preserve">When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balance is clearly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company records a write-off: debit the allowance and credit accounts receivable. </w:t>
      </w:r>
      <w:r>
        <w:rPr>
          <w:sz w:val="19"/>
          <w:szCs w:val="19"/>
        </w:rPr>
        <w:t xml:space="preserve">The write-off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neither net income nor net receivables, because the expense was already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when the allowance was built. </w:t>
      </w:r>
      <w:r>
        <w:rPr>
          <w:sz w:val="19"/>
          <w:szCs w:val="19"/>
        </w:rPr>
        <w:t xml:space="preserve">If the customer later pays, the company records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it first reinstates the receivable (debit accounts receivable, credit allowance) and then records the cash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Older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sometimes estimate the expense as a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of credit sales. </w:t>
      </w:r>
      <w:r>
        <w:rPr>
          <w:sz w:val="19"/>
          <w:szCs w:val="19"/>
        </w:rPr>
        <w:t xml:space="preserve">This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approach does not measure the expected losses on the ending receivables, so under CECL the aging (balance-sheet) approach is the better choice.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recorded   ·   collection   ·   percentage   ·   customer's   ·   probable   ·   questions   ·   recovery   ·   income-statement   ·   recovered   ·   started   ·   uncollectible   ·   journal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 Wholesale's allowance</w:t>
            </w:r>
          </w:p>
        </w:tc>
      </w:tr>
    </w:tbl>
    <w:p/>
    <w:p>
      <w:pPr>
        <w:spacing w:before="44" w:after="14"/>
      </w:pPr>
      <w:r>
        <w:rPr>
          <w:b/>
          <w:bCs/>
          <w:color w:val="353A7C"/>
          <w:sz w:val="18"/>
          <w:szCs w:val="18"/>
        </w:rPr>
        <w:t xml:space="preserve">Summary 3</w:t>
      </w:r>
      <w:r>
        <w:rPr>
          <w:color w:val="6B7280"/>
          <w:sz w:val="16"/>
          <w:szCs w:val="16"/>
        </w:rPr>
        <w:t xml:space="preserve">      gaps 27–28</w:t>
      </w:r>
    </w:p>
    <w:p>
      <w:pPr>
        <w:spacing w:before="20" w:after="20" w:line="360" w:lineRule="auto"/>
        <w:ind w:left="200"/>
      </w:pPr>
      <w:r>
        <w:rPr>
          <w:sz w:val="19"/>
          <w:szCs w:val="19"/>
        </w:rPr>
        <w:t xml:space="preserve">The first row is done. </w:t>
      </w:r>
      <w:r>
        <w:rPr>
          <w:sz w:val="19"/>
          <w:szCs w:val="19"/>
        </w:rPr>
        <w:t xml:space="preserve"/>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the other rows and the total, then check your total against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trial balance.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Barada's   ·   Complete   ·   financial</w:t>
            </w:r>
          </w:p>
        </w:tc>
      </w:tr>
    </w:tbl>
    <w:p/>
    <w:p>
      <w:pPr>
        <w:spacing w:before="44" w:after="10"/>
      </w:pPr>
      <w:r>
        <w:rPr>
          <w:b/>
          <w:bCs/>
          <w:color w:val="353A7C"/>
          <w:sz w:val="18"/>
          <w:szCs w:val="18"/>
        </w:rPr>
        <w:t xml:space="preserve">Barada Wholesale aging, December 31, 2025 (whole USD): complete the blanks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1–60 days past due   ·   allowance for credit losses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30–40</w:t>
      </w:r>
    </w:p>
    <w:p>
      <w:pPr>
        <w:spacing w:before="20" w:after="20" w:line="360" w:lineRule="auto"/>
        <w:ind w:left="200"/>
      </w:pPr>
      <w:r>
        <w:rPr>
          <w:sz w:val="19"/>
          <w:szCs w:val="19"/>
        </w:rPr>
        <w:t xml:space="preserve">In 2025 the FASB added a practical expedient: when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losses on current receivables, any company may assume that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at the balance sheet date will not change. </w:t>
      </w:r>
      <w:r>
        <w:rPr>
          <w:sz w:val="19"/>
          <w:szCs w:val="19"/>
        </w:rPr>
        <w:t xml:space="preserve"/>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companies may also use cash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after year-end. </w:t>
      </w:r>
      <w:r>
        <w:rPr>
          <w:sz w:val="19"/>
          <w:szCs w:val="19"/>
        </w:rPr>
        <w:t xml:space="preserve">It applies to annual periods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after December 15, 2025, so under the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rule it is not yet tested on the CMA exam. </w:t>
      </w:r>
      <w:r>
        <w:rPr>
          <w:sz w:val="19"/>
          <w:szCs w:val="19"/>
        </w:rPr>
        <w:t xml:space="preserve">IFRS 9 also uses expected losses. </w:t>
      </w:r>
      <w:r>
        <w:rPr>
          <w:sz w:val="19"/>
          <w:szCs w:val="19"/>
        </w:rPr>
        <w:t xml:space="preserve">For trade receivables it uses a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approach that always records lifetime losses, often with a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matrix, which is very close to CECL. </w:t>
      </w:r>
      <w:r>
        <w:rPr>
          <w:sz w:val="19"/>
          <w:szCs w:val="19"/>
        </w:rPr>
        <w:t xml:space="preserve">For other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assets, IFRS 9 starts with 12-month expected losses and moves to lifetime losses only after credit risk increases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w:t>
      </w:r>
      <w:r>
        <w:rPr>
          <w:sz w:val="19"/>
          <w:szCs w:val="19"/>
        </w:rPr>
        <w:t xml:space="preserve">CECL records lifetime losses from day one for all assets at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year-end   ·   conditions   ·   collected   ·   significantly   ·   one-year   ·   forecasting   ·   provision   ·   simplified   ·   beginning   ·   amortized   ·   Private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Allowance or provision?</w:t>
            </w:r>
          </w:p>
        </w:tc>
      </w:tr>
    </w:tbl>
    <w:p/>
    <w:p>
      <w:pPr>
        <w:spacing w:before="44" w:after="14"/>
      </w:pPr>
      <w:r>
        <w:rPr>
          <w:b/>
          <w:bCs/>
          <w:color w:val="353A7C"/>
          <w:sz w:val="18"/>
          <w:szCs w:val="18"/>
        </w:rPr>
        <w:t xml:space="preserve">Summary 5</w:t>
      </w:r>
      <w:r>
        <w:rPr>
          <w:color w:val="6B7280"/>
          <w:sz w:val="16"/>
          <w:szCs w:val="16"/>
        </w:rPr>
        <w:t xml:space="preserve">      gaps 41–43</w:t>
      </w:r>
    </w:p>
    <w:p>
      <w:pPr>
        <w:spacing w:before="20" w:after="20" w:line="360" w:lineRule="auto"/>
        <w:ind w:left="200"/>
      </w:pPr>
      <w:r>
        <w:rPr>
          <w:sz w:val="19"/>
          <w:szCs w:val="19"/>
        </w:rPr>
        <w:t xml:space="preserve">An allowance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an asset. </w:t>
      </w:r>
      <w:r>
        <w:rPr>
          <w:sz w:val="19"/>
          <w:szCs w:val="19"/>
        </w:rPr>
        <w:t xml:space="preserve">A provision under IAS 37 is a </w:t>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w:t>
      </w:r>
      <w:r>
        <w:rPr>
          <w:sz w:val="19"/>
          <w:szCs w:val="19"/>
        </w:rPr>
        <w:t xml:space="preserve">In a U.S. GAAP answer, always write allowance for credit losses, never provision for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debts or reserve for bad debts.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records   ·   reduces   ·   doubtful   ·   liability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Balance first, then the expense</w:t>
            </w:r>
          </w:p>
        </w:tc>
      </w:tr>
    </w:tbl>
    <w:p/>
    <w:p>
      <w:pPr>
        <w:spacing w:before="44" w:after="14"/>
      </w:pPr>
      <w:r>
        <w:rPr>
          <w:b/>
          <w:bCs/>
          <w:color w:val="353A7C"/>
          <w:sz w:val="18"/>
          <w:szCs w:val="18"/>
        </w:rPr>
        <w:t xml:space="preserve">Summary 6</w:t>
      </w:r>
      <w:r>
        <w:rPr>
          <w:color w:val="6B7280"/>
          <w:sz w:val="16"/>
          <w:szCs w:val="16"/>
        </w:rPr>
        <w:t xml:space="preserve">      gaps 44–46</w:t>
      </w:r>
    </w:p>
    <w:p>
      <w:pPr>
        <w:spacing w:before="20" w:after="20" w:line="360" w:lineRule="auto"/>
        <w:ind w:left="200"/>
      </w:pPr>
      <w:r>
        <w:rPr>
          <w:sz w:val="19"/>
          <w:szCs w:val="19"/>
        </w:rPr>
        <w:t xml:space="preserve">The aging gives the required ENDING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not the expense. </w:t>
      </w:r>
      <w:r>
        <w:rPr>
          <w:sz w:val="19"/>
          <w:szCs w:val="19"/>
        </w:rPr>
        <w:t xml:space="preserve">Expense = required balance − unadjusted </w:t>
      </w:r>
      <w:r>
        <w:rPr>
          <w:b/>
          <w:bCs/>
          <w:color w:val="8186EF"/>
          <w:sz w:val="15"/>
          <w:szCs w:val="15"/>
        </w:rPr>
        <w:t xml:space="preserve"> (45) </w:t>
      </w:r>
      <w:r>
        <w:rPr>
          <w:u w:val="single"/>
          <w:sz w:val="19"/>
          <w:szCs w:val="19"/>
        </w:rPr>
        <w:t xml:space="preserve">           </w:t>
      </w:r>
      <w:r>
        <w:rPr>
          <w:sz w:val="19"/>
          <w:szCs w:val="19"/>
        </w:rPr>
        <w:t xml:space="preserve"> </w:t>
      </w:r>
      <w:r>
        <w:rPr>
          <w:sz w:val="19"/>
          <w:szCs w:val="19"/>
        </w:rPr>
        <w:t xml:space="preserve"> balance, or required balance + unadjusted debit balance. </w:t>
      </w:r>
      <w:r>
        <w:rPr>
          <w:sz w:val="19"/>
          <w:szCs w:val="19"/>
        </w:rPr>
        <w:t xml:space="preserve">A </w:t>
      </w:r>
      <w:r>
        <w:rPr>
          <w:b/>
          <w:bCs/>
          <w:color w:val="8186EF"/>
          <w:sz w:val="15"/>
          <w:szCs w:val="15"/>
        </w:rPr>
        <w:t xml:space="preserve"> (46) </w:t>
      </w:r>
      <w:r>
        <w:rPr>
          <w:u w:val="single"/>
          <w:sz w:val="19"/>
          <w:szCs w:val="19"/>
        </w:rPr>
        <w:t xml:space="preserve">           </w:t>
      </w:r>
      <w:r>
        <w:rPr>
          <w:sz w:val="19"/>
          <w:szCs w:val="19"/>
        </w:rPr>
        <w:t xml:space="preserve"> </w:t>
      </w:r>
      <w:r>
        <w:rPr>
          <w:sz w:val="19"/>
          <w:szCs w:val="19"/>
        </w:rPr>
        <w:t xml:space="preserve"> does not change net income or net receivables.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approach   ·   credit   ·   write-off   ·   allowance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Allowance method (CECL) versus direct write-off method, Amman sales office 2025 (whole USD)</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Allowance method (CECL)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Direct write-off method</w:t>
            </w:r>
          </w:p>
        </w:tc>
      </w:tr>
      <w:tr>
        <w:tc>
          <w:tcPr>
            <w:tcW w:type="pct" w:w="2042"/>
            <w:tcMar>
              <w:top w:type="dxa" w:w="50"/>
              <w:left w:type="dxa" w:w="110"/>
              <w:bottom w:type="dxa" w:w="50"/>
              <w:right w:type="dxa" w:w="110"/>
            </w:tcMar>
          </w:tcPr>
          <w:p>
            <w:pPr>
              <w:spacing w:before="28" w:after="28"/>
            </w:pPr>
            <w:r>
              <w:rPr>
                <w:sz w:val="15"/>
                <w:szCs w:val="15"/>
              </w:rPr>
              <w:t xml:space="preserve">When is the expense recorded?</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(47)</w:t>
            </w:r>
          </w:p>
        </w:tc>
        <w:tc>
          <w:tcPr>
            <w:tcW w:type="pct" w:w="2200"/>
            <w:tcMar>
              <w:top w:type="dxa" w:w="50"/>
              <w:left w:type="dxa" w:w="110"/>
              <w:bottom w:type="dxa" w:w="50"/>
              <w:right w:type="dxa" w:w="110"/>
            </w:tcMar>
          </w:tcPr>
          <w:p>
            <w:pPr>
              <w:spacing w:before="28" w:after="28"/>
            </w:pPr>
            <w:r>
              <w:rPr>
                <w:sz w:val="15"/>
                <w:szCs w:val="15"/>
              </w:rPr>
              <w:t xml:space="preserve">Only when a customer's balance is written off</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Expense in 2025 (Amman office)</w:t>
            </w:r>
          </w:p>
        </w:tc>
        <w:tc>
          <w:tcPr>
            <w:tcW w:type="pct" w:w="758"/>
            <w:shd w:fill="FBFAF6" w:val="clear"/>
            <w:tcMar>
              <w:top w:type="dxa" w:w="50"/>
              <w:left w:type="dxa" w:w="110"/>
              <w:bottom w:type="dxa" w:w="50"/>
              <w:right w:type="dxa" w:w="110"/>
            </w:tcMar>
          </w:tcPr>
          <w:p>
            <w:pPr>
              <w:spacing w:before="28" w:after="28"/>
            </w:pPr>
            <w:r>
              <w:rPr>
                <w:sz w:val="15"/>
                <w:szCs w:val="15"/>
              </w:rPr>
              <w:t xml:space="preserve">28,000</w:t>
            </w:r>
          </w:p>
        </w:tc>
        <w:tc>
          <w:tcPr>
            <w:tcW w:type="pct" w:w="2200"/>
            <w:shd w:fill="FBFAF6" w:val="clear"/>
            <w:tcMar>
              <w:top w:type="dxa" w:w="50"/>
              <w:left w:type="dxa" w:w="110"/>
              <w:bottom w:type="dxa" w:w="50"/>
              <w:right w:type="dxa" w:w="110"/>
            </w:tcMar>
          </w:tcPr>
          <w:p>
            <w:pPr>
              <w:spacing w:before="28" w:after="28"/>
            </w:pPr>
            <w:r>
              <w:rPr>
                <w:sz w:val="15"/>
                <w:szCs w:val="15"/>
              </w:rPr>
              <w:t xml:space="preserve">26,000</w:t>
            </w:r>
          </w:p>
        </w:tc>
      </w:tr>
      <w:tr>
        <w:tc>
          <w:tcPr>
            <w:tcW w:type="pct" w:w="2042"/>
            <w:tcMar>
              <w:top w:type="dxa" w:w="50"/>
              <w:left w:type="dxa" w:w="110"/>
              <w:bottom w:type="dxa" w:w="50"/>
              <w:right w:type="dxa" w:w="110"/>
            </w:tcMar>
          </w:tcPr>
          <w:p>
            <w:pPr>
              <w:spacing w:before="28" w:after="28"/>
            </w:pPr>
            <w:r>
              <w:rPr>
                <w:sz w:val="15"/>
                <w:szCs w:val="15"/>
              </w:rPr>
              <w:t xml:space="preserve">Receivables on the balance sheet</w:t>
            </w:r>
          </w:p>
        </w:tc>
        <w:tc>
          <w:tcPr>
            <w:tcW w:type="pct" w:w="758"/>
            <w:tcMar>
              <w:top w:type="dxa" w:w="50"/>
              <w:left w:type="dxa" w:w="110"/>
              <w:bottom w:type="dxa" w:w="50"/>
              <w:right w:type="dxa" w:w="110"/>
            </w:tcMar>
          </w:tcPr>
          <w:p>
            <w:pPr>
              <w:spacing w:before="28" w:after="28"/>
            </w:pPr>
            <w:r>
              <w:rPr>
                <w:sz w:val="15"/>
                <w:szCs w:val="15"/>
              </w:rPr>
              <w:t xml:space="preserve">Net: 626,000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(48)</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Acceptable under U.S. GAAP?</w:t>
            </w:r>
          </w:p>
        </w:tc>
        <w:tc>
          <w:tcPr>
            <w:tcW w:type="pct" w:w="758"/>
            <w:shd w:fill="FBFAF6" w:val="clear"/>
            <w:tcMar>
              <w:top w:type="dxa" w:w="50"/>
              <w:left w:type="dxa" w:w="110"/>
              <w:bottom w:type="dxa" w:w="50"/>
              <w:right w:type="dxa" w:w="110"/>
            </w:tcMar>
          </w:tcPr>
          <w:p>
            <w:pPr>
              <w:spacing w:before="28" w:after="28"/>
            </w:pPr>
            <w:r>
              <w:rPr>
                <w:sz w:val="15"/>
                <w:szCs w:val="15"/>
              </w:rPr>
              <w:t xml:space="preserve">Yes (CECL)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Each period, for expected losses (matching)   ·   Over 60 days past due   ·   Gross: 660,000 (overstated)   ·   No, when bad debts are material; used for U.S. tax</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expected credit losses (CECL)   ·   aging schedule   ·   write-off   ·   factor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7"/>
        <w:gridCol w:w="481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3"/>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507"/>
            <w:tcMar>
              <w:top w:type="dxa" w:w="50"/>
              <w:left w:type="dxa" w:w="110"/>
              <w:bottom w:type="dxa" w:w="50"/>
              <w:right w:type="dxa" w:w="110"/>
            </w:tcMar>
          </w:tcPr>
          <w:p>
            <w:pPr>
              <w:spacing w:before="26" w:after="26"/>
            </w:pPr>
            <w:r>
              <w:rPr>
                <w:color w:val="232733"/>
                <w:sz w:val="16"/>
                <w:szCs w:val="16"/>
              </w:rPr>
              <w:t xml:space="preserve">الخسائر الائتمانية المتوقعة الحالية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جدول أعمار الذمم المدينة</w:t>
            </w:r>
          </w:p>
        </w:tc>
      </w:tr>
      <w:tr>
        <w:tc>
          <w:tcPr>
            <w:tcW w:type="pct" w:w="2493"/>
            <w:tcMar>
              <w:top w:type="dxa" w:w="50"/>
              <w:left w:type="dxa" w:w="110"/>
              <w:bottom w:type="dxa" w:w="50"/>
              <w:right w:type="dxa" w:w="110"/>
            </w:tcMar>
          </w:tcPr>
          <w:p>
            <w:pPr>
              <w:spacing w:before="26" w:after="26"/>
            </w:pPr>
            <w:r>
              <w:rPr>
                <w:color w:val="232733"/>
                <w:sz w:val="16"/>
                <w:szCs w:val="16"/>
              </w:rPr>
              <w:t xml:space="preserve">credit loss expense</w:t>
            </w:r>
          </w:p>
        </w:tc>
        <w:tc>
          <w:tcPr>
            <w:tcW w:type="pct" w:w="2507"/>
            <w:tcMar>
              <w:top w:type="dxa" w:w="50"/>
              <w:left w:type="dxa" w:w="110"/>
              <w:bottom w:type="dxa" w:w="50"/>
              <w:right w:type="dxa" w:w="110"/>
            </w:tcMar>
          </w:tcPr>
          <w:p>
            <w:pPr>
              <w:spacing w:before="26" w:after="26"/>
            </w:pPr>
            <w:r>
              <w:rPr>
                <w:color w:val="232733"/>
                <w:sz w:val="16"/>
                <w:szCs w:val="16"/>
              </w:rPr>
              <w:t xml:space="preserve">مصروف الخسائر الائتمانية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شطب (إعدام) الدين</w:t>
            </w:r>
          </w:p>
        </w:tc>
      </w:tr>
      <w:tr>
        <w:tc>
          <w:tcPr>
            <w:tcW w:type="pct" w:w="2493"/>
            <w:tcMar>
              <w:top w:type="dxa" w:w="50"/>
              <w:left w:type="dxa" w:w="110"/>
              <w:bottom w:type="dxa" w:w="50"/>
              <w:right w:type="dxa" w:w="110"/>
            </w:tcMar>
          </w:tcPr>
          <w:p>
            <w:pPr>
              <w:spacing w:before="26" w:after="26"/>
            </w:pPr>
            <w:r>
              <w:rPr>
                <w:color w:val="232733"/>
                <w:sz w:val="16"/>
                <w:szCs w:val="16"/>
              </w:rPr>
              <w:t xml:space="preserve">recovery</w:t>
            </w:r>
          </w:p>
        </w:tc>
        <w:tc>
          <w:tcPr>
            <w:tcW w:type="pct" w:w="2507"/>
            <w:tcMar>
              <w:top w:type="dxa" w:w="50"/>
              <w:left w:type="dxa" w:w="110"/>
              <w:bottom w:type="dxa" w:w="50"/>
              <w:right w:type="dxa" w:w="110"/>
            </w:tcMar>
          </w:tcPr>
          <w:p>
            <w:pPr>
              <w:spacing w:before="26" w:after="26"/>
            </w:pPr>
            <w:r>
              <w:rPr>
                <w:color w:val="232733"/>
                <w:sz w:val="16"/>
                <w:szCs w:val="16"/>
              </w:rPr>
              <w:t xml:space="preserve">استرداد دين مشطوب</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طريقة الشطب المباشر</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allowance for credit losses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presents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Barada's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1–60 days past 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probable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forecasting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experience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conditions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supportable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Private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amortized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collected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contra-asset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one-year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collect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simplified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provision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schedule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61–90 days past due</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significantly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Over 90 days past due</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amortized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reduces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recovered</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doubtful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allowance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uncollectible</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write-off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Each period, for expected losses (matching)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recovery</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Gross: 660,000 (overstated)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No, when bad debts are material; used for U.S.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current expected credit losses (CECL)</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aging 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income-statement</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write-off</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current expected credit losses (CECL), a company presents its receivables net of an allowance that covers all the credit losses it expects over their life. It records these expected losses from the first day. It does not wait until a loss becomes probable. The estimate uses past experience, current conditions and reasonable and supportable forecasts. Trade receivables are measured at amortized cost, and the allowance is a contra-asset account. The balance sheet shows receivables minus the allowance: the amount the company expects to collect. A common method is the aging schedule. The company groups its receivables by how long they are past due and applies an expected loss rate to each group. The rates start from history and are adjusted for current conditions and forecasts. The total is the balance the allowance must have at the end of the year.</w:t>
      </w:r>
    </w:p>
    <w:p>
      <w:pPr>
        <w:spacing w:before="20" w:after="20"/>
        <w:ind w:left="240" w:hanging="240"/>
      </w:pPr>
      <w:r>
        <w:rPr>
          <w:b/>
          <w:bCs/>
          <w:color w:val="353A7C"/>
          <w:sz w:val="15"/>
          <w:szCs w:val="15"/>
        </w:rPr>
        <w:t xml:space="preserve">Summary 2   </w:t>
      </w:r>
      <w:r>
        <w:rPr>
          <w:color w:val="6B7280"/>
          <w:sz w:val="15"/>
          <w:szCs w:val="15"/>
        </w:rPr>
        <w:t xml:space="preserve">The allowance must end the year at $34,000. During the year, the allowance started at $30,000, Orontes wrote off $26,000 of bad receivables and recovered $2,000 that it had written off earlier. The journal entry is: debit Credit loss expense $28,000, credit Allowance for credit losses $28,000. Net receivables on the balance sheet are $660,000 − $34,000 = $626,000. When a customer's balance is clearly uncollectible, the company records a write-off: debit the allowance and credit accounts receivable. The write-off changes neither net income nor net receivables, because the expense was already recorded when the allowance was built. If the customer later pays, the company records a recovery: it first reinstates the receivable (debit accounts receivable, credit allowance) and then records the cash collection. Older questions sometimes estimate the expense as a percentage of credit sales. This income-statement approach does not measure the expected losses on the ending receivables, so under CECL the aging (balance-sheet) approach is the better choice.</w:t>
      </w:r>
    </w:p>
    <w:p>
      <w:pPr>
        <w:spacing w:before="20" w:after="20"/>
        <w:ind w:left="240" w:hanging="240"/>
      </w:pPr>
      <w:r>
        <w:rPr>
          <w:b/>
          <w:bCs/>
          <w:color w:val="353A7C"/>
          <w:sz w:val="15"/>
          <w:szCs w:val="15"/>
        </w:rPr>
        <w:t xml:space="preserve">Summary 3   </w:t>
      </w:r>
      <w:r>
        <w:rPr>
          <w:color w:val="6B7280"/>
          <w:sz w:val="15"/>
          <w:szCs w:val="15"/>
        </w:rPr>
        <w:t xml:space="preserve">The first row is done. Complete the other rows and the total, then check your total against Barada's trial balance.</w:t>
      </w:r>
    </w:p>
    <w:p>
      <w:pPr>
        <w:spacing w:before="20" w:after="20"/>
        <w:ind w:left="240" w:hanging="240"/>
      </w:pPr>
      <w:r>
        <w:rPr>
          <w:b/>
          <w:bCs/>
          <w:color w:val="353A7C"/>
          <w:sz w:val="15"/>
          <w:szCs w:val="15"/>
        </w:rPr>
        <w:t xml:space="preserve">Summary 4   </w:t>
      </w:r>
      <w:r>
        <w:rPr>
          <w:color w:val="6B7280"/>
          <w:sz w:val="15"/>
          <w:szCs w:val="15"/>
        </w:rPr>
        <w:t xml:space="preserve">In 2025 the FASB added a practical expedient: when forecasting losses on current receivables, any company may assume that conditions at the balance sheet date will not change. Private companies may also use cash collected after year-end. It applies to annual periods beginning after December 15, 2025, so under the one-year rule it is not yet tested on the CMA exam. IFRS 9 also uses expected losses. For trade receivables it uses a simplified approach that always records lifetime losses, often with a provision matrix, which is very close to CECL. For other financial assets, IFRS 9 starts with 12-month expected losses and moves to lifetime losses only after credit risk increases significantly. CECL records lifetime losses from day one for all assets at amortized cost.</w:t>
      </w:r>
    </w:p>
    <w:p>
      <w:pPr>
        <w:spacing w:before="20" w:after="20"/>
        <w:ind w:left="240" w:hanging="240"/>
      </w:pPr>
      <w:r>
        <w:rPr>
          <w:b/>
          <w:bCs/>
          <w:color w:val="353A7C"/>
          <w:sz w:val="15"/>
          <w:szCs w:val="15"/>
        </w:rPr>
        <w:t xml:space="preserve">Summary 5   </w:t>
      </w:r>
      <w:r>
        <w:rPr>
          <w:color w:val="6B7280"/>
          <w:sz w:val="15"/>
          <w:szCs w:val="15"/>
        </w:rPr>
        <w:t xml:space="preserve">An allowance reduces an asset. A provision under IAS 37 is a liability. In a U.S. GAAP answer, always write allowance for credit losses, never provision for doubtful debts or reserve for bad debts.</w:t>
      </w:r>
    </w:p>
    <w:p>
      <w:pPr>
        <w:spacing w:before="20" w:after="20"/>
        <w:ind w:left="240" w:hanging="240"/>
      </w:pPr>
      <w:r>
        <w:rPr>
          <w:b/>
          <w:bCs/>
          <w:color w:val="353A7C"/>
          <w:sz w:val="15"/>
          <w:szCs w:val="15"/>
        </w:rPr>
        <w:t xml:space="preserve">Summary 6   </w:t>
      </w:r>
      <w:r>
        <w:rPr>
          <w:color w:val="6B7280"/>
          <w:sz w:val="15"/>
          <w:szCs w:val="15"/>
        </w:rPr>
        <w:t xml:space="preserve">The aging gives the required ENDING allowance, not the expense. Expense = required balance − unadjusted credit balance, or required balance + unadjusted debit balance. A write-off does not change net income or net receivables.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Transferring receivables: sale or secured borrowing?</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U.S. GAAP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transfer as a sale only if three conditions are all met. </w:t>
      </w:r>
      <w:r>
        <w:rPr>
          <w:sz w:val="19"/>
          <w:szCs w:val="19"/>
        </w:rPr>
        <w:t xml:space="preserve">Recourse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right to collect from the seller if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do not pay. </w:t>
      </w:r>
      <w:r>
        <w:rPr>
          <w:sz w:val="19"/>
          <w:szCs w:val="19"/>
        </w:rPr>
        <w:t xml:space="preserve">Recourse does not by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make the transfer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If the three conditions are met, a transfer with recourse is still a sale. </w:t>
      </w:r>
      <w:r>
        <w:rPr>
          <w:sz w:val="19"/>
          <w:szCs w:val="19"/>
        </w:rPr>
        <w:t xml:space="preserve">The seller then records a recourse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its fair value, which increases the loss on the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receivables   ·   liability   ·   itself   ·   customers   ·   treats   ·   factor's   ·   borrowing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factors its receivables</w:t>
            </w:r>
          </w:p>
        </w:tc>
      </w:tr>
    </w:tbl>
    <w:p/>
    <w:p>
      <w:pPr>
        <w:spacing w:before="44" w:after="10"/>
      </w:pPr>
      <w:r>
        <w:rPr>
          <w:b/>
          <w:bCs/>
          <w:color w:val="353A7C"/>
          <w:sz w:val="18"/>
          <w:szCs w:val="18"/>
        </w:rPr>
        <w:t xml:space="preserve">The steps, in order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5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56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legal isolation   ·   the seller does not keep effective control   ·   credit loss expense</w:t>
            </w:r>
          </w:p>
        </w:tc>
      </w:tr>
    </w:tbl>
    <w:p/>
    <w:p>
      <w:pPr>
        <w:spacing w:before="44" w:after="14"/>
      </w:pPr>
      <w:r>
        <w:rPr>
          <w:b/>
          <w:bCs/>
          <w:color w:val="353A7C"/>
          <w:sz w:val="18"/>
          <w:szCs w:val="18"/>
        </w:rPr>
        <w:t xml:space="preserve">Summary 2</w:t>
      </w:r>
      <w:r>
        <w:rPr>
          <w:color w:val="6B7280"/>
          <w:sz w:val="16"/>
          <w:szCs w:val="16"/>
        </w:rPr>
        <w:t xml:space="preserve">      gaps 9–20</w:t>
      </w:r>
    </w:p>
    <w:p>
      <w:pPr>
        <w:spacing w:before="20" w:after="20" w:line="360" w:lineRule="auto"/>
        <w:ind w:left="200"/>
      </w:pPr>
      <w:r>
        <w:rPr>
          <w:sz w:val="19"/>
          <w:szCs w:val="19"/>
        </w:rPr>
        <w:t xml:space="preserve">Orontes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receivables with a carrying amount of $500,000 to Gulf Factor Co. The factor charges a fee of 3% ($15,000) and keeps a holdback (due from factor) of 5% ($25,000) to cover returns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Orontes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$460,000 in cash. </w:t>
      </w:r>
      <w:r>
        <w:rPr>
          <w:sz w:val="19"/>
          <w:szCs w:val="19"/>
        </w:rPr>
        <w:t xml:space="preserve">Sale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recourse: debit Cash $460,000, debit Due from factor $25,000, debit Loss on sale of receivables $15,000; credit Accounts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$500,000. </w:t>
      </w:r>
      <w:r>
        <w:rPr>
          <w:sz w:val="19"/>
          <w:szCs w:val="19"/>
        </w:rPr>
        <w:t xml:space="preserve">Sale with recourse (recourse liability $6,000): the same entry, but the loss is $21,000 and Orontes also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Recourse liability $6,000. </w:t>
      </w:r>
      <w:r>
        <w:rPr>
          <w:sz w:val="19"/>
          <w:szCs w:val="19"/>
        </w:rPr>
        <w:t xml:space="preserve">Secured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debit Cash $460,000, debit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expense $15,000; credit Liability to factor $475,000. </w:t>
      </w:r>
      <w:r>
        <w:rPr>
          <w:sz w:val="19"/>
          <w:szCs w:val="19"/>
        </w:rPr>
        <w:t xml:space="preserve">The receivables stay on the balance sheet, marked as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balance sheet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the main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companies care. </w:t>
      </w:r>
      <w:r>
        <w:rPr>
          <w:sz w:val="19"/>
          <w:szCs w:val="19"/>
        </w:rPr>
        <w:t xml:space="preserve">A sale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 receivables and adds little or no debt, so ratios such as debt to equity look better.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pledged   ·   receivable   ·   records   ·   credits   ·   receives   ·   effect   ·   borrowing   ·   Interest   ·   removes   ·   transfers   ·   reason   ·   discounts   ·   without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21–27</w:t>
      </w:r>
    </w:p>
    <w:p>
      <w:pPr>
        <w:spacing w:before="20" w:after="20" w:line="360" w:lineRule="auto"/>
        <w:ind w:left="200"/>
      </w:pPr>
      <w:r>
        <w:rPr>
          <w:sz w:val="19"/>
          <w:szCs w:val="19"/>
        </w:rPr>
        <w:t xml:space="preserve">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borrowing keeps the receivables and adds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Lenders and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read the notes to see which receivables are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or transferred. </w:t>
      </w:r>
      <w:r>
        <w:rPr>
          <w:sz w:val="19"/>
          <w:szCs w:val="19"/>
        </w:rPr>
        <w:t xml:space="preserve">IFRS 9 asks first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seller has transferred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all the risks and rewards of the receivables. </w:t>
      </w:r>
      <w:r>
        <w:rPr>
          <w:sz w:val="19"/>
          <w:szCs w:val="19"/>
        </w:rPr>
        <w:t xml:space="preserve"/>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with substantial recourse usually keeps most of the risk with the seller, so under IFRS it often fails derecognition and is treated as borrowing. </w:t>
      </w:r>
      <w:r>
        <w:rPr>
          <w:sz w:val="19"/>
          <w:szCs w:val="19"/>
        </w:rPr>
        <w:t xml:space="preserve">Under U.S. GAAP the same transfer may qualify as a sale if the three ASC 860 conditions are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analysts   ·   substantially   ·   whether   ·   Lenders   ·   liability   ·   Factoring   ·   pledged   ·   secured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Recourse is not the test</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Do not assume that every transfer with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is a borrowing. </w:t>
      </w:r>
      <w:r>
        <w:rPr>
          <w:sz w:val="19"/>
          <w:szCs w:val="19"/>
        </w:rPr>
        <w:t xml:space="preserve">Apply the three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The holdback is an asset (due from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not part of the loss. </w:t>
      </w:r>
      <w:r>
        <w:rPr>
          <w:sz w:val="19"/>
          <w:szCs w:val="19"/>
        </w:rPr>
        <w:t xml:space="preserve">Pledged receivables stay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treated   ·   recourse   ·   conditions   ·   factor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Recourse is not the test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Details (whole USD)</w:t>
            </w:r>
          </w:p>
        </w:tc>
      </w:tr>
      <w:tr>
        <w:tc>
          <w:tcPr>
            <w:tcW w:type="pct" w:w="2400"/>
            <w:tcMar>
              <w:top w:type="dxa" w:w="50"/>
              <w:left w:type="dxa" w:w="110"/>
              <w:bottom w:type="dxa" w:w="50"/>
              <w:right w:type="dxa" w:w="110"/>
            </w:tcMar>
          </w:tcPr>
          <w:p>
            <w:pPr>
              <w:spacing w:before="28" w:after="28"/>
            </w:pPr>
            <w:r>
              <w:rPr>
                <w:sz w:val="15"/>
                <w:szCs w:val="15"/>
              </w:rPr>
              <w:t xml:space="preserve">Aging</w:t>
            </w:r>
          </w:p>
        </w:tc>
        <w:tc>
          <w:tcPr>
            <w:tcW w:type="pct" w:w="2600"/>
            <w:tcMar>
              <w:top w:type="dxa" w:w="50"/>
              <w:left w:type="dxa" w:w="110"/>
              <w:bottom w:type="dxa" w:w="50"/>
              <w:right w:type="dxa" w:w="110"/>
            </w:tcMar>
          </w:tcPr>
          <w:p>
            <w:pPr>
              <w:spacing w:before="28" w:after="28"/>
            </w:pPr>
            <w:r>
              <w:rPr>
                <w:sz w:val="15"/>
                <w:szCs w:val="15"/>
              </w:rPr>
              <w:t xml:space="preserve">Current: 250,000 at an expected loss rate of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Aging</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90,000 at an expected loss rate of 10%</w:t>
            </w:r>
          </w:p>
        </w:tc>
      </w:tr>
      <w:tr>
        <w:tc>
          <w:tcPr>
            <w:tcW w:type="pct" w:w="2400"/>
            <w:tcMar>
              <w:top w:type="dxa" w:w="50"/>
              <w:left w:type="dxa" w:w="110"/>
              <w:bottom w:type="dxa" w:w="50"/>
              <w:right w:type="dxa" w:w="110"/>
            </w:tcMar>
          </w:tcPr>
          <w:p>
            <w:pPr>
              <w:spacing w:before="28" w:after="28"/>
            </w:pPr>
            <w:r>
              <w:rPr>
                <w:sz w:val="15"/>
                <w:szCs w:val="15"/>
              </w:rPr>
              <w:t xml:space="preserve">Aging</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40,000 at an expected loss rate of 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Allowance account</w:t>
            </w:r>
          </w:p>
        </w:tc>
        <w:tc>
          <w:tcPr>
            <w:tcW w:type="pct" w:w="2600"/>
            <w:shd w:fill="FBFAF6" w:val="clear"/>
            <w:tcMar>
              <w:top w:type="dxa" w:w="50"/>
              <w:left w:type="dxa" w:w="110"/>
              <w:bottom w:type="dxa" w:w="50"/>
              <w:right w:type="dxa" w:w="110"/>
            </w:tcMar>
          </w:tcPr>
          <w:p>
            <w:pPr>
              <w:spacing w:before="28" w:after="28"/>
            </w:pPr>
            <w:r>
              <w:rPr>
                <w:sz w:val="15"/>
                <w:szCs w:val="15"/>
              </w:rPr>
              <w:t xml:space="preserve">Beginning balance 18,000 (credit).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during 2025: 24,000. Recoveries: 1,000.</w:t>
            </w:r>
          </w:p>
        </w:tc>
      </w:tr>
      <w:tr>
        <w:tc>
          <w:tcPr>
            <w:tcW w:type="pct" w:w="2400"/>
            <w:tcMar>
              <w:top w:type="dxa" w:w="50"/>
              <w:left w:type="dxa" w:w="110"/>
              <w:bottom w:type="dxa" w:w="50"/>
              <w:right w:type="dxa" w:w="110"/>
            </w:tcMar>
          </w:tcPr>
          <w:p>
            <w:pPr>
              <w:spacing w:before="28" w:after="28"/>
            </w:pPr>
            <w:r>
              <w:rPr>
                <w:sz w:val="15"/>
                <w:szCs w:val="15"/>
              </w:rPr>
              <w:t xml:space="preserve">Transfer T1</w:t>
            </w:r>
          </w:p>
        </w:tc>
        <w:tc>
          <w:tcPr>
            <w:tcW w:type="pct" w:w="2600"/>
            <w:tcMar>
              <w:top w:type="dxa" w:w="50"/>
              <w:left w:type="dxa" w:w="110"/>
              <w:bottom w:type="dxa" w:w="50"/>
              <w:right w:type="dxa" w:w="110"/>
            </w:tcMar>
          </w:tcPr>
          <w:p>
            <w:pPr>
              <w:spacing w:before="28" w:after="28"/>
            </w:pPr>
            <w:r>
              <w:rPr>
                <w:sz w:val="15"/>
                <w:szCs w:val="15"/>
              </w:rPr>
              <w:t xml:space="preserve">Receivables sold to a factor without recourse. The factor may resell them. Orontes has no right or duty to buy them back.</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Transfer T2</w:t>
            </w:r>
          </w:p>
        </w:tc>
        <w:tc>
          <w:tcPr>
            <w:tcW w:type="pct" w:w="2600"/>
            <w:shd w:fill="FBFAF6" w:val="clear"/>
            <w:tcMar>
              <w:top w:type="dxa" w:w="50"/>
              <w:left w:type="dxa" w:w="110"/>
              <w:bottom w:type="dxa" w:w="50"/>
              <w:right w:type="dxa" w:w="110"/>
            </w:tcMar>
          </w:tcPr>
          <w:p>
            <w:pPr>
              <w:spacing w:before="28" w:after="28"/>
            </w:pPr>
            <w:r>
              <w:rPr>
                <w:sz w:val="15"/>
                <w:szCs w:val="15"/>
              </w:rPr>
              <w:t xml:space="preserve">Receivables transferred with recourse. They are legally isolated from Orontes, the factor may pledge them, and Orontes cannot buy them back.</w:t>
            </w:r>
          </w:p>
        </w:tc>
      </w:tr>
      <w:tr>
        <w:tc>
          <w:tcPr>
            <w:tcW w:type="pct" w:w="2400"/>
            <w:tcMar>
              <w:top w:type="dxa" w:w="50"/>
              <w:left w:type="dxa" w:w="110"/>
              <w:bottom w:type="dxa" w:w="50"/>
              <w:right w:type="dxa" w:w="110"/>
            </w:tcMar>
          </w:tcPr>
          <w:p>
            <w:pPr>
              <w:spacing w:before="28" w:after="28"/>
            </w:pPr>
            <w:r>
              <w:rPr>
                <w:sz w:val="15"/>
                <w:szCs w:val="15"/>
              </w:rPr>
              <w:t xml:space="preserve">Transfer T3</w:t>
            </w:r>
          </w:p>
        </w:tc>
        <w:tc>
          <w:tcPr>
            <w:tcW w:type="pct" w:w="2600"/>
            <w:tcMar>
              <w:top w:type="dxa" w:w="50"/>
              <w:left w:type="dxa" w:w="110"/>
              <w:bottom w:type="dxa" w:w="50"/>
              <w:right w:type="dxa" w:w="110"/>
            </w:tcMar>
          </w:tcPr>
          <w:p>
            <w:pPr>
              <w:spacing w:before="28" w:after="28"/>
            </w:pPr>
            <w:r>
              <w:rPr>
                <w:sz w:val="15"/>
                <w:szCs w:val="15"/>
              </w:rPr>
              <w:t xml:space="preserve">Receivables transferred to a bank, but Orontes must repurchase them before they mature.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Transfer T4</w:t>
            </w:r>
          </w:p>
        </w:tc>
        <w:tc>
          <w:tcPr>
            <w:tcW w:type="pct" w:w="2600"/>
            <w:shd w:fill="FBFAF6" w:val="clear"/>
            <w:tcMar>
              <w:top w:type="dxa" w:w="50"/>
              <w:left w:type="dxa" w:w="110"/>
              <w:bottom w:type="dxa" w:w="50"/>
              <w:right w:type="dxa" w:w="110"/>
            </w:tcMar>
          </w:tcPr>
          <w:p>
            <w:pPr>
              <w:spacing w:before="28" w:after="28"/>
            </w:pPr>
            <w:r>
              <w:rPr>
                <w:sz w:val="15"/>
                <w:szCs w:val="15"/>
              </w:rPr>
              <w:t xml:space="preserve">Receivables pledged as collateral for a bank loan; Orontes still collects them.</w:t>
            </w:r>
          </w:p>
        </w:tc>
      </w:tr>
      <w:tr>
        <w:tc>
          <w:tcPr>
            <w:tcW w:type="pct" w:w="2400"/>
            <w:tcMar>
              <w:top w:type="dxa" w:w="50"/>
              <w:left w:type="dxa" w:w="110"/>
              <w:bottom w:type="dxa" w:w="50"/>
              <w:right w:type="dxa" w:w="110"/>
            </w:tcMar>
          </w:tcPr>
          <w:p>
            <w:pPr>
              <w:spacing w:before="28" w:after="28"/>
            </w:pPr>
            <w:r>
              <w:rPr>
                <w:sz w:val="15"/>
                <w:szCs w:val="15"/>
              </w:rPr>
              <w:t xml:space="preserve">Transfer T2 details</w:t>
            </w:r>
          </w:p>
        </w:tc>
        <w:tc>
          <w:tcPr>
            <w:tcW w:type="pct" w:w="2600"/>
            <w:tcMar>
              <w:top w:type="dxa" w:w="50"/>
              <w:left w:type="dxa" w:w="110"/>
              <w:bottom w:type="dxa" w:w="50"/>
              <w:right w:type="dxa" w:w="110"/>
            </w:tcMar>
          </w:tcPr>
          <w:p>
            <w:pPr>
              <w:spacing w:before="28" w:after="28"/>
            </w:pPr>
            <w:r>
              <w:rPr>
                <w:sz w:val="15"/>
                <w:szCs w:val="15"/>
              </w:rPr>
              <w:t xml:space="preserve">Carrying amount 200,000; factor's fee 2%; holdback 4%; fair value of the recourse obligation 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T1   ·   Write-offs   ·   Over 60 days past due   ·   1–60 days past due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1–60 days past due</w:t>
            </w:r>
          </w:p>
        </w:tc>
        <w:tc>
          <w:tcPr>
            <w:tcW w:type="pct" w:w="2400"/>
            <w:tcMar>
              <w:top w:type="dxa" w:w="50"/>
              <w:left w:type="dxa" w:w="110"/>
              <w:bottom w:type="dxa" w:w="50"/>
              <w:right w:type="dxa" w:w="110"/>
            </w:tcMar>
          </w:tcPr>
          <w:p>
            <w:pPr>
              <w:spacing w:before="28" w:after="28"/>
            </w:pPr>
            <w:r>
              <w:rPr>
                <w:sz w:val="15"/>
                <w:szCs w:val="15"/>
              </w:rPr>
              <w:t xml:space="preserve">80,000 × 8% = 6,400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Over 60 days past due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Required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40,000 × 25% = 10,000   ·   3,600 + 6,400 + 10,000 = 20,000   ·   current expected credit losses (CECL)</w:t>
            </w:r>
          </w:p>
        </w:tc>
      </w:tr>
    </w:tbl>
    <w:p/>
    <w:p>
      <w:pPr>
        <w:spacing w:before="44" w:after="10"/>
      </w:pPr>
      <w:r>
        <w:rPr>
          <w:b/>
          <w:bCs/>
          <w:color w:val="353A7C"/>
          <w:sz w:val="18"/>
          <w:szCs w:val="18"/>
        </w:rPr>
        <w:t xml:space="preserve">Transfer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T1   ·   factor   ·   T4</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   ·   aging schedule   ·   recourse liability   ·   secured borrowing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factoring</w:t>
            </w:r>
          </w:p>
        </w:tc>
        <w:tc>
          <w:tcPr>
            <w:tcW w:type="pct" w:w="2600"/>
            <w:tcMar>
              <w:top w:type="dxa" w:w="50"/>
              <w:left w:type="dxa" w:w="110"/>
              <w:bottom w:type="dxa" w:w="50"/>
              <w:right w:type="dxa" w:w="110"/>
            </w:tcMar>
          </w:tcPr>
          <w:p>
            <w:pPr>
              <w:spacing w:before="26" w:after="26"/>
            </w:pPr>
            <w:r>
              <w:rPr>
                <w:color w:val="232733"/>
                <w:sz w:val="16"/>
                <w:szCs w:val="16"/>
              </w:rPr>
              <w:t xml:space="preserve">تخصيم الذمم المدينة (بيع الديون)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شركة التخصيم</w:t>
            </w:r>
          </w:p>
        </w:tc>
      </w:tr>
      <w:tr>
        <w:tc>
          <w:tcPr>
            <w:tcW w:type="pct" w:w="2400"/>
            <w:tcMar>
              <w:top w:type="dxa" w:w="50"/>
              <w:left w:type="dxa" w:w="110"/>
              <w:bottom w:type="dxa" w:w="50"/>
              <w:right w:type="dxa" w:w="110"/>
            </w:tcMar>
          </w:tcPr>
          <w:p>
            <w:pPr>
              <w:spacing w:before="26" w:after="26"/>
            </w:pPr>
            <w:r>
              <w:rPr>
                <w:color w:val="232733"/>
                <w:sz w:val="16"/>
                <w:szCs w:val="16"/>
              </w:rPr>
              <w:t xml:space="preserve">recourse</w:t>
            </w:r>
          </w:p>
        </w:tc>
        <w:tc>
          <w:tcPr>
            <w:tcW w:type="pct" w:w="2600"/>
            <w:tcMar>
              <w:top w:type="dxa" w:w="50"/>
              <w:left w:type="dxa" w:w="110"/>
              <w:bottom w:type="dxa" w:w="50"/>
              <w:right w:type="dxa" w:w="110"/>
            </w:tcMar>
          </w:tcPr>
          <w:p>
            <w:pPr>
              <w:spacing w:before="26" w:after="26"/>
            </w:pPr>
            <w:r>
              <w:rPr>
                <w:color w:val="232733"/>
                <w:sz w:val="16"/>
                <w:szCs w:val="16"/>
              </w:rPr>
              <w:t xml:space="preserve">حق الرجوع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التزام حق الرجوع</w:t>
            </w:r>
          </w:p>
        </w:tc>
      </w:tr>
      <w:tr>
        <w:tc>
          <w:tcPr>
            <w:tcW w:type="pct" w:w="2400"/>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600"/>
            <w:tcMar>
              <w:top w:type="dxa" w:w="50"/>
              <w:left w:type="dxa" w:w="110"/>
              <w:bottom w:type="dxa" w:w="50"/>
              <w:right w:type="dxa" w:w="110"/>
            </w:tcMar>
          </w:tcPr>
          <w:p>
            <w:pPr>
              <w:spacing w:before="26" w:after="26"/>
            </w:pPr>
            <w:r>
              <w:rPr>
                <w:color w:val="232733"/>
                <w:sz w:val="16"/>
                <w:szCs w:val="16"/>
              </w:rPr>
              <w:t xml:space="preserve">المبلغ المحتجز (مستحق من شركة التخصيم)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secured borrowing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اقتراض مضمون</w:t>
            </w:r>
          </w:p>
        </w:tc>
      </w:tr>
      <w:tr>
        <w:tc>
          <w:tcPr>
            <w:tcW w:type="pct" w:w="2400"/>
            <w:tcMar>
              <w:top w:type="dxa" w:w="50"/>
              <w:left w:type="dxa" w:w="110"/>
              <w:bottom w:type="dxa" w:w="50"/>
              <w:right w:type="dxa" w:w="110"/>
            </w:tcMar>
          </w:tcPr>
          <w:p>
            <w:pPr>
              <w:spacing w:before="26" w:after="26"/>
            </w:pPr>
            <w:r>
              <w:rPr>
                <w:color w:val="232733"/>
                <w:sz w:val="16"/>
                <w:szCs w:val="16"/>
              </w:rPr>
              <w:t xml:space="preserve">pledging</w:t>
            </w:r>
          </w:p>
        </w:tc>
        <w:tc>
          <w:tcPr>
            <w:tcW w:type="pct" w:w="2600"/>
            <w:tcMar>
              <w:top w:type="dxa" w:w="50"/>
              <w:left w:type="dxa" w:w="110"/>
              <w:bottom w:type="dxa" w:w="50"/>
              <w:right w:type="dxa" w:w="110"/>
            </w:tcMar>
          </w:tcPr>
          <w:p>
            <w:pPr>
              <w:spacing w:before="26" w:after="26"/>
            </w:pPr>
            <w:r>
              <w:rPr>
                <w:color w:val="232733"/>
                <w:sz w:val="16"/>
                <w:szCs w:val="16"/>
              </w:rPr>
              <w:t xml:space="preserve">رهن الذمم المدينة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effective control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السيطرة الفعلية</w:t>
            </w:r>
          </w:p>
        </w:tc>
      </w:tr>
      <w:tr>
        <w:tc>
          <w:tcPr>
            <w:tcW w:type="pct" w:w="2400"/>
            <w:tcMar>
              <w:top w:type="dxa" w:w="50"/>
              <w:left w:type="dxa" w:w="110"/>
              <w:bottom w:type="dxa" w:w="50"/>
              <w:right w:type="dxa" w:w="110"/>
            </w:tcMar>
          </w:tcPr>
          <w:p>
            <w:pPr>
              <w:spacing w:before="26" w:after="26"/>
            </w:pPr>
            <w:r>
              <w:rPr>
                <w:color w:val="232733"/>
                <w:sz w:val="16"/>
                <w:szCs w:val="16"/>
              </w:rPr>
              <w:t xml:space="preserve">legal isolation</w:t>
            </w:r>
          </w:p>
        </w:tc>
        <w:tc>
          <w:tcPr>
            <w:tcW w:type="pct" w:w="2600"/>
            <w:tcMar>
              <w:top w:type="dxa" w:w="50"/>
              <w:left w:type="dxa" w:w="110"/>
              <w:bottom w:type="dxa" w:w="50"/>
              <w:right w:type="dxa" w:w="110"/>
            </w:tcMar>
          </w:tcPr>
          <w:p>
            <w:pPr>
              <w:spacing w:before="26" w:after="26"/>
            </w:pPr>
            <w:r>
              <w:rPr>
                <w:color w:val="232733"/>
                <w:sz w:val="16"/>
                <w:szCs w:val="16"/>
              </w:rPr>
              <w:t xml:space="preserve">العزل القانوني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Transferring receivables: sale or secured borrowing?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treats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secured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factor's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analysts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itself</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pledged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borrowing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whether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legal isolation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Factoring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the seller does not keep effective control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recourse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conditions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discounts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factor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1–60 days past 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Over 60 days past 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Write-offs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40,000 × 25% = 10,000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borrowing</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3,600 + 6,400 + 10,000 = 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T1</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pledged</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T4</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effect</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factor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reason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recourse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secured borrowing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treats a transfer as a sale only if three conditions are all met. Recourse is the factor's right to collect from the seller if customers do not pay. Recourse does not by itself make the transfer a borrowing. If the three conditions are met, a transfer with recourse is still a sale. The seller then records a recourse liability at its fair value, which increases the loss on the sale.</w:t>
      </w:r>
    </w:p>
    <w:p>
      <w:pPr>
        <w:spacing w:before="20" w:after="20"/>
        <w:ind w:left="240" w:hanging="240"/>
      </w:pPr>
      <w:r>
        <w:rPr>
          <w:b/>
          <w:bCs/>
          <w:color w:val="353A7C"/>
          <w:sz w:val="15"/>
          <w:szCs w:val="15"/>
        </w:rPr>
        <w:t xml:space="preserve">Summary 2   </w:t>
      </w:r>
      <w:r>
        <w:rPr>
          <w:color w:val="6B7280"/>
          <w:sz w:val="15"/>
          <w:szCs w:val="15"/>
        </w:rPr>
        <w:t xml:space="preserve">Orontes transfers receivables with a carrying amount of $500,000 to Gulf Factor Co. The factor charges a fee of 3% ($15,000) and keeps a holdback (due from factor) of 5% ($25,000) to cover returns and discounts. Orontes receives $460,000 in cash. Sale without recourse: debit Cash $460,000, debit Due from factor $25,000, debit Loss on sale of receivables $15,000; credit Accounts receivable $500,000. Sale with recourse (recourse liability $6,000): the same entry, but the loss is $21,000 and Orontes also credits Recourse liability $6,000. Secured borrowing: debit Cash $460,000, debit Interest expense $15,000; credit Liability to factor $475,000. The receivables stay on the balance sheet, marked as pledged. The balance sheet effect is the main reason companies care. A sale removes the receivables and adds little or no debt, so ratios such as debt to equity look better.</w:t>
      </w:r>
    </w:p>
    <w:p>
      <w:pPr>
        <w:spacing w:before="20" w:after="20"/>
        <w:ind w:left="240" w:hanging="240"/>
      </w:pPr>
      <w:r>
        <w:rPr>
          <w:b/>
          <w:bCs/>
          <w:color w:val="353A7C"/>
          <w:sz w:val="15"/>
          <w:szCs w:val="15"/>
        </w:rPr>
        <w:t xml:space="preserve">Summary 3   </w:t>
      </w:r>
      <w:r>
        <w:rPr>
          <w:color w:val="6B7280"/>
          <w:sz w:val="15"/>
          <w:szCs w:val="15"/>
        </w:rPr>
        <w:t xml:space="preserve">A secured borrowing keeps the receivables and adds a liability. Lenders and analysts read the notes to see which receivables are pledged or transferred. IFRS 9 asks first whether the seller has transferred substantially all the risks and rewards of the receivables. Factoring with substantial recourse usually keeps most of the risk with the seller, so under IFRS it often fails derecognition and is treated as borrowing. Under U.S. GAAP the same transfer may qualify as a sale if the three ASC 860 conditions are met.</w:t>
      </w:r>
    </w:p>
    <w:p>
      <w:pPr>
        <w:spacing w:before="20" w:after="20"/>
        <w:ind w:left="240" w:hanging="240"/>
      </w:pPr>
      <w:r>
        <w:rPr>
          <w:b/>
          <w:bCs/>
          <w:color w:val="353A7C"/>
          <w:sz w:val="15"/>
          <w:szCs w:val="15"/>
        </w:rPr>
        <w:t xml:space="preserve">Summary 4   </w:t>
      </w:r>
      <w:r>
        <w:rPr>
          <w:color w:val="6B7280"/>
          <w:sz w:val="15"/>
          <w:szCs w:val="15"/>
        </w:rPr>
        <w:t xml:space="preserve">Do not assume that every transfer with recourse is a borrowing. Apply the three conditions. The holdback is an asset (due from factor), not part of the loss. Pledged receivables stay on the balance sheet.</w:t>
      </w:r>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Recognizing and measuring receivables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allowance for credit losses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Transferring receivables: sale or secured borrowing?</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039cfb7799b0037741ef0ec7b9f6a3becc800c16.png" Type="http://schemas.openxmlformats.org/officeDocument/2006/relationships/image"/><Relationship Id="rId102" Target="media/90990591fe9056e34070906d86f9fe9c1ec3c455.png" Type="http://schemas.openxmlformats.org/officeDocument/2006/relationships/image"/><Relationship Id="rId103" Target="media/94391c13d155da102c3d4694cffbe6152d6ef6f4.png" Type="http://schemas.openxmlformats.org/officeDocument/2006/relationships/image"/><Relationship Id="rId104" Target="media/bdcdca741bd05997feaa6ac96eecc161b0dc4d09.png" Type="http://schemas.openxmlformats.org/officeDocument/2006/relationships/image"/><Relationship Id="rId105" Target="media/e9beb181497f995c7f4f820f51958262b18d4a9c.png" Type="http://schemas.openxmlformats.org/officeDocument/2006/relationships/image"/><Relationship Id="rId106" Target="media/611f181b763d2eec21e3333049fd1941c35b1f3c.png" Type="http://schemas.openxmlformats.org/officeDocument/2006/relationships/image"/><Relationship Id="rId107" Target="media/185b272c7b29ebe30bd5a70e90af4c5da883be9f.png" Type="http://schemas.openxmlformats.org/officeDocument/2006/relationships/image"/><Relationship Id="rId108" Target="media/a2bb541241bbac7bf96fd3c7b95978d07a1337f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6</dc:title>
  <dc:subject>Summary handouts</dc:subject>
  <cp:category>Student Book</cp:category>
</cp:coreProperties>
</file>