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follows   ·   situations</w:t>
            </w:r>
          </w:p>
        </w:tc>
      </w:tr>
    </w:tbl>
    <w:p/>
    <w:p>
      <w:pPr>
        <w:spacing w:before="44" w:after="14"/>
      </w:pPr>
      <w:r>
        <w:rPr>
          <w:b/>
          <w:bCs/>
          <w:color w:val="353A7C"/>
          <w:sz w:val="18"/>
          <w:szCs w:val="18"/>
        </w:rPr>
        <w:t xml:space="preserve">Summary 2</w:t>
      </w:r>
      <w:r>
        <w:rPr>
          <w:color w:val="6B7280"/>
          <w:sz w:val="16"/>
          <w:szCs w:val="16"/>
        </w:rPr>
        <w:t xml:space="preserve">      gaps 15–23</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though   ·   transit   ·   chapters   ·   others   ·   physical   ·   somewhere   ·   special   ·   warehouse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FOB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consignee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inventoriable   ·   needed   ·   freight-in   ·   expects   ·   direct   ·   recorded   ·   condition   ·   become   ·   capacity   ·   unusually   ·   freight-out   ·   expenses   ·   non-refundable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the same way,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consignor   ·   No: period cost   ·   reduces</w:t>
            </w:r>
          </w:p>
        </w:tc>
      </w:tr>
    </w:tbl>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The two costs at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include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freight-out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November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Weighted-average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22–29</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goods at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perpetual   ·   updates   ·   November   ·   systems   ·   counts   ·   moving   ·   year-end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30–35</w:t>
      </w:r>
    </w:p>
    <w:p>
      <w:pPr>
        <w:spacing w:before="20" w:after="20" w:line="360" w:lineRule="auto"/>
        <w:ind w:left="200"/>
      </w:pPr>
      <w:r>
        <w:rPr>
          <w:sz w:val="19"/>
          <w:szCs w:val="19"/>
        </w:rPr>
        <w:t xml:space="preserve">The Dubai plant had 3,000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pastry trays available in 2025,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dashed boxes below using periodic LIFO. </w:t>
      </w:r>
      <w:r>
        <w:rPr>
          <w:sz w:val="19"/>
          <w:szCs w:val="19"/>
        </w:rPr>
        <w:t xml:space="preserve">Then check that cost of goods sold plus ending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perpetual   ·   frozen   ·   inventory   ·   Complete   ·   interchangeable   ·   frameworks   ·   costing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frozen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moving average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Complete the dashed boxes below using periodic LIFO.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holding   ·   revenues   ·   different</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FIFO with two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the company should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if it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started   ·   results   ·   low-cost   ·   illustrative   ·   liquidation   ·   analyst   ·   during   ·   material   ·   improvement   ·   Income   ·   relationships   ·   disclose</w:t>
            </w:r>
          </w:p>
        </w:tc>
      </w:tr>
    </w:tbl>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A company that uses LIFO for its tax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To get FIFO cost of goods sold,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31–32</w:t>
      </w:r>
    </w:p>
    <w:p>
      <w:pPr>
        <w:spacing w:before="20" w:after="20" w:line="360" w:lineRule="auto"/>
        <w:ind w:left="200"/>
      </w:pPr>
      <w:r>
        <w:rPr>
          <w:sz w:val="19"/>
          <w:szCs w:val="19"/>
        </w:rPr>
        <w:t xml:space="preserve">The LIFO reserve is not an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conformity rule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exam item: when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because   ·   inventory   ·   Retained   ·   cancel   ·   Orontes   ·   Remember   ·   accounts   ·   classic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2. Ending inventory understated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Net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   ·   income   ·   direction</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counterbalancing error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freight-out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counterbalanced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55fba116821b807c9ab51a62accc1d61365b658.png" Type="http://schemas.openxmlformats.org/officeDocument/2006/relationships/image"/><Relationship Id="rId102" Target="media/42dba3d6655ed6b730ca17aee695b94b39c2a2e0.png" Type="http://schemas.openxmlformats.org/officeDocument/2006/relationships/image"/><Relationship Id="rId103" Target="media/f7d1965f677c9fbe95666bdd7ac6e8576fe75753.png" Type="http://schemas.openxmlformats.org/officeDocument/2006/relationships/image"/><Relationship Id="rId104" Target="media/2b54fdcf833fe11ce0b4dc25f34d99d7e563dd72.png" Type="http://schemas.openxmlformats.org/officeDocument/2006/relationships/image"/><Relationship Id="rId105" Target="media/e2b35aaa50a5251826b899af27c7c527083e7ff0.png" Type="http://schemas.openxmlformats.org/officeDocument/2006/relationships/image"/><Relationship Id="rId106" Target="media/fba2b5ada76d7f9688f2668941cb6c8603ea7ef5.png" Type="http://schemas.openxmlformats.org/officeDocument/2006/relationships/image"/><Relationship Id="rId107" Target="media/f525dab043aa0b268e5e7845c36cd24090dfa1f2.png" Type="http://schemas.openxmlformats.org/officeDocument/2006/relationships/image"/><Relationship Id="rId108" Target="media/647e6f9a0a2afefce9e8e3680bfb8cad475ad403.png" Type="http://schemas.openxmlformats.org/officeDocument/2006/relationships/image"/><Relationship Id="rId109" Target="media/cf723f9c8f93e9a2bae680238b9bd4831ee43a6a.png" Type="http://schemas.openxmlformats.org/officeDocument/2006/relationships/image"/><Relationship Id="rId110" Target="media/5e2f42569df02f548672179510681a43a642affa.png" Type="http://schemas.openxmlformats.org/officeDocument/2006/relationships/image"/><Relationship Id="rId111" Target="media/aace9f1063881c66106365b1eabb457b06d1f8e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dc:title>
  <dc:subject>Summary handouts</dc:subject>
  <cp:category>Student Book</cp:category>
</cp:coreProperties>
</file>