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New estimated selling price per case</w:t>
            </w:r>
          </w:p>
        </w:tc>
        <w:tc>
          <w:tcPr>
            <w:tcW w:type="pct" w:w="2400"/>
            <w:tcMar>
              <w:top w:type="dxa" w:w="50"/>
              <w:left w:type="dxa" w:w="110"/>
              <w:bottom w:type="dxa" w:w="50"/>
              <w:right w:type="dxa" w:w="110"/>
            </w:tcMar>
          </w:tcPr>
          <w:p>
            <w:pPr>
              <w:spacing w:before="28" w:after="28"/>
            </w:pPr>
            <w:r>
              <w:rPr>
                <w:sz w:val="15"/>
                <w:szCs w:val="15"/>
              </w:rPr>
              <w:t xml:space="preserve">$54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$96,000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22–26</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   ·   original</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lower of cost and net realizable value (LCNRV)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lower of cost and net realizable value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write-down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because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p>
      <w:pPr>
        <w:spacing w:before="44" w:after="10"/>
      </w:pPr>
      <w:r>
        <w:rPr>
          <w:b/>
          <w:bCs/>
          <w:color w:val="353A7C"/>
          <w:sz w:val="18"/>
          <w:szCs w:val="18"/>
        </w:rPr>
        <w:t xml:space="preserve">LCM, item by item, for four Orontes product lines measured under LIFO (whole USD per case)</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markup   ·   Tahini   ·   Chickpeas</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to the total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conservative   ·   compared   ·   non-cancellable   ·   inventory   ·   ceiling   ·   expected   ·   because   ·   category   ·   consistently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21–24</w:t>
      </w:r>
    </w:p>
    <w:p>
      <w:pPr>
        <w:spacing w:before="20" w:after="20" w:line="360" w:lineRule="auto"/>
        <w:ind w:left="200"/>
      </w:pPr>
      <w:r>
        <w:rPr>
          <w:sz w:val="19"/>
          <w:szCs w:val="19"/>
        </w:rPr>
        <w:t xml:space="preserve">Do not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replacement cost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item by item, by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category   ·   directly   ·   question   ·   ceiling   ·   compare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Chickpeas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destroyed</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cost-to-retail ratio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Complete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boxes using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retail method. </w:t>
      </w:r>
      <w:r>
        <w:rPr>
          <w:sz w:val="19"/>
          <w:szCs w:val="19"/>
        </w:rPr>
        <w:t xml:space="preserve">A LIFO retail method also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adds a new layer each year at that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ratio. </w:t>
      </w:r>
      <w:r>
        <w:rPr>
          <w:sz w:val="19"/>
          <w:szCs w:val="19"/>
        </w:rPr>
        <w:t xml:space="preserve">The exam tests it less often. </w:t>
      </w:r>
      <w:r>
        <w:rPr>
          <w:sz w:val="19"/>
          <w:szCs w:val="19"/>
        </w:rPr>
        <w:t xml:space="preserve">The gross profit method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interim reports, to check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annual financial statements.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warehouse in Jebel Ali. </w:t>
      </w:r>
      <w:r>
        <w:rPr>
          <w:sz w:val="19"/>
          <w:szCs w:val="19"/>
        </w:rPr>
        <w:t xml:space="preserve">Beginning inventory was $80,000,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destroyed   ·   exists   ·   shrinkage   ·   costing   ·   leaves   ·   physical   ·   markdowns   ·   acceptable   ·   year's   ·   estimates   ·   conventional   ·   dashed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available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dashed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Complete the dashed boxes using the conventional retail method. 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records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markdown   ·   statements   ·   smooths   ·   manipulate   ·   strengths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edb5ab9d7c91d775501d61b6ee2e8f96dc509cd.png" Type="http://schemas.openxmlformats.org/officeDocument/2006/relationships/image"/><Relationship Id="rId102" Target="media/1e08ac3cb744318270531de87752c4c4d74589e3.png" Type="http://schemas.openxmlformats.org/officeDocument/2006/relationships/image"/><Relationship Id="rId103" Target="media/67b035e8a54802842b2b2062c45b9e17080ec6d4.png" Type="http://schemas.openxmlformats.org/officeDocument/2006/relationships/image"/><Relationship Id="rId104" Target="media/d541b3a9692372f77c4b9b220b3fec94a6413e32.png" Type="http://schemas.openxmlformats.org/officeDocument/2006/relationships/image"/><Relationship Id="rId105" Target="media/a160fa93b2380c09c96e361c2732e8fe0492715f.png" Type="http://schemas.openxmlformats.org/officeDocument/2006/relationships/image"/><Relationship Id="rId106" Target="media/ce5485de9a2a57634b2f77957276f20369ca7f19.png" Type="http://schemas.openxmlformats.org/officeDocument/2006/relationships/image"/><Relationship Id="rId107" Target="media/2f2b395c51d2599f16674019ad8bb92abbf954e5.png" Type="http://schemas.openxmlformats.org/officeDocument/2006/relationships/image"/><Relationship Id="rId108" Target="media/e8b25e07cdaf15d08cbffc91acf11f97ae334976.png" Type="http://schemas.openxmlformats.org/officeDocument/2006/relationships/image"/><Relationship Id="rId109" Target="media/b00ea7490dd164b3af8b631a42d8342e53a455f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8</dc:title>
  <dc:subject>Summary handouts</dc:subject>
  <cp:category>Student Book</cp:category>
</cp:coreProperties>
</file>