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التقرير المتكامل</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Headroom under bank loan covenants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allocation   ·   assurance   ·   information   ·   capitals   ·   non-financial   ·   Framework   ·   integrated reporting   ·   comparability   ·   relationships   ·   investors   ·   guiding principles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assurance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comparability</w:t>
            </w:r>
          </w:p>
        </w:tc>
      </w:tr>
    </w:tbl>
    <w:p/>
    <w:p>
      <w:pPr>
        <w:spacing w:before="50" w:after="14"/>
      </w:pPr>
      <w:r>
        <w:rPr>
          <w:b/>
          <w:bCs/>
          <w:color w:val="353A7C"/>
          <w:sz w:val="18"/>
          <w:szCs w:val="18"/>
        </w:rPr>
        <w:t xml:space="preserve">the summaries in full</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400"/>
            <w:tcMar>
              <w:top w:type="dxa" w:w="50"/>
              <w:left w:type="dxa" w:w="110"/>
              <w:bottom w:type="dxa" w:w="50"/>
              <w:right w:type="dxa" w:w="110"/>
            </w:tcMar>
          </w:tcPr>
          <w:p>
            <w:pPr>
              <w:spacing w:before="28" w:after="28"/>
            </w:pPr>
            <w:r>
              <w:rPr>
                <w:sz w:val="15"/>
                <w:szCs w:val="15"/>
              </w:rPr>
              <w:t xml:space="preserve">D1</w:t>
            </w:r>
          </w:p>
        </w:tc>
        <w:tc>
          <w:tcPr>
            <w:tcW w:type="pct" w:w="2600"/>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400"/>
            <w:tcMar>
              <w:top w:type="dxa" w:w="50"/>
              <w:left w:type="dxa" w:w="110"/>
              <w:bottom w:type="dxa" w:w="50"/>
              <w:right w:type="dxa" w:w="110"/>
            </w:tcMar>
          </w:tcPr>
          <w:p>
            <w:pPr>
              <w:spacing w:before="28" w:after="28"/>
            </w:pPr>
            <w:r>
              <w:rPr>
                <w:sz w:val="15"/>
                <w:szCs w:val="15"/>
              </w:rPr>
              <w:t xml:space="preserve">D3</w:t>
            </w:r>
          </w:p>
        </w:tc>
        <w:tc>
          <w:tcPr>
            <w:tcW w:type="pct" w:w="2600"/>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D4</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400"/>
            <w:tcMar>
              <w:top w:type="dxa" w:w="50"/>
              <w:left w:type="dxa" w:w="110"/>
              <w:bottom w:type="dxa" w:w="50"/>
              <w:right w:type="dxa" w:w="110"/>
            </w:tcMar>
          </w:tcPr>
          <w:p>
            <w:pPr>
              <w:spacing w:before="28" w:after="28"/>
            </w:pPr>
            <w:r>
              <w:rPr>
                <w:sz w:val="15"/>
                <w:szCs w:val="15"/>
              </w:rPr>
              <w:t xml:space="preserve">D5</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D6</w:t>
            </w:r>
          </w:p>
        </w:tc>
        <w:tc>
          <w:tcPr>
            <w:tcW w:type="pct" w:w="2600"/>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رؤوس الأموال   ·   integrated report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integrated 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capitals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09683a216ab8176477e64a0d2a62873e032de727.png" Type="http://schemas.openxmlformats.org/officeDocument/2006/relationships/image"/><Relationship Id="rId102" Target="media/dcb36629addba6705fb486d5bd05443a434e774c.png" Type="http://schemas.openxmlformats.org/officeDocument/2006/relationships/image"/><Relationship Id="rId103" Target="media/f7064d2a48f405e9230781aad1091d977ed0c4f2.png" Type="http://schemas.openxmlformats.org/officeDocument/2006/relationships/image"/><Relationship Id="rId104" Target="media/8b773541aedb09df71ed4ef758d353b2f45362ac.png" Type="http://schemas.openxmlformats.org/officeDocument/2006/relationships/image"/><Relationship Id="rId105" Target="media/2d71cf5af4272bb87a2f65280bdaff4df77a6a1a.png" Type="http://schemas.openxmlformats.org/officeDocument/2006/relationships/image"/><Relationship Id="rId106" Target="media/036857c03df7b8d623d057093e58e47468c9124f.png" Type="http://schemas.openxmlformats.org/officeDocument/2006/relationships/image"/><Relationship Id="rId107" Target="media/e56ede6e62403fd1e49c433e603f14cdca348acd.png" Type="http://schemas.openxmlformats.org/officeDocument/2006/relationships/image"/><Relationship Id="rId108" Target="media/10307c680d16037bc8373e343357661284ee5f9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