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constant per unit but changes in total. </w:t>
      </w:r>
      <w:r>
        <w:rPr>
          <w:sz w:val="19"/>
          <w:szCs w:val="19"/>
        </w:rPr>
        <w:t xml:space="preserve">Fixed cost is constant in total but changes per unit: the more hours, the lower the fixed cost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Variable   ·   activity   ·   constant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803"/>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39"/>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29"/>
            <w:tcMar>
              <w:top w:type="dxa" w:w="50"/>
              <w:left w:type="dxa" w:w="110"/>
              <w:bottom w:type="dxa" w:w="50"/>
              <w:right w:type="dxa" w:w="110"/>
            </w:tcMar>
          </w:tcPr>
          <w:p>
            <w:pPr>
              <w:spacing w:before="28" w:after="28"/>
            </w:pPr>
            <w:r>
              <w:rPr>
                <w:sz w:val="15"/>
                <w:szCs w:val="15"/>
              </w:rPr>
              <w:t xml:space="preserve">30,000</w:t>
            </w:r>
          </w:p>
        </w:tc>
        <w:tc>
          <w:tcPr>
            <w:tcW w:type="pct" w:w="939"/>
            <w:tcMar>
              <w:top w:type="dxa" w:w="50"/>
              <w:left w:type="dxa" w:w="110"/>
              <w:bottom w:type="dxa" w:w="50"/>
              <w:right w:type="dxa" w:w="110"/>
            </w:tcMar>
          </w:tcPr>
          <w:p>
            <w:pPr>
              <w:spacing w:before="28" w:after="28"/>
            </w:pPr>
            <w:r>
              <w:rPr>
                <w:sz w:val="15"/>
                <w:szCs w:val="15"/>
              </w:rPr>
              <w:t xml:space="preserve">38,400</w:t>
            </w:r>
          </w:p>
        </w:tc>
        <w:tc>
          <w:tcPr>
            <w:tcW w:type="pct" w:w="932"/>
            <w:tcMar>
              <w:top w:type="dxa" w:w="50"/>
              <w:left w:type="dxa" w:w="110"/>
              <w:bottom w:type="dxa" w:w="50"/>
              <w:right w:type="dxa" w:w="110"/>
            </w:tcMar>
          </w:tcPr>
          <w:p>
            <w:pPr>
              <w:spacing w:before="28" w:after="28"/>
            </w:pPr>
            <w:r>
              <w:rPr>
                <w:sz w:val="15"/>
                <w:szCs w:val="15"/>
              </w:rPr>
              <w:t xml:space="preserve">48,000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2,100,569</w:t>
            </w:r>
          </w:p>
        </w:tc>
        <w:tc>
          <w:tcPr>
            <w:tcW w:type="pct" w:w="939"/>
            <w:shd w:fill="FBFAF6" w:val="clear"/>
            <w:tcMar>
              <w:top w:type="dxa" w:w="50"/>
              <w:left w:type="dxa" w:w="110"/>
              <w:bottom w:type="dxa" w:w="50"/>
              <w:right w:type="dxa" w:w="110"/>
            </w:tcMar>
          </w:tcPr>
          <w:p>
            <w:pPr>
              <w:spacing w:before="28" w:after="28"/>
            </w:pPr>
            <w:r>
              <w:rPr>
                <w:sz w:val="15"/>
                <w:szCs w:val="15"/>
              </w:rPr>
              <w:t xml:space="preserve">2,100,569</w:t>
            </w:r>
          </w:p>
        </w:tc>
        <w:tc>
          <w:tcPr>
            <w:tcW w:type="pct" w:w="932"/>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29"/>
            <w:tcMar>
              <w:top w:type="dxa" w:w="50"/>
              <w:left w:type="dxa" w:w="110"/>
              <w:bottom w:type="dxa" w:w="50"/>
              <w:right w:type="dxa" w:w="110"/>
            </w:tcMar>
          </w:tcPr>
          <w:p>
            <w:pPr>
              <w:spacing w:before="28" w:after="28"/>
            </w:pPr>
            <w:r>
              <w:rPr>
                <w:sz w:val="15"/>
                <w:szCs w:val="15"/>
              </w:rPr>
              <w:t xml:space="preserve">$70.02</w:t>
            </w:r>
          </w:p>
        </w:tc>
        <w:tc>
          <w:tcPr>
            <w:tcW w:type="pct" w:w="939"/>
            <w:tcMar>
              <w:top w:type="dxa" w:w="50"/>
              <w:left w:type="dxa" w:w="110"/>
              <w:bottom w:type="dxa" w:w="50"/>
              <w:right w:type="dxa" w:w="110"/>
            </w:tcMar>
          </w:tcPr>
          <w:p>
            <w:pPr>
              <w:spacing w:before="28" w:after="28"/>
            </w:pPr>
            <w:r>
              <w:rPr>
                <w:sz w:val="15"/>
                <w:szCs w:val="15"/>
              </w:rPr>
              <w:t xml:space="preserve">$54.70</w:t>
            </w:r>
          </w:p>
        </w:tc>
        <w:tc>
          <w:tcPr>
            <w:tcW w:type="pct" w:w="932"/>
            <w:tcMar>
              <w:top w:type="dxa" w:w="50"/>
              <w:left w:type="dxa" w:w="110"/>
              <w:bottom w:type="dxa" w:w="50"/>
              <w:right w:type="dxa" w:w="110"/>
            </w:tcMar>
          </w:tcPr>
          <w:p>
            <w:pPr>
              <w:spacing w:before="28" w:after="28"/>
            </w:pPr>
            <w:r>
              <w:rPr>
                <w:sz w:val="15"/>
                <w:szCs w:val="15"/>
              </w:rPr>
              <w:t xml:space="preserve">$43.76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29"/>
            <w:shd w:fill="FBFAF6" w:val="clear"/>
            <w:tcMar>
              <w:top w:type="dxa" w:w="50"/>
              <w:left w:type="dxa" w:w="110"/>
              <w:bottom w:type="dxa" w:w="50"/>
              <w:right w:type="dxa" w:w="110"/>
            </w:tcMar>
          </w:tcPr>
          <w:p>
            <w:pPr>
              <w:spacing w:before="28" w:after="28"/>
            </w:pPr>
            <w:r>
              <w:rPr>
                <w:sz w:val="15"/>
                <w:szCs w:val="15"/>
              </w:rPr>
              <w:t xml:space="preserve">600,000</w:t>
            </w:r>
          </w:p>
        </w:tc>
        <w:tc>
          <w:tcPr>
            <w:tcW w:type="pct" w:w="939"/>
            <w:shd w:fill="FBFAF6" w:val="clear"/>
            <w:tcMar>
              <w:top w:type="dxa" w:w="50"/>
              <w:left w:type="dxa" w:w="110"/>
              <w:bottom w:type="dxa" w:w="50"/>
              <w:right w:type="dxa" w:w="110"/>
            </w:tcMar>
          </w:tcPr>
          <w:p>
            <w:pPr>
              <w:spacing w:before="28" w:after="28"/>
            </w:pPr>
            <w:r>
              <w:rPr>
                <w:sz w:val="15"/>
                <w:szCs w:val="15"/>
              </w:rPr>
              <w:t xml:space="preserve">768,000</w:t>
            </w:r>
          </w:p>
        </w:tc>
        <w:tc>
          <w:tcPr>
            <w:tcW w:type="pct" w:w="932"/>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200"/>
            <w:tcMar>
              <w:top w:type="dxa" w:w="50"/>
              <w:left w:type="dxa" w:w="110"/>
              <w:bottom w:type="dxa" w:w="50"/>
              <w:right w:type="dxa" w:w="110"/>
            </w:tcMar>
          </w:tcPr>
          <w:p>
            <w:pPr>
              <w:spacing w:before="28" w:after="28"/>
            </w:pPr>
            <w:r>
              <w:rPr>
                <w:sz w:val="15"/>
                <w:szCs w:val="15"/>
              </w:rPr>
              <w:t xml:space="preserve">Variable overhead per MH</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939"/>
            <w:tcMar>
              <w:top w:type="dxa" w:w="50"/>
              <w:left w:type="dxa" w:w="110"/>
              <w:bottom w:type="dxa" w:w="50"/>
              <w:right w:type="dxa" w:w="110"/>
            </w:tcMar>
          </w:tcPr>
          <w:p>
            <w:pPr>
              <w:spacing w:before="28" w:after="28"/>
            </w:pPr>
            <w:r>
              <w:rPr>
                <w:sz w:val="15"/>
                <w:szCs w:val="15"/>
              </w:rPr>
              <w:t xml:space="preserve">$20.00</w:t>
            </w:r>
          </w:p>
        </w:tc>
        <w:tc>
          <w:tcPr>
            <w:tcW w:type="pct" w:w="932"/>
            <w:tcMar>
              <w:top w:type="dxa" w:w="50"/>
              <w:left w:type="dxa" w:w="110"/>
              <w:bottom w:type="dxa" w:w="50"/>
              <w:right w:type="dxa" w:w="110"/>
            </w:tcMar>
          </w:tcPr>
          <w:p>
            <w:pPr>
              <w:spacing w:before="28" w:after="28"/>
            </w:pPr>
            <w:r>
              <w:rPr>
                <w:sz w:val="15"/>
                <w:szCs w:val="15"/>
              </w:rPr>
              <w:t xml:space="preserve">$20.00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2,700,569</w:t>
            </w:r>
          </w:p>
        </w:tc>
        <w:tc>
          <w:tcPr>
            <w:tcW w:type="pct" w:w="939"/>
            <w:shd w:fill="FBFAF6" w:val="clear"/>
            <w:tcMar>
              <w:top w:type="dxa" w:w="50"/>
              <w:left w:type="dxa" w:w="110"/>
              <w:bottom w:type="dxa" w:w="50"/>
              <w:right w:type="dxa" w:w="110"/>
            </w:tcMar>
          </w:tcPr>
          <w:p>
            <w:pPr>
              <w:spacing w:before="28" w:after="28"/>
            </w:pPr>
            <w:r>
              <w:rPr>
                <w:sz w:val="15"/>
                <w:szCs w:val="15"/>
              </w:rPr>
              <w:t xml:space="preserve">2,868,569</w:t>
            </w:r>
          </w:p>
        </w:tc>
        <w:tc>
          <w:tcPr>
            <w:tcW w:type="pct" w:w="932"/>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200"/>
            <w:tcMar>
              <w:top w:type="dxa" w:w="50"/>
              <w:left w:type="dxa" w:w="110"/>
              <w:bottom w:type="dxa" w:w="50"/>
              <w:right w:type="dxa" w:w="110"/>
            </w:tcMar>
          </w:tcPr>
          <w:p>
            <w:pPr>
              <w:spacing w:before="28" w:after="28"/>
            </w:pPr>
            <w:r>
              <w:rPr>
                <w:sz w:val="15"/>
                <w:szCs w:val="15"/>
              </w:rPr>
              <w:t xml:space="preserve">Total overhead per MH</w:t>
            </w:r>
          </w:p>
        </w:tc>
        <w:tc>
          <w:tcPr>
            <w:tcW w:type="pct" w:w="929"/>
            <w:tcMar>
              <w:top w:type="dxa" w:w="50"/>
              <w:left w:type="dxa" w:w="110"/>
              <w:bottom w:type="dxa" w:w="50"/>
              <w:right w:type="dxa" w:w="110"/>
            </w:tcMar>
          </w:tcPr>
          <w:p>
            <w:pPr>
              <w:spacing w:before="28" w:after="28"/>
            </w:pPr>
            <w:r>
              <w:rPr>
                <w:sz w:val="15"/>
                <w:szCs w:val="15"/>
              </w:rPr>
              <w:t xml:space="preserve">$90.02</w:t>
            </w:r>
          </w:p>
        </w:tc>
        <w:tc>
          <w:tcPr>
            <w:tcW w:type="pct" w:w="939"/>
            <w:tcMar>
              <w:top w:type="dxa" w:w="50"/>
              <w:left w:type="dxa" w:w="110"/>
              <w:bottom w:type="dxa" w:w="50"/>
              <w:right w:type="dxa" w:w="110"/>
            </w:tcMar>
          </w:tcPr>
          <w:p>
            <w:pPr>
              <w:spacing w:before="28" w:after="28"/>
            </w:pPr>
            <w:r>
              <w:rPr>
                <w:sz w:val="15"/>
                <w:szCs w:val="15"/>
              </w:rPr>
              <w:t xml:space="preserve">$74.70</w:t>
            </w:r>
          </w:p>
        </w:tc>
        <w:tc>
          <w:tcPr>
            <w:tcW w:type="pct" w:w="932"/>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per MH   ·   Machine hours   ·   Total variable overhead ($20 per MH)   ·   relevant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activity   ·   computed   ·   multiply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behavior   ·   relevant range   ·   variable cost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overhead per MH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relevant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 variable overhead ($20 per MH)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salaries cannot easily change. </w:t>
      </w:r>
      <w:r>
        <w:rPr>
          <w:sz w:val="19"/>
          <w:szCs w:val="19"/>
        </w:rPr>
        <w:t xml:space="preserve">In the long run,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end the lease, change the staff or buy new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every cost can change. </w:t>
      </w:r>
      <w:r>
        <w:rPr>
          <w:sz w:val="19"/>
          <w:szCs w:val="19"/>
        </w:rPr>
        <w:t xml:space="preserve">Some fixed costs come from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advertising, are set each year by managers: these are discretionary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machines   ·   supervision   ·   long-term   ·   depends   ·   depreciation   ·   budget   ·   training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2"/>
        <w:gridCol w:w="2157"/>
        <w:gridCol w:w="2806"/>
        <w:gridCol w:w="19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92"/>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46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92"/>
            <w:tcMar>
              <w:top w:type="dxa" w:w="50"/>
              <w:left w:type="dxa" w:w="110"/>
              <w:bottom w:type="dxa" w:w="50"/>
              <w:right w:type="dxa" w:w="110"/>
            </w:tcMar>
          </w:tcPr>
          <w:p>
            <w:pPr>
              <w:spacing w:before="28" w:after="28"/>
            </w:pPr>
            <w:r>
              <w:rPr>
                <w:sz w:val="15"/>
                <w:szCs w:val="15"/>
              </w:rPr>
              <w:t xml:space="preserve">Olive-press lease (ROU amortization)</w:t>
            </w:r>
          </w:p>
        </w:tc>
        <w:tc>
          <w:tcPr>
            <w:tcW w:type="pct" w:w="1124"/>
            <w:tcMar>
              <w:top w:type="dxa" w:w="50"/>
              <w:left w:type="dxa" w:w="110"/>
              <w:bottom w:type="dxa" w:w="50"/>
              <w:right w:type="dxa" w:w="110"/>
            </w:tcMar>
          </w:tcPr>
          <w:p>
            <w:pPr>
              <w:spacing w:before="28" w:after="28"/>
            </w:pPr>
            <w:r>
              <w:rPr>
                <w:sz w:val="15"/>
                <w:szCs w:val="15"/>
              </w:rPr>
              <w:t xml:space="preserve">Fixed: 216,569 a year</w:t>
            </w:r>
          </w:p>
        </w:tc>
        <w:tc>
          <w:tcPr>
            <w:tcW w:type="pct" w:w="1461"/>
            <w:tcMar>
              <w:top w:type="dxa" w:w="50"/>
              <w:left w:type="dxa" w:w="110"/>
              <w:bottom w:type="dxa" w:w="50"/>
              <w:right w:type="dxa" w:w="110"/>
            </w:tcMar>
          </w:tcPr>
          <w:p>
            <w:pPr>
              <w:spacing w:before="28" w:after="28"/>
            </w:pPr>
            <w:r>
              <w:rPr>
                <w:sz w:val="15"/>
                <w:szCs w:val="15"/>
              </w:rPr>
              <w:t xml:space="preserve">Committed until the lease ends in 2029</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1124"/>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46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92"/>
            <w:tcMar>
              <w:top w:type="dxa" w:w="50"/>
              <w:left w:type="dxa" w:w="110"/>
              <w:bottom w:type="dxa" w:w="50"/>
              <w:right w:type="dxa" w:w="110"/>
            </w:tcMar>
          </w:tcPr>
          <w:p>
            <w:pPr>
              <w:spacing w:before="28" w:after="28"/>
            </w:pPr>
            <w:r>
              <w:rPr>
                <w:sz w:val="15"/>
                <w:szCs w:val="15"/>
              </w:rPr>
              <w:t xml:space="preserve">Maintenance &amp; utilities</w:t>
            </w:r>
          </w:p>
        </w:tc>
        <w:tc>
          <w:tcPr>
            <w:tcW w:type="pct" w:w="1124"/>
            <w:tcMar>
              <w:top w:type="dxa" w:w="50"/>
              <w:left w:type="dxa" w:w="110"/>
              <w:bottom w:type="dxa" w:w="50"/>
              <w:right w:type="dxa" w:w="110"/>
            </w:tcMar>
          </w:tcPr>
          <w:p>
            <w:pPr>
              <w:spacing w:before="28" w:after="28"/>
            </w:pPr>
            <w:r>
              <w:rPr>
                <w:sz w:val="15"/>
                <w:szCs w:val="15"/>
              </w:rPr>
              <w:t xml:space="preserve">Mixed: 216,000 + $12 per MH</w:t>
            </w:r>
          </w:p>
        </w:tc>
        <w:tc>
          <w:tcPr>
            <w:tcW w:type="pct" w:w="1461"/>
            <w:tcMar>
              <w:top w:type="dxa" w:w="50"/>
              <w:left w:type="dxa" w:w="110"/>
              <w:bottom w:type="dxa" w:w="50"/>
              <w:right w:type="dxa" w:w="110"/>
            </w:tcMar>
          </w:tcPr>
          <w:p>
            <w:pPr>
              <w:spacing w:before="28" w:after="28"/>
            </w:pPr>
            <w:r>
              <w:rPr>
                <w:sz w:val="15"/>
                <w:szCs w:val="15"/>
              </w:rPr>
              <w:t xml:space="preserve">Fixed part is the service contract</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1124"/>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46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24"/>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Committed until the lease ends in 2029   ·   Changes only when the lease is renewed or ended   ·   Staff can be added or removed   ·   Contract can be resized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التكلفة الثابتة الاختيارية   ·   discretionary fixed cost   ·   committed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can be resized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committed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 only when the lease is renewed or ended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discretionary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total cost = fixed cost + variable rate ×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maintenance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separated   ·   accounts   ·   accountant   ·   records   ·   activity   ·   function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Variable   ·   Power   ·   Olive-press ROU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Labels, one per jar   ·   committed fixed cost   ·   Factory insurance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cost behavior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Olive-press ROU 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Labels, one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month's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second shift adds $72,000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$180,000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 the cost function from Section 2.5.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 overhead at each volume, check which volumes are inside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range, and see what happens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r>
        <w:rPr>
          <w:sz w:val="19"/>
          <w:szCs w:val="19"/>
        </w:rPr>
        <w:t xml:space="preserve">Above the range (55,000 hours): $2,100,569 + $252,000 + $20 × 55,000 = $3,452,569.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Compute   ·   calculations   ·   records   ·   several   ·   relevant   ·   invoices   ·   supervision   ·   flexible   ·   entries   ·   machine   ·   maintenance   ·   harvest</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cost   ·   Fixed overhead</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The general ledger records costs by nature, but Orontes tags 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as fixed or variable. </w:t>
      </w:r>
      <w:r>
        <w:rPr>
          <w:sz w:val="19"/>
          <w:szCs w:val="19"/>
        </w:rPr>
        <w:t xml:space="preserve">In March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crushers   ·   month's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Accounts Payable   ·   MOH Control - Fixed   ·   Totals   ·   MOH Control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$20 × 3,200 = $64,000. </w:t>
      </w:r>
      <w:r>
        <w:rPr>
          <w:sz w:val="19"/>
          <w:szCs w:val="19"/>
        </w:rPr>
        <w:t xml:space="preserve">Fixed maintenance for the year: $216,000,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Journal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   Journal   ·   overhead   ·   twelve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a cost at two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a request for the cost at a third volume. </w:t>
      </w:r>
      <w:r>
        <w:rPr>
          <w:sz w:val="19"/>
          <w:szCs w:val="19"/>
        </w:rPr>
        <w:t xml:space="preserve">Split the cost first, check that the new volume is inside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range, then rebuild the total. </w:t>
      </w:r>
      <w:r>
        <w:rPr>
          <w:sz w:val="19"/>
          <w:szCs w:val="19"/>
        </w:rPr>
        <w:t xml:space="preserve">Never scale a total cost that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includes   ·   volumes   ·   relevant   ·   function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   Maintenance   ·   Line supervision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Electricity: monthly base charge plus a rate per kWh</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extra supervisor for every 20,000 jars a month</w:t>
            </w:r>
          </w:p>
        </w:tc>
        <w:tc>
          <w:tcPr>
            <w:tcW w:type="pct" w:w="2400"/>
            <w:shd w:fill="FBFAF6" w:val="clear"/>
            <w:tcMar>
              <w:top w:type="dxa" w:w="50"/>
              <w:left w:type="dxa" w:w="110"/>
              <w:bottom w:type="dxa" w:w="50"/>
              <w:right w:type="dxa" w:w="110"/>
            </w:tcMar>
          </w:tcPr>
          <w:p>
            <w:pPr>
              <w:spacing w:before="28" w:after="28"/>
            </w:pPr>
            <w:r>
              <w:rPr>
                <w:sz w:val="15"/>
                <w:szCs w:val="15"/>
              </w:rPr>
              <w:t xml:space="preserve">Step</w:t>
            </w:r>
          </w:p>
        </w:tc>
      </w:tr>
      <w:tr>
        <w:tc>
          <w:tcPr>
            <w:tcW w:type="pct" w:w="2600"/>
            <w:tcMar>
              <w:top w:type="dxa" w:w="50"/>
              <w:left w:type="dxa" w:w="110"/>
              <w:bottom w:type="dxa" w:w="50"/>
              <w:right w:type="dxa" w:w="110"/>
            </w:tcMar>
          </w:tcPr>
          <w:p>
            <w:pPr>
              <w:spacing w:before="28" w:after="28"/>
            </w:pPr>
            <w:r>
              <w:rPr>
                <w:sz w:val="15"/>
                <w:szCs w:val="15"/>
              </w:rPr>
              <w:t xml:space="preserve">Labels, one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Factory insurance</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Variable   ·   Mixed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tcMar>
              <w:top w:type="dxa" w:w="50"/>
              <w:left w:type="dxa" w:w="110"/>
              <w:bottom w:type="dxa" w:w="50"/>
              <w:right w:type="dxa" w:w="110"/>
            </w:tcMar>
          </w:tcPr>
          <w:p>
            <w:pPr>
              <w:spacing w:before="28" w:after="28"/>
            </w:pPr>
            <w:r>
              <w:rPr>
                <w:sz w:val="15"/>
                <w:szCs w:val="15"/>
              </w:rPr>
              <w:t xml:space="preserve">Variable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   Mixed   ·   High   ·   Fixed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MOH Control -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Line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crushers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Fixed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fixed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 Above the range (55,000 hours): $2,100,569 + $252,000 + $20 × 55,000 = $3,452,569.</w:t>
      </w:r>
    </w:p>
    <w:p>
      <w:pPr>
        <w:spacing w:before="20" w:after="20"/>
        <w:ind w:left="240" w:hanging="240"/>
      </w:pPr>
      <w:r>
        <w:rPr>
          <w:b/>
          <w:bCs/>
          <w:color w:val="353A7C"/>
          <w:sz w:val="15"/>
          <w:szCs w:val="15"/>
        </w:rPr>
        <w:t xml:space="preserve">Summary 2   </w:t>
      </w:r>
      <w:r>
        <w:rPr>
          <w:color w:val="6B7280"/>
          <w:sz w:val="15"/>
          <w:szCs w:val="15"/>
        </w:rPr>
        <w:t xml:space="preserve">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3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4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ac8468d2acc4ba2c711d1c69630f9f813efbeab.png" Type="http://schemas.openxmlformats.org/officeDocument/2006/relationships/image"/><Relationship Id="rId102" Target="media/9877cf5073e97303c5b0267d091d5298ac5c2f0c.png" Type="http://schemas.openxmlformats.org/officeDocument/2006/relationships/image"/><Relationship Id="rId103" Target="media/bbc9c5c2730114f5670e07d2ff13ca64f772e954.png" Type="http://schemas.openxmlformats.org/officeDocument/2006/relationships/image"/><Relationship Id="rId104" Target="media/0231f103bc9e64e6882b3a59abeee673b0e55609.png" Type="http://schemas.openxmlformats.org/officeDocument/2006/relationships/image"/><Relationship Id="rId105" Target="media/244119658c11a216b65e7a970338420197956cda.png" Type="http://schemas.openxmlformats.org/officeDocument/2006/relationships/image"/><Relationship Id="rId106" Target="media/4d8bd14716ae8785dce001bb202e13e94addac13.png" Type="http://schemas.openxmlformats.org/officeDocument/2006/relationships/image"/><Relationship Id="rId107" Target="media/a5fec33c2caeaa7c95da75450d0dca6b22d69c25.png" Type="http://schemas.openxmlformats.org/officeDocument/2006/relationships/image"/><Relationship Id="rId108" Target="media/10f4c197a9f27a6eafd40d016c00f834c50706bc.png" Type="http://schemas.openxmlformats.org/officeDocument/2006/relationships/image"/><Relationship Id="rId109" Target="media/0b47e88dd0bc5a46ba45cb267bb9e860f1133f0b.png" Type="http://schemas.openxmlformats.org/officeDocument/2006/relationships/image"/><Relationship Id="rId110" Target="media/60140e3e584201a72343bcf0db10fc1c5a45f65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2</dc:title>
  <dc:subject>Summary handouts</dc:subject>
  <cp:category>Student Book</cp:category>
</cp:coreProperties>
</file>