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tcMar>
              <w:top w:type="dxa" w:w="50"/>
              <w:left w:type="dxa" w:w="110"/>
              <w:bottom w:type="dxa" w:w="50"/>
              <w:right w:type="dxa" w:w="110"/>
            </w:tcMar>
          </w:tcPr>
          <w:p>
            <w:pPr>
              <w:spacing w:before="28" w:after="28"/>
            </w:pPr>
            <w:r>
              <w:rPr>
                <w:sz w:val="15"/>
                <w:szCs w:val="15"/>
              </w:rPr>
              <w:t xml:space="preserve">Variable selling cost</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Price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confuse   ·   including   ·   overhead   ·   cost-volume-profit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Contribution margin ratio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contribution margin $6,806,000 − fixed costs $3,900,000 = $2,906,000. </w:t>
      </w:r>
      <w:r>
        <w:rPr>
          <w:sz w:val="19"/>
          <w:szCs w:val="19"/>
        </w:rPr>
        <w:t xml:space="preserve">Reconciliation: (60,000 − 40,000) × $2.00 = $40,000.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Absorption   ·   multiply   ·   capacity   ·   records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21–23</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Opening   ·   Income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Expect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reconcile   ·   production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manufacturing overhead (budget = actual)</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tcMar>
              <w:top w:type="dxa" w:w="50"/>
              <w:left w:type="dxa" w:w="110"/>
              <w:bottom w:type="dxa" w:w="50"/>
              <w:right w:type="dxa" w:w="110"/>
            </w:tcMar>
          </w:tcPr>
          <w:p>
            <w:pPr>
              <w:spacing w:before="28" w:after="28"/>
            </w:pPr>
            <w:r>
              <w:rPr>
                <w:sz w:val="15"/>
                <w:szCs w:val="15"/>
              </w:rPr>
              <w:t xml:space="preserve">Normal capacity (denominator)</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Trays produced / sold (no opening inventory)</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Product cost under both methods   ·   Variable selling cost per tray   ·   Selling price per tray   ·   Variable manufacturing cost per tray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tcMar>
              <w:top w:type="dxa" w:w="50"/>
              <w:left w:type="dxa" w:w="110"/>
              <w:bottom w:type="dxa" w:w="50"/>
              <w:right w:type="dxa" w:w="110"/>
            </w:tcMar>
          </w:tcPr>
          <w:p>
            <w:pPr>
              <w:spacing w:before="28" w:after="28"/>
            </w:pPr>
            <w:r>
              <w:rPr>
                <w:sz w:val="15"/>
                <w:szCs w:val="15"/>
              </w:rPr>
              <w:t xml:space="preserve">(40,000) × $2.00 = (80,000)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Various accounts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under both methods   ·   Which method shows higher income?   ·   Product cost under absorption only   ·   Product cost under both methods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price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manufacturing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w:t>
      </w:r>
    </w:p>
    <w:p>
      <w:pPr>
        <w:spacing w:before="20" w:after="20"/>
        <w:ind w:left="240" w:hanging="240"/>
      </w:pPr>
      <w:r>
        <w:rPr>
          <w:b/>
          <w:bCs/>
          <w:color w:val="353A7C"/>
          <w:sz w:val="15"/>
          <w:szCs w:val="15"/>
        </w:rPr>
        <w:t xml:space="preserve">Summary 2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3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b68ea052bdec49a020ff911eacf2a16e0c4039b.png" Type="http://schemas.openxmlformats.org/officeDocument/2006/relationships/image"/><Relationship Id="rId102" Target="media/9bc1ed31aad4dd09a70cbf097c425cf2c5b9c49a.png" Type="http://schemas.openxmlformats.org/officeDocument/2006/relationships/image"/><Relationship Id="rId103" Target="media/0fcfd381fc90438c8299941a2ba605bfa3dd1e23.png" Type="http://schemas.openxmlformats.org/officeDocument/2006/relationships/image"/><Relationship Id="rId104" Target="media/344e65bf7c7edb47f55032cdff0878a43b42d5a7.png" Type="http://schemas.openxmlformats.org/officeDocument/2006/relationships/image"/><Relationship Id="rId105" Target="media/0d6dbf37fd83075f3178e222624db1a35134ac2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9</dc:title>
  <dc:subject>Summary handouts</dc:subject>
  <cp:category>Student Book</cp:category>
</cp:coreProperties>
</file>