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should follow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makes the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Where no causal base exists, managers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department   ·   headcount   ·   divisions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methods below deal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Maintenance   ·   Quality   ·   straight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departments only, in proportion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direct   ·   services   ·   original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rescaled to the production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rescaled   ·   departments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$176,000 goes to IT, so IT's pool becomes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serves   ·   service-to-service   ·   Maintenance   ·   Orontes's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(first receives from Maintenance)   ·   Oils   ·   direct method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Step-down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accurate than the direct method, but the order matters and the link from IT back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Maintenance   ·   Orontes's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second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allocates its own cost plus what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received   ·   step-down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(first receives from Maintenance)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equations gives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Maintenance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others.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charges variable cost on actual use and fixed cost on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user planned for. </w:t>
      </w:r>
      <w:r>
        <w:rPr>
          <w:sz w:val="19"/>
          <w:szCs w:val="19"/>
        </w:rPr>
        <w:t xml:space="preserve">Orontes charges Maintenance at a budgeted rate of $40 per hour plus fixed shares of $560,000, so users do not pay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overspending.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together   ·   single-rate   ·   spread   ·   dual-rate   ·   user's   ·   charges   ·   Maintenance's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Beverages   ·   Oils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single-rate method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single-rate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Maintenance's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budgeted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the policy methods, records the entries and ties the result to the charges used in earlier chapters.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Maintenance then IT; Quality Lab on test hours; HR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pool, then Quality Lab and HR. </w:t>
      </w:r>
      <w:r>
        <w:rPr>
          <w:sz w:val="19"/>
          <w:szCs w:val="19"/>
        </w:rPr>
        <w:t xml:space="preserve">Record each step, check that every service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closes, and compare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 with its monthly charge.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departments   ·   allocation   ·   division's   ·   headcount   ·   enlarged   ·   account   ·   step-down   ·   earlier</w:t>
            </w:r>
          </w:p>
        </w:tc>
      </w:tr>
    </w:tbl>
    <w:p/>
    <w:p>
      <w:pPr>
        <w:spacing w:before="44" w:after="10"/>
      </w:pPr>
      <w:r>
        <w:rPr>
          <w:b/>
          <w:bCs/>
          <w:color w:val="353A7C"/>
          <w:sz w:val="18"/>
          <w:szCs w:val="18"/>
        </w:rPr>
        <w:t xml:space="preserve">Extended Example: 2027 service allocation by division</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Oils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Maintenance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Quality Lab</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HR Department   ·   IT Department   ·   Levant Distribution · FY2027   ·   Maintenance Department   ·   Various accounts   ·   Totals   ·   Quality Lab   ·   MOH Control - Oils   ·   MOH Control - Beverages   ·   MOH Control - Tahini</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Allocated: $888,000 + $690,000 + $414,000 = $1,992,000, all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 $576,000. </w:t>
      </w:r>
      <w:r>
        <w:rPr>
          <w:sz w:val="19"/>
          <w:szCs w:val="19"/>
        </w:rPr>
        <w:t xml:space="preserve">Tahini: $690,000 is twelve months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   service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use the enlarged pool. </w:t>
      </w:r>
      <w:r>
        <w:rPr>
          <w:sz w:val="19"/>
          <w:szCs w:val="19"/>
        </w:rPr>
        <w:t xml:space="preserve">For the reciprocal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methods   ·   rescale   ·   step-down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16"/>
        <w:gridCol w:w="864"/>
        <w:gridCol w:w="864"/>
        <w:gridCol w:w="1156"/>
        <w:gridCol w:w="107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73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602"/>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561"/>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2200"/>
            <w:tcMar>
              <w:top w:type="dxa" w:w="50"/>
              <w:left w:type="dxa" w:w="110"/>
              <w:bottom w:type="dxa" w:w="50"/>
              <w:right w:type="dxa" w:w="110"/>
            </w:tcMar>
          </w:tcPr>
          <w:p>
            <w:pPr>
              <w:spacing w:before="28" w:after="28"/>
            </w:pPr>
            <w:r>
              <w:rPr>
                <w:sz w:val="15"/>
                <w:szCs w:val="15"/>
              </w:rPr>
              <w:t xml:space="preserve">Fleet Maintenance (S1)</w:t>
            </w:r>
          </w:p>
        </w:tc>
        <w:tc>
          <w:tcPr>
            <w:tcW w:type="pct" w:w="738"/>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602"/>
            <w:tcMar>
              <w:top w:type="dxa" w:w="50"/>
              <w:left w:type="dxa" w:w="110"/>
              <w:bottom w:type="dxa" w:w="50"/>
              <w:right w:type="dxa" w:w="110"/>
            </w:tcMar>
          </w:tcPr>
          <w:p>
            <w:pPr>
              <w:spacing w:before="28" w:after="28"/>
            </w:pPr>
            <w:r>
              <w:rPr>
                <w:sz w:val="15"/>
                <w:szCs w:val="15"/>
              </w:rPr>
              <w:t xml:space="preserve">40%</w:t>
            </w:r>
          </w:p>
        </w:tc>
        <w:tc>
          <w:tcPr>
            <w:tcW w:type="pct" w:w="561"/>
            <w:tcMar>
              <w:top w:type="dxa" w:w="50"/>
              <w:left w:type="dxa" w:w="110"/>
              <w:bottom w:type="dxa" w:w="50"/>
              <w:right w:type="dxa" w:w="110"/>
            </w:tcMar>
          </w:tcPr>
          <w:p>
            <w:pPr>
              <w:spacing w:before="28" w:after="28"/>
            </w:pPr>
            <w:r>
              <w:rPr>
                <w:sz w:val="15"/>
                <w:szCs w:val="15"/>
              </w:rPr>
              <w:t xml:space="preserve">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738"/>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602"/>
            <w:shd w:fill="FBFAF6" w:val="clear"/>
            <w:tcMar>
              <w:top w:type="dxa" w:w="50"/>
              <w:left w:type="dxa" w:w="110"/>
              <w:bottom w:type="dxa" w:w="50"/>
              <w:right w:type="dxa" w:w="110"/>
            </w:tcMar>
          </w:tcPr>
          <w:p>
            <w:pPr>
              <w:spacing w:before="28" w:after="28"/>
            </w:pPr>
            <w:r>
              <w:rPr>
                <w:sz w:val="15"/>
                <w:szCs w:val="15"/>
              </w:rPr>
              <w:t xml:space="preserve">50%</w:t>
            </w:r>
          </w:p>
        </w:tc>
        <w:tc>
          <w:tcPr>
            <w:tcW w:type="pct" w:w="561"/>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IT (S2)</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tcMar>
              <w:top w:type="dxa" w:w="50"/>
              <w:left w:type="dxa" w:w="110"/>
              <w:bottom w:type="dxa" w:w="50"/>
              <w:right w:type="dxa" w:w="110"/>
            </w:tcMar>
          </w:tcPr>
          <w:p>
            <w:pPr>
              <w:spacing w:before="28" w:after="28"/>
            </w:pPr>
            <w:r>
              <w:rPr>
                <w:sz w:val="15"/>
                <w:szCs w:val="15"/>
              </w:rPr>
              <w:t xml:space="preserve">Variable 60,000; total 172,000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Beverages   ·   Variable 28,000; total 84,000</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Payroll office   ·   IT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direct method   ·   reciprocal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step-down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enlarged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step-down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IT (S2)</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28,000; total 84,000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Lab</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Payroll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MOH Control - Oils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MOH Control - Tahini</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reciprocal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IT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dual-rate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d146f0092848467e9b5654d273dc97145c111fb.png" Type="http://schemas.openxmlformats.org/officeDocument/2006/relationships/image"/><Relationship Id="rId102" Target="media/cdcb4e91baf6629ac81b52fb25f203a9ceb3c9e3.png" Type="http://schemas.openxmlformats.org/officeDocument/2006/relationships/image"/><Relationship Id="rId103" Target="media/b2b22017f2547d6ca419f6f112a6d25b648c6e92.png" Type="http://schemas.openxmlformats.org/officeDocument/2006/relationships/image"/><Relationship Id="rId104" Target="media/24d1a8b0e4ed2091c912cde78fd93ded4d82dd84.png" Type="http://schemas.openxmlformats.org/officeDocument/2006/relationships/image"/><Relationship Id="rId105" Target="media/299d96a4bc893183f820b8e5393a53da420f51e2.png" Type="http://schemas.openxmlformats.org/officeDocument/2006/relationships/image"/><Relationship Id="rId106" Target="media/278d35679c4ce67b83afa7927407717d25b9edd6.png" Type="http://schemas.openxmlformats.org/officeDocument/2006/relationships/image"/><Relationship Id="rId107" Target="media/2f17929766e5eb4586cfe86998355b4342668901.png" Type="http://schemas.openxmlformats.org/officeDocument/2006/relationships/image"/><Relationship Id="rId108" Target="media/f2fb866aa89543f62832718b9dd35e8a1a20eab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10</dc:title>
  <dc:subject>Summary handouts</dc:subject>
  <cp:category>Student Book</cp:category>
</cp:coreProperties>
</file>