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Joint products, by-products and scrap</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21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214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method (by-products)   ·   Accounting for by-products   ·   Joint products, by-products and scrap   ·   Benefits, limitations and further processing</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Joint products are two or more products from the same process, each with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sales value.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oil (EVOO) and virgin oil (VOO) are joint products: the press runs to make both. </w:t>
      </w:r>
      <w:r>
        <w:rPr>
          <w:sz w:val="19"/>
          <w:szCs w:val="19"/>
        </w:rPr>
        <w:t xml:space="preserve">A by-product comes from the same process but has a small sales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the joint products.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olive cake left after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by-product. </w:t>
      </w:r>
      <w:r>
        <w:rPr>
          <w:sz w:val="19"/>
          <w:szCs w:val="19"/>
        </w:rPr>
        <w:t xml:space="preserve">Scrap has even less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sharply   ·   pressing   ·   Extra-virgin   ·   compared   ·   significant   ·   Pomace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087"/>
        <w:gridCol w:w="1380"/>
        <w:gridCol w:w="304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Joint products, by-products and scrap</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Output</w:t>
            </w:r>
          </w:p>
        </w:tc>
        <w:tc>
          <w:tcPr>
            <w:tcW w:type="pct" w:w="2129"/>
            <w:shd w:fill="353A7C" w:val="clear"/>
            <w:tcMar>
              <w:top w:type="dxa" w:w="50"/>
              <w:left w:type="dxa" w:w="110"/>
              <w:bottom w:type="dxa" w:w="50"/>
              <w:right w:type="dxa" w:w="110"/>
            </w:tcMar>
          </w:tcPr>
          <w:p>
            <w:pPr>
              <w:spacing w:before="30" w:after="30"/>
            </w:pPr>
            <w:r>
              <w:rPr>
                <w:b/>
                <w:bCs/>
                <w:color w:val="FFFFFF"/>
                <w:sz w:val="15"/>
                <w:szCs w:val="15"/>
              </w:rPr>
              <w:t xml:space="preserve">Test</w:t>
            </w:r>
          </w:p>
        </w:tc>
        <w:tc>
          <w:tcPr>
            <w:tcW w:type="pct" w:w="719"/>
            <w:shd w:fill="353A7C" w:val="clear"/>
            <w:tcMar>
              <w:top w:type="dxa" w:w="50"/>
              <w:left w:type="dxa" w:w="110"/>
              <w:bottom w:type="dxa" w:w="50"/>
              <w:right w:type="dxa" w:w="110"/>
            </w:tcMar>
          </w:tcPr>
          <w:p>
            <w:pPr>
              <w:spacing w:before="30" w:after="30"/>
            </w:pPr>
            <w:r>
              <w:rPr>
                <w:b/>
                <w:bCs/>
                <w:color w:val="FFFFFF"/>
                <w:sz w:val="15"/>
                <w:szCs w:val="15"/>
              </w:rPr>
              <w:t xml:space="preserve">Oils example</w:t>
            </w:r>
          </w:p>
        </w:tc>
        <w:tc>
          <w:tcPr>
            <w:tcW w:type="pct" w:w="1584"/>
            <w:shd w:fill="353A7C" w:val="clear"/>
            <w:tcMar>
              <w:top w:type="dxa" w:w="50"/>
              <w:left w:type="dxa" w:w="110"/>
              <w:bottom w:type="dxa" w:w="50"/>
              <w:right w:type="dxa" w:w="110"/>
            </w:tcMar>
          </w:tcPr>
          <w:p>
            <w:pPr>
              <w:spacing w:before="30" w:after="30"/>
            </w:pPr>
            <w:r>
              <w:rPr>
                <w:b/>
                <w:bCs/>
                <w:color w:val="FFFFFF"/>
                <w:sz w:val="15"/>
                <w:szCs w:val="15"/>
              </w:rPr>
              <w:t xml:space="preserve">Accounting</w:t>
            </w:r>
          </w:p>
        </w:tc>
      </w:tr>
      <w:tr>
        <w:tc>
          <w:tcPr>
            <w:tcW w:type="pct" w:w="568"/>
            <w:tcMar>
              <w:top w:type="dxa" w:w="50"/>
              <w:left w:type="dxa" w:w="110"/>
              <w:bottom w:type="dxa" w:w="50"/>
              <w:right w:type="dxa" w:w="110"/>
            </w:tcMar>
          </w:tcPr>
          <w:p>
            <w:pPr>
              <w:spacing w:before="28" w:after="28"/>
            </w:pPr>
            <w:r>
              <w:rPr>
                <w:sz w:val="15"/>
                <w:szCs w:val="15"/>
              </w:rPr>
              <w:t xml:space="preserve">Joint product</w:t>
            </w:r>
          </w:p>
        </w:tc>
        <w:tc>
          <w:tcPr>
            <w:tcW w:type="pct" w:w="2129"/>
            <w:tcMar>
              <w:top w:type="dxa" w:w="50"/>
              <w:left w:type="dxa" w:w="110"/>
              <w:bottom w:type="dxa" w:w="50"/>
              <w:right w:type="dxa" w:w="110"/>
            </w:tcMar>
          </w:tcPr>
          <w:p>
            <w:pPr>
              <w:spacing w:before="28" w:after="28"/>
            </w:pPr>
            <w:r>
              <w:rPr>
                <w:sz w:val="15"/>
                <w:szCs w:val="15"/>
              </w:rPr>
              <w:t xml:space="preserve">Significant sales value; a main reason to run the process</w:t>
            </w:r>
          </w:p>
        </w:tc>
        <w:tc>
          <w:tcPr>
            <w:tcW w:type="pct" w:w="719"/>
            <w:tcMar>
              <w:top w:type="dxa" w:w="50"/>
              <w:left w:type="dxa" w:w="110"/>
              <w:bottom w:type="dxa" w:w="50"/>
              <w:right w:type="dxa" w:w="110"/>
            </w:tcMar>
          </w:tcPr>
          <w:p>
            <w:pPr>
              <w:spacing w:before="28" w:after="28"/>
            </w:pPr>
            <w:r>
              <w:rPr>
                <w:sz w:val="15"/>
                <w:szCs w:val="15"/>
              </w:rPr>
              <w:t xml:space="preserve">EVOO and VOO</w:t>
            </w:r>
          </w:p>
        </w:tc>
        <w:tc>
          <w:tcPr>
            <w:tcW w:type="pct" w:w="1584"/>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By-product</w:t>
            </w:r>
          </w:p>
        </w:tc>
        <w:tc>
          <w:tcPr>
            <w:tcW w:type="pct" w:w="212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719"/>
            <w:shd w:fill="FBFAF6" w:val="clear"/>
            <w:tcMar>
              <w:top w:type="dxa" w:w="50"/>
              <w:left w:type="dxa" w:w="110"/>
              <w:bottom w:type="dxa" w:w="50"/>
              <w:right w:type="dxa" w:w="110"/>
            </w:tcMar>
          </w:tcPr>
          <w:p>
            <w:pPr>
              <w:spacing w:before="28" w:after="28"/>
            </w:pPr>
            <w:r>
              <w:rPr>
                <w:sz w:val="15"/>
                <w:szCs w:val="15"/>
              </w:rPr>
              <w:t xml:space="preserve">Pomace (olive cake)</w:t>
            </w:r>
          </w:p>
        </w:tc>
        <w:tc>
          <w:tcPr>
            <w:tcW w:type="pct" w:w="1584"/>
            <w:shd w:fill="FBFAF6" w:val="clear"/>
            <w:tcMar>
              <w:top w:type="dxa" w:w="50"/>
              <w:left w:type="dxa" w:w="110"/>
              <w:bottom w:type="dxa" w:w="50"/>
              <w:right w:type="dxa" w:w="110"/>
            </w:tcMar>
          </w:tcPr>
          <w:p>
            <w:pPr>
              <w:spacing w:before="28" w:after="28"/>
            </w:pPr>
            <w:r>
              <w:rPr>
                <w:sz w:val="15"/>
                <w:szCs w:val="15"/>
              </w:rPr>
              <w:t xml:space="preserve">NRV reduces joint cost, or income when sold</w:t>
            </w:r>
          </w:p>
        </w:tc>
      </w:tr>
      <w:tr>
        <w:tc>
          <w:tcPr>
            <w:tcW w:type="pct" w:w="568"/>
            <w:tcMar>
              <w:top w:type="dxa" w:w="50"/>
              <w:left w:type="dxa" w:w="110"/>
              <w:bottom w:type="dxa" w:w="50"/>
              <w:right w:type="dxa" w:w="110"/>
            </w:tcMar>
          </w:tcPr>
          <w:p>
            <w:pPr>
              <w:spacing w:before="28" w:after="28"/>
            </w:pPr>
            <w:r>
              <w:rPr>
                <w:sz w:val="15"/>
                <w:szCs w:val="15"/>
              </w:rPr>
              <w:t xml:space="preserve">Scrap</w:t>
            </w:r>
          </w:p>
        </w:tc>
        <w:tc>
          <w:tcPr>
            <w:tcW w:type="pct" w:w="2129"/>
            <w:tcMar>
              <w:top w:type="dxa" w:w="50"/>
              <w:left w:type="dxa" w:w="110"/>
              <w:bottom w:type="dxa" w:w="50"/>
              <w:right w:type="dxa" w:w="110"/>
            </w:tcMar>
          </w:tcPr>
          <w:p>
            <w:pPr>
              <w:spacing w:before="28" w:after="28"/>
            </w:pPr>
            <w:r>
              <w:rPr>
                <w:sz w:val="15"/>
                <w:szCs w:val="15"/>
              </w:rPr>
              <w:t xml:space="preserve">Very small value; often sold for a token amount</w:t>
            </w:r>
          </w:p>
        </w:tc>
        <w:tc>
          <w:tcPr>
            <w:tcW w:type="pct" w:w="719"/>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84"/>
            <w:tcMar>
              <w:top w:type="dxa" w:w="50"/>
              <w:left w:type="dxa" w:w="110"/>
              <w:bottom w:type="dxa" w:w="50"/>
              <w:right w:type="dxa" w:w="110"/>
            </w:tcMar>
          </w:tcPr>
          <w:p>
            <w:pPr>
              <w:spacing w:before="28" w:after="28"/>
            </w:pPr>
            <w:r>
              <w:rPr>
                <w:sz w:val="15"/>
                <w:szCs w:val="15"/>
              </w:rPr>
              <w:t xml:space="preserve">Credit to overhead or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Small sales value compared with the joint products   ·   Share of joint cost   ·   Filter residue   ·   split-off point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The test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value, and it can change. </w:t>
      </w:r>
      <w:r>
        <w:rPr>
          <w:sz w:val="19"/>
          <w:szCs w:val="19"/>
        </w:rPr>
        <w:t xml:space="preserve">If pomace prices rose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Orontes might treat it as a joint product and give it a share of joint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by-product   ·   relative   ·   sharply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joint products</w:t>
            </w:r>
          </w:p>
        </w:tc>
        <w:tc>
          <w:tcPr>
            <w:tcW w:type="pct" w:w="2600"/>
            <w:tcMar>
              <w:top w:type="dxa" w:w="50"/>
              <w:left w:type="dxa" w:w="110"/>
              <w:bottom w:type="dxa" w:w="50"/>
              <w:right w:type="dxa" w:w="110"/>
            </w:tcMar>
          </w:tcPr>
          <w:p>
            <w:pPr>
              <w:spacing w:before="26" w:after="26"/>
            </w:pPr>
            <w:r>
              <w:rPr>
                <w:color w:val="232733"/>
                <w:sz w:val="16"/>
                <w:szCs w:val="16"/>
              </w:rPr>
              <w:t xml:space="preserve">المنتجات المشتركة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by-product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المنتج العرضي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Joint products, by-products and scrap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Joint products, by-products and scrap</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pressing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 for by-products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Share of joint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limitations and further processing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Small sales value compared with the 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Filter residue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sharply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Pomace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Joint products are two or more products from the same process, each with significant sales value. Extra-virgin oil (EVOO) and virgin oil (VOO) are joint products: the press runs to make both. A by-product comes from the same process but has a small sales value compared with the joint products. Pomace, the olive cake left after pressing, is a by-product. Scrap has even less value.</w:t>
      </w:r>
    </w:p>
    <w:p>
      <w:pPr>
        <w:spacing w:before="20" w:after="20"/>
        <w:ind w:left="240" w:hanging="240"/>
      </w:pPr>
      <w:r>
        <w:rPr>
          <w:b/>
          <w:bCs/>
          <w:color w:val="353A7C"/>
          <w:sz w:val="15"/>
          <w:szCs w:val="15"/>
        </w:rPr>
        <w:t xml:space="preserve">Summary 2   </w:t>
      </w:r>
      <w:r>
        <w:rPr>
          <w:color w:val="6B7280"/>
          <w:sz w:val="15"/>
          <w:szCs w:val="15"/>
        </w:rPr>
        <w:t xml:space="preserve">The test is relative value, and it can change. If pomace prices rose sharply, Orontes might treat it as a joint product and give it a share of joint cost.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The split-off point and separable costs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split-off point is where the joint products become separately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All costs before it are joint costs: olives, crushing labor and crushing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$1,400,000 for the batch. </w:t>
      </w:r>
      <w:r>
        <w:rPr>
          <w:sz w:val="19"/>
          <w:szCs w:val="19"/>
        </w:rPr>
        <w:t xml:space="preserve">Costs after split-off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one product are separable costs. </w:t>
      </w:r>
      <w:r>
        <w:rPr>
          <w:sz w:val="19"/>
          <w:szCs w:val="19"/>
        </w:rPr>
        <w:t xml:space="preserve">Bottling adds $468,000 to EVOO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adds $32,000 to VOO. </w:t>
      </w:r>
      <w:r>
        <w:rPr>
          <w:sz w:val="19"/>
          <w:szCs w:val="19"/>
        </w:rPr>
        <w:t xml:space="preserve">Joint costs cannot be traced to one product, however hard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try. </w:t>
      </w:r>
      <w:r>
        <w:rPr>
          <w:sz w:val="19"/>
          <w:szCs w:val="19"/>
        </w:rPr>
        <w:t xml:space="preserve">Any split is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Separable costs can be traced, and they matter for every later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by-product   ·   belong   ·   managers   ·   filtering   ·   overhead   ·   identifiable   ·   decision   ·   allocation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sell-or-process-further decision   ·   joint products   ·   separable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9"/>
        <w:gridCol w:w="48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9"/>
            <w:tcMar>
              <w:top w:type="dxa" w:w="50"/>
              <w:left w:type="dxa" w:w="110"/>
              <w:bottom w:type="dxa" w:w="50"/>
              <w:right w:type="dxa" w:w="110"/>
            </w:tcMar>
          </w:tcPr>
          <w:p>
            <w:pPr>
              <w:spacing w:before="26" w:after="26"/>
            </w:pPr>
            <w:r>
              <w:rPr>
                <w:color w:val="232733"/>
                <w:sz w:val="16"/>
                <w:szCs w:val="16"/>
              </w:rPr>
              <w:t xml:space="preserve">split-off point</w:t>
            </w:r>
          </w:p>
        </w:tc>
        <w:tc>
          <w:tcPr>
            <w:tcW w:type="pct" w:w="2511"/>
            <w:tcMar>
              <w:top w:type="dxa" w:w="50"/>
              <w:left w:type="dxa" w:w="110"/>
              <w:bottom w:type="dxa" w:w="50"/>
              <w:right w:type="dxa" w:w="110"/>
            </w:tcMar>
          </w:tcPr>
          <w:p>
            <w:pPr>
              <w:spacing w:before="26" w:after="26"/>
            </w:pPr>
            <w:r>
              <w:rPr>
                <w:color w:val="232733"/>
                <w:sz w:val="16"/>
                <w:szCs w:val="16"/>
              </w:rPr>
              <w:t xml:space="preserve">نقطة الانفصال</w:t>
            </w:r>
          </w:p>
        </w:tc>
      </w:tr>
      <w:tr>
        <w:tc>
          <w:tcPr>
            <w:tcW w:type="pct" w:w="2489"/>
            <w:shd w:fill="FBFAF6" w:val="clear"/>
            <w:tcMar>
              <w:top w:type="dxa" w:w="50"/>
              <w:left w:type="dxa" w:w="110"/>
              <w:bottom w:type="dxa" w:w="50"/>
              <w:right w:type="dxa" w:w="110"/>
            </w:tcMar>
          </w:tcPr>
          <w:p>
            <w:pPr>
              <w:spacing w:before="26" w:after="26"/>
            </w:pPr>
            <w:r>
              <w:rPr>
                <w:color w:val="232733"/>
                <w:sz w:val="16"/>
                <w:szCs w:val="16"/>
              </w:rPr>
              <w:t xml:space="preserve">separable costs</w:t>
            </w:r>
          </w:p>
        </w:tc>
        <w:tc>
          <w:tcPr>
            <w:tcW w:type="pct" w:w="2511"/>
            <w:shd w:fill="FBFAF6" w:val="clear"/>
            <w:tcMar>
              <w:top w:type="dxa" w:w="50"/>
              <w:left w:type="dxa" w:w="110"/>
              <w:bottom w:type="dxa" w:w="50"/>
              <w:right w:type="dxa" w:w="110"/>
            </w:tcMar>
          </w:tcPr>
          <w:p>
            <w:pPr>
              <w:spacing w:before="26" w:after="26"/>
            </w:pPr>
            <w:r>
              <w:rPr>
                <w:color w:val="232733"/>
                <w:sz w:val="16"/>
                <w:szCs w:val="16"/>
              </w:rPr>
              <w:t xml:space="preserve">التكاليف المنفصلة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The split-off point and separable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belong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filtering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split-off point is where the joint products become separately identifiable. All costs before it are joint costs: olives, crushing labor and crushing overhead, $1,400,000 for the batch. Costs after split-off that belong to one product are separable costs. Bottling adds $468,000 to EVOO and filtering adds $32,000 to VOO. Joint costs cannot be traced to one product, however hard managers try. Any split is an allocation. Separable costs can be traced, and they matter for every later decision.</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Accounting for by-products</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Under the production method, the by-product's net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value is recorded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split-off and deducted from joint cost.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sells for $120,000 with $20,000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so its NRV is $100,000 and the joint products share $1,300,000. </w:t>
      </w:r>
      <w:r>
        <w:rPr>
          <w:sz w:val="19"/>
          <w:szCs w:val="19"/>
        </w:rPr>
        <w:t xml:space="preserve">Under the sales method,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recorded at split-off. </w:t>
      </w:r>
      <w:r>
        <w:rPr>
          <w:sz w:val="19"/>
          <w:szCs w:val="19"/>
        </w:rPr>
        <w:t xml:space="preserve">The joint products share the full $1,400,000, and the by-product's net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other income when it is sold. </w:t>
      </w:r>
      <w:r>
        <w:rPr>
          <w:sz w:val="19"/>
          <w:szCs w:val="19"/>
        </w:rPr>
        <w:t xml:space="preserve">Over time both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give the same total income. </w:t>
      </w:r>
      <w:r>
        <w:rPr>
          <w:sz w:val="19"/>
          <w:szCs w:val="19"/>
        </w:rPr>
        <w:t xml:space="preserve">The production method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by-product's value with the batch; the sales method is simpler. </w:t>
      </w:r>
      <w:r>
        <w:rPr>
          <w:sz w:val="19"/>
          <w:szCs w:val="19"/>
        </w:rPr>
        <w:t xml:space="preserve">Orontes uses the production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realizable   ·   nothing   ·   revenue   ·   recorded   ·   Pomace   ·   inventory   ·   disposal   ·   methods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Sous-produit</w:t>
            </w:r>
          </w:p>
        </w:tc>
      </w:tr>
    </w:tbl>
    <w:p/>
    <w:p>
      <w:pPr>
        <w:spacing w:before="20" w:after="20" w:line="360" w:lineRule="auto"/>
        <w:ind w:left="200"/>
      </w:pPr>
      <w:r>
        <w:rPr>
          <w:sz w:val="19"/>
          <w:szCs w:val="19"/>
        </w:rPr>
        <w:t xml:space="preserve">Do not translate 'by-product' as 'secondary product' in an exam answer: the accounting is different.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47"/>
        <w:gridCol w:w="3654"/>
        <w:gridCol w:w="32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By-products: production method and sales method</w:t>
            </w:r>
          </w:p>
        </w:tc>
      </w:tr>
      <w:tr>
        <w:tc>
          <w:tcPr>
            <w:tcW w:type="pct" w:w="1379"/>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903"/>
            <w:shd w:fill="353A7C" w:val="clear"/>
            <w:tcMar>
              <w:top w:type="dxa" w:w="50"/>
              <w:left w:type="dxa" w:w="110"/>
              <w:bottom w:type="dxa" w:w="50"/>
              <w:right w:type="dxa" w:w="110"/>
            </w:tcMar>
          </w:tcPr>
          <w:p>
            <w:pPr>
              <w:spacing w:before="30" w:after="30"/>
            </w:pPr>
            <w:r>
              <w:rPr>
                <w:b/>
                <w:bCs/>
                <w:color w:val="FFFFFF"/>
                <w:sz w:val="15"/>
                <w:szCs w:val="15"/>
              </w:rPr>
              <w:t xml:space="preserve">Production method</w:t>
            </w:r>
          </w:p>
        </w:tc>
        <w:tc>
          <w:tcPr>
            <w:tcW w:type="pct" w:w="1718"/>
            <w:shd w:fill="353A7C" w:val="clear"/>
            <w:tcMar>
              <w:top w:type="dxa" w:w="50"/>
              <w:left w:type="dxa" w:w="110"/>
              <w:bottom w:type="dxa" w:w="50"/>
              <w:right w:type="dxa" w:w="110"/>
            </w:tcMar>
          </w:tcPr>
          <w:p>
            <w:pPr>
              <w:spacing w:before="30" w:after="30"/>
            </w:pPr>
            <w:r>
              <w:rPr>
                <w:b/>
                <w:bCs/>
                <w:color w:val="FFFFFF"/>
                <w:sz w:val="15"/>
                <w:szCs w:val="15"/>
              </w:rPr>
              <w:t xml:space="preserve">Sales method</w:t>
            </w:r>
          </w:p>
        </w:tc>
      </w:tr>
      <w:tr>
        <w:tc>
          <w:tcPr>
            <w:tcW w:type="pct" w:w="1379"/>
            <w:tcMar>
              <w:top w:type="dxa" w:w="50"/>
              <w:left w:type="dxa" w:w="110"/>
              <w:bottom w:type="dxa" w:w="50"/>
              <w:right w:type="dxa" w:w="110"/>
            </w:tcMar>
          </w:tcPr>
          <w:p>
            <w:pPr>
              <w:spacing w:before="28" w:after="28"/>
            </w:pPr>
            <w:r>
              <w:rPr>
                <w:sz w:val="15"/>
                <w:szCs w:val="15"/>
              </w:rPr>
              <w:t xml:space="preserve">When is value recorded?</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718"/>
            <w:tcMar>
              <w:top w:type="dxa" w:w="50"/>
              <w:left w:type="dxa" w:w="110"/>
              <w:bottom w:type="dxa" w:w="50"/>
              <w:right w:type="dxa" w:w="110"/>
            </w:tcMar>
          </w:tcPr>
          <w:p>
            <w:pPr>
              <w:spacing w:before="28" w:after="28"/>
            </w:pPr>
            <w:r>
              <w:rPr>
                <w:sz w:val="15"/>
                <w:szCs w:val="15"/>
              </w:rPr>
              <w:t xml:space="preserve">When the by-product is sold</w:t>
            </w:r>
          </w:p>
        </w:tc>
      </w:tr>
      <w:tr>
        <w:tc>
          <w:tcPr>
            <w:tcW w:type="pct" w:w="1379"/>
            <w:shd w:fill="FBFAF6" w:val="clear"/>
            <w:tcMar>
              <w:top w:type="dxa" w:w="50"/>
              <w:left w:type="dxa" w:w="110"/>
              <w:bottom w:type="dxa" w:w="50"/>
              <w:right w:type="dxa" w:w="110"/>
            </w:tcMar>
          </w:tcPr>
          <w:p>
            <w:pPr>
              <w:spacing w:before="28" w:after="28"/>
            </w:pPr>
            <w:r>
              <w:rPr>
                <w:sz w:val="15"/>
                <w:szCs w:val="15"/>
              </w:rPr>
              <w:t xml:space="preserve">Joint cost to allocate</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718"/>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1379"/>
            <w:tcMar>
              <w:top w:type="dxa" w:w="50"/>
              <w:left w:type="dxa" w:w="110"/>
              <w:bottom w:type="dxa" w:w="50"/>
              <w:right w:type="dxa" w:w="110"/>
            </w:tcMar>
          </w:tcPr>
          <w:p>
            <w:pPr>
              <w:spacing w:before="28" w:after="28"/>
            </w:pPr>
            <w:r>
              <w:rPr>
                <w:sz w:val="15"/>
                <w:szCs w:val="15"/>
              </w:rPr>
              <w:t xml:space="preserve">Where does the value go?</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18"/>
            <w:tcMar>
              <w:top w:type="dxa" w:w="50"/>
              <w:left w:type="dxa" w:w="110"/>
              <w:bottom w:type="dxa" w:w="50"/>
              <w:right w:type="dxa" w:w="110"/>
            </w:tcMar>
          </w:tcPr>
          <w:p>
            <w:pPr>
              <w:spacing w:before="28" w:after="28"/>
            </w:pPr>
            <w:r>
              <w:rPr>
                <w:sz w:val="15"/>
                <w:szCs w:val="15"/>
              </w:rPr>
              <w:t xml:space="preserve">Other income in the period of sale</w:t>
            </w:r>
          </w:p>
        </w:tc>
      </w:tr>
      <w:tr>
        <w:tc>
          <w:tcPr>
            <w:tcW w:type="pct" w:w="1379"/>
            <w:shd w:fill="FBFAF6" w:val="clear"/>
            <w:tcMar>
              <w:top w:type="dxa" w:w="50"/>
              <w:left w:type="dxa" w:w="110"/>
              <w:bottom w:type="dxa" w:w="50"/>
              <w:right w:type="dxa" w:w="110"/>
            </w:tcMar>
          </w:tcPr>
          <w:p>
            <w:pPr>
              <w:spacing w:before="28" w:after="28"/>
            </w:pPr>
            <w:r>
              <w:rPr>
                <w:sz w:val="15"/>
                <w:szCs w:val="15"/>
              </w:rPr>
              <w:t xml:space="preserve">Main benefit</w:t>
            </w:r>
          </w:p>
        </w:tc>
        <w:tc>
          <w:tcPr>
            <w:tcW w:type="pct" w:w="1903"/>
            <w:shd w:fill="FBFAF6" w:val="clear"/>
            <w:tcMar>
              <w:top w:type="dxa" w:w="50"/>
              <w:left w:type="dxa" w:w="110"/>
              <w:bottom w:type="dxa" w:w="50"/>
              <w:right w:type="dxa" w:w="110"/>
            </w:tcMar>
          </w:tcPr>
          <w:p>
            <w:pPr>
              <w:spacing w:before="28" w:after="28"/>
            </w:pPr>
            <w:r>
              <w:rPr>
                <w:sz w:val="15"/>
                <w:szCs w:val="15"/>
              </w:rPr>
              <w:t xml:space="preserve">Matches the by-product's value to the batch</w:t>
            </w:r>
          </w:p>
        </w:tc>
        <w:tc>
          <w:tcPr>
            <w:tcW w:type="pct" w:w="1718"/>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Lower cost of the joint products   ·   sales value at split-off method   ·   1,400,000 − 100,000 = 1,300,000   ·   Simple; no inventory to track   ·   At split-off, as inventory at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4"/>
        <w:gridCol w:w="476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1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17"/>
            <w:tcMar>
              <w:top w:type="dxa" w:w="50"/>
              <w:left w:type="dxa" w:w="110"/>
              <w:bottom w:type="dxa" w:w="50"/>
              <w:right w:type="dxa" w:w="110"/>
            </w:tcMar>
          </w:tcPr>
          <w:p>
            <w:pPr>
              <w:spacing w:before="26" w:after="26"/>
            </w:pPr>
            <w:r>
              <w:rPr>
                <w:color w:val="232733"/>
                <w:sz w:val="16"/>
                <w:szCs w:val="16"/>
              </w:rPr>
              <w:t xml:space="preserve">production method (by-products)</w:t>
            </w:r>
          </w:p>
        </w:tc>
        <w:tc>
          <w:tcPr>
            <w:tcW w:type="pct" w:w="2483"/>
            <w:tcMar>
              <w:top w:type="dxa" w:w="50"/>
              <w:left w:type="dxa" w:w="110"/>
              <w:bottom w:type="dxa" w:w="50"/>
              <w:right w:type="dxa" w:w="110"/>
            </w:tcMar>
          </w:tcPr>
          <w:p>
            <w:pPr>
              <w:spacing w:before="26" w:after="26"/>
            </w:pPr>
            <w:r>
              <w:rPr>
                <w:color w:val="232733"/>
                <w:sz w:val="16"/>
                <w:szCs w:val="16"/>
              </w:rPr>
              <w:t xml:space="preserve">طريقة الإنتاج للمنتجات العرضية</w:t>
            </w:r>
          </w:p>
        </w:tc>
      </w:tr>
      <w:tr>
        <w:tc>
          <w:tcPr>
            <w:tcW w:type="pct" w:w="2517"/>
            <w:shd w:fill="FBFAF6" w:val="clear"/>
            <w:tcMar>
              <w:top w:type="dxa" w:w="50"/>
              <w:left w:type="dxa" w:w="110"/>
              <w:bottom w:type="dxa" w:w="50"/>
              <w:right w:type="dxa" w:w="110"/>
            </w:tcMar>
          </w:tcPr>
          <w:p>
            <w:pPr>
              <w:spacing w:before="26" w:after="26"/>
            </w:pPr>
            <w:r>
              <w:rPr>
                <w:color w:val="232733"/>
                <w:sz w:val="16"/>
                <w:szCs w:val="16"/>
              </w:rPr>
              <w:t xml:space="preserve">sales method (by-products)</w:t>
            </w:r>
          </w:p>
        </w:tc>
        <w:tc>
          <w:tcPr>
            <w:tcW w:type="pct" w:w="2483"/>
            <w:shd w:fill="FBFAF6" w:val="clear"/>
            <w:tcMar>
              <w:top w:type="dxa" w:w="50"/>
              <w:left w:type="dxa" w:w="110"/>
              <w:bottom w:type="dxa" w:w="50"/>
              <w:right w:type="dxa" w:w="110"/>
            </w:tcMar>
          </w:tcPr>
          <w:p>
            <w:pPr>
              <w:spacing w:before="26" w:after="26"/>
            </w:pPr>
            <w:r>
              <w:rPr>
                <w:color w:val="232733"/>
                <w:sz w:val="16"/>
                <w:szCs w:val="16"/>
              </w:rPr>
              <w:t xml:space="preserve">طريقة المبيعات للمنتجات العرضية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Accounting for by-products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realizable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Pomace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At split-off, as inventory at 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1,400,000 − 100,000 = 1,300,000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nothing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Lower cost of the 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Simple; no inventory to track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the production method, the by-product's net realizable value is recorded as inventory at split-off and deducted from joint cost. Pomace sells for $120,000 with $20,000 of disposal costs, so its NRV is $100,000 and the joint products share $1,300,000. Under the sales method, nothing is recorded at split-off. The joint products share the full $1,400,000, and the by-product's net revenue is other income when it is sold. Over time both methods give the same total income. The production method matches the by-product's value with the batch; the sales method is simpler. Orontes uses the production method.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Physical measure and sales value at split-off</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physical measure method shares joint cost 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a physical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liters. </w:t>
      </w:r>
      <w:r>
        <w:rPr>
          <w:sz w:val="19"/>
          <w:szCs w:val="19"/>
        </w:rPr>
        <w:t xml:space="preserve">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needs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But it ignores value: a liter of VOO takes the same share as a liter of EVOO, which sells for much more.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prices   ·   simple   ·   proportion   ·   follows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physical measure</w:t>
            </w:r>
          </w:p>
        </w:tc>
      </w:tr>
    </w:tbl>
    <w:p/>
    <w:p>
      <w:pPr>
        <w:spacing w:before="20" w:after="20" w:line="360" w:lineRule="auto"/>
        <w:ind w:left="200"/>
      </w:pPr>
      <w:r>
        <w:rPr>
          <w:sz w:val="19"/>
          <w:szCs w:val="19"/>
        </w:rPr>
        <w:t xml:space="preserve">EVOO is 130,000 of the 200,000 liters, or 65%.</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35"/>
        <w:gridCol w:w="2262"/>
        <w:gridCol w:w="1267"/>
        <w:gridCol w:w="323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physical measure method</w:t>
            </w:r>
          </w:p>
        </w:tc>
      </w:tr>
      <w:tr>
        <w:tc>
          <w:tcPr>
            <w:tcW w:type="pct" w:w="1476"/>
            <w:shd w:fill="353A7C" w:val="clear"/>
            <w:tcMar>
              <w:top w:type="dxa" w:w="50"/>
              <w:left w:type="dxa" w:w="110"/>
              <w:bottom w:type="dxa" w:w="50"/>
              <w:right w:type="dxa" w:w="110"/>
            </w:tcMar>
          </w:tcPr>
          <w:p>
            <w:pPr>
              <w:spacing w:before="30" w:after="30"/>
            </w:pPr>
            <w:r>
              <w:rPr>
                <w:b/>
                <w:bCs/>
                <w:color w:val="FFFFFF"/>
                <w:sz w:val="15"/>
                <w:szCs w:val="15"/>
              </w:rPr>
              <w:t xml:space="preserve">Physical measure method</w:t>
            </w:r>
          </w:p>
        </w:tc>
        <w:tc>
          <w:tcPr>
            <w:tcW w:type="pct" w:w="1178"/>
            <w:shd w:fill="353A7C" w:val="clear"/>
            <w:tcMar>
              <w:top w:type="dxa" w:w="50"/>
              <w:left w:type="dxa" w:w="110"/>
              <w:bottom w:type="dxa" w:w="50"/>
              <w:right w:type="dxa" w:w="110"/>
            </w:tcMar>
          </w:tcPr>
          <w:p>
            <w:pPr>
              <w:spacing w:before="30" w:after="30"/>
            </w:pPr>
            <w:r>
              <w:rPr>
                <w:b/>
                <w:bCs/>
                <w:color w:val="FFFFFF"/>
                <w:sz w:val="15"/>
                <w:szCs w:val="15"/>
              </w:rPr>
              <w:t xml:space="preserve">Liters</w:t>
            </w:r>
          </w:p>
        </w:tc>
        <w:tc>
          <w:tcPr>
            <w:tcW w:type="pct" w:w="660"/>
            <w:shd w:fill="353A7C" w:val="clear"/>
            <w:tcMar>
              <w:top w:type="dxa" w:w="50"/>
              <w:left w:type="dxa" w:w="110"/>
              <w:bottom w:type="dxa" w:w="50"/>
              <w:right w:type="dxa" w:w="110"/>
            </w:tcMar>
          </w:tcPr>
          <w:p>
            <w:pPr>
              <w:spacing w:before="30" w:after="30"/>
            </w:pPr>
            <w:r>
              <w:rPr>
                <w:b/>
                <w:bCs/>
                <w:color w:val="FFFFFF"/>
                <w:sz w:val="15"/>
                <w:szCs w:val="15"/>
              </w:rPr>
              <w:t xml:space="preserve">Share</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Joint cost allocated</w:t>
            </w:r>
          </w:p>
        </w:tc>
      </w:tr>
      <w:tr>
        <w:tc>
          <w:tcPr>
            <w:tcW w:type="pct" w:w="1476"/>
            <w:tcMar>
              <w:top w:type="dxa" w:w="50"/>
              <w:left w:type="dxa" w:w="110"/>
              <w:bottom w:type="dxa" w:w="50"/>
              <w:right w:type="dxa" w:w="110"/>
            </w:tcMar>
          </w:tcPr>
          <w:p>
            <w:pPr>
              <w:spacing w:before="28" w:after="28"/>
            </w:pPr>
            <w:r>
              <w:rPr>
                <w:sz w:val="15"/>
                <w:szCs w:val="15"/>
              </w:rPr>
              <w:t xml:space="preserve">EVOO</w:t>
            </w:r>
          </w:p>
        </w:tc>
        <w:tc>
          <w:tcPr>
            <w:tcW w:type="pct" w:w="1178"/>
            <w:tcMar>
              <w:top w:type="dxa" w:w="50"/>
              <w:left w:type="dxa" w:w="110"/>
              <w:bottom w:type="dxa" w:w="50"/>
              <w:right w:type="dxa" w:w="110"/>
            </w:tcMar>
          </w:tcPr>
          <w:p>
            <w:pPr>
              <w:spacing w:before="28" w:after="28"/>
            </w:pPr>
            <w:r>
              <w:rPr>
                <w:sz w:val="15"/>
                <w:szCs w:val="15"/>
              </w:rPr>
              <w:t xml:space="preserve">130,000</w:t>
            </w:r>
          </w:p>
        </w:tc>
        <w:tc>
          <w:tcPr>
            <w:tcW w:type="pct" w:w="660"/>
            <w:tcMar>
              <w:top w:type="dxa" w:w="50"/>
              <w:left w:type="dxa" w:w="110"/>
              <w:bottom w:type="dxa" w:w="50"/>
              <w:right w:type="dxa" w:w="110"/>
            </w:tcMar>
          </w:tcPr>
          <w:p>
            <w:pPr>
              <w:spacing w:before="28" w:after="28"/>
            </w:pPr>
            <w:r>
              <w:rPr>
                <w:sz w:val="15"/>
                <w:szCs w:val="15"/>
              </w:rPr>
              <w:t xml:space="preserve">65%</w:t>
            </w:r>
          </w:p>
        </w:tc>
        <w:tc>
          <w:tcPr>
            <w:tcW w:type="pct" w:w="1686"/>
            <w:tcMar>
              <w:top w:type="dxa" w:w="50"/>
              <w:left w:type="dxa" w:w="110"/>
              <w:bottom w:type="dxa" w:w="50"/>
              <w:right w:type="dxa" w:w="110"/>
            </w:tcMar>
          </w:tcPr>
          <w:p>
            <w:pPr>
              <w:spacing w:before="28" w:after="28"/>
            </w:pPr>
            <w:r>
              <w:rPr>
                <w:sz w:val="15"/>
                <w:szCs w:val="15"/>
              </w:rPr>
              <w:t xml:space="preserve">845,000</w:t>
            </w:r>
          </w:p>
        </w:tc>
      </w:tr>
      <w:tr>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78"/>
            <w:shd w:fill="FBFAF6" w:val="clear"/>
            <w:tcMar>
              <w:top w:type="dxa" w:w="50"/>
              <w:left w:type="dxa" w:w="110"/>
              <w:bottom w:type="dxa" w:w="50"/>
              <w:right w:type="dxa" w:w="110"/>
            </w:tcMar>
          </w:tcPr>
          <w:p>
            <w:pPr>
              <w:spacing w:before="28" w:after="28"/>
            </w:pPr>
            <w:r>
              <w:rPr>
                <w:sz w:val="15"/>
                <w:szCs w:val="15"/>
              </w:rPr>
              <w:t xml:space="preserve">70,000</w:t>
            </w:r>
          </w:p>
        </w:tc>
        <w:tc>
          <w:tcPr>
            <w:tcW w:type="pct" w:w="660"/>
            <w:shd w:fill="FBFAF6" w:val="clear"/>
            <w:tcMar>
              <w:top w:type="dxa" w:w="50"/>
              <w:left w:type="dxa" w:w="110"/>
              <w:bottom w:type="dxa" w:w="50"/>
              <w:right w:type="dxa" w:w="110"/>
            </w:tcMar>
          </w:tcPr>
          <w:p>
            <w:pPr>
              <w:spacing w:before="28" w:after="28"/>
            </w:pPr>
            <w:r>
              <w:rPr>
                <w:sz w:val="15"/>
                <w:szCs w:val="15"/>
              </w:rPr>
              <w:t xml:space="preserve">35%</w:t>
            </w:r>
          </w:p>
        </w:tc>
        <w:tc>
          <w:tcPr>
            <w:tcW w:type="pct" w:w="1686"/>
            <w:shd w:fill="FBFAF6" w:val="clear"/>
            <w:tcMar>
              <w:top w:type="dxa" w:w="50"/>
              <w:left w:type="dxa" w:w="110"/>
              <w:bottom w:type="dxa" w:w="50"/>
              <w:right w:type="dxa" w:w="110"/>
            </w:tcMar>
          </w:tcPr>
          <w:p>
            <w:pPr>
              <w:spacing w:before="28" w:after="28"/>
            </w:pPr>
            <w:r>
              <w:rPr>
                <w:sz w:val="15"/>
                <w:szCs w:val="15"/>
              </w:rPr>
              <w:t xml:space="preserve">455,000</w:t>
            </w:r>
          </w:p>
        </w:tc>
      </w:tr>
      <w:tr>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78"/>
            <w:tcMar>
              <w:top w:type="dxa" w:w="50"/>
              <w:left w:type="dxa" w:w="110"/>
              <w:bottom w:type="dxa" w:w="50"/>
              <w:right w:type="dxa" w:w="110"/>
            </w:tcMar>
          </w:tcPr>
          <w:p>
            <w:pPr>
              <w:spacing w:before="28" w:after="28"/>
            </w:pPr>
            <w:r>
              <w:rPr>
                <w:sz w:val="15"/>
                <w:szCs w:val="15"/>
              </w:rPr>
              <w:t xml:space="preserve">200,000</w:t>
            </w:r>
          </w:p>
        </w:tc>
        <w:tc>
          <w:tcPr>
            <w:tcW w:type="pct" w:w="660"/>
            <w:tcMar>
              <w:top w:type="dxa" w:w="50"/>
              <w:left w:type="dxa" w:w="110"/>
              <w:bottom w:type="dxa" w:w="50"/>
              <w:right w:type="dxa" w:w="110"/>
            </w:tcMar>
          </w:tcPr>
          <w:p>
            <w:pPr>
              <w:spacing w:before="28" w:after="28"/>
            </w:pPr>
            <w:r>
              <w:rPr>
                <w:sz w:val="15"/>
                <w:szCs w:val="15"/>
              </w:rPr>
              <w:t xml:space="preserve">100%</w:t>
            </w:r>
          </w:p>
        </w:tc>
        <w:tc>
          <w:tcPr>
            <w:tcW w:type="pct" w:w="1686"/>
            <w:tcMar>
              <w:top w:type="dxa" w:w="50"/>
              <w:left w:type="dxa" w:w="110"/>
              <w:bottom w:type="dxa" w:w="50"/>
              <w:right w:type="dxa" w:w="110"/>
            </w:tcMar>
          </w:tcPr>
          <w:p>
            <w:pPr>
              <w:spacing w:before="28" w:after="28"/>
            </w:pPr>
            <w:r>
              <w:rPr>
                <w:sz w:val="15"/>
                <w:szCs w:val="15"/>
              </w:rPr>
              <w:t xml:space="preserve">1,300,000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   ·   Total   ·   VOO</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The sales value at split-off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shares joint cost 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each product's market value at split-off. </w:t>
      </w:r>
      <w:r>
        <w:rPr>
          <w:sz w:val="19"/>
          <w:szCs w:val="19"/>
        </w:rPr>
        <w:t xml:space="preserve">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idea that costs are shared by ability to bear them. </w:t>
      </w:r>
      <w:r>
        <w:rPr>
          <w:sz w:val="19"/>
          <w:szCs w:val="19"/>
        </w:rPr>
        <w:t xml:space="preserve">It needs a market price at split-off, which not every product has.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method   ·   ability   ·   proportion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value at split-off</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22"/>
        <w:gridCol w:w="2829"/>
        <w:gridCol w:w="2093"/>
        <w:gridCol w:w="235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sales value at split-off (complete the blanks)</w:t>
            </w:r>
          </w:p>
        </w:tc>
      </w:tr>
      <w:tr>
        <w:tc>
          <w:tcPr>
            <w:tcW w:type="pct" w:w="1209"/>
            <w:shd w:fill="353A7C" w:val="clear"/>
            <w:tcMar>
              <w:top w:type="dxa" w:w="50"/>
              <w:left w:type="dxa" w:w="110"/>
              <w:bottom w:type="dxa" w:w="50"/>
              <w:right w:type="dxa" w:w="110"/>
            </w:tcMar>
          </w:tcPr>
          <w:p>
            <w:pPr>
              <w:spacing w:before="30" w:after="30"/>
            </w:pPr>
            <w:r>
              <w:rPr>
                <w:b/>
                <w:bCs/>
                <w:color w:val="FFFFFF"/>
                <w:sz w:val="15"/>
                <w:szCs w:val="15"/>
              </w:rPr>
              <w:t xml:space="preserve">Sales value at split-off</w:t>
            </w:r>
          </w:p>
        </w:tc>
        <w:tc>
          <w:tcPr>
            <w:tcW w:type="pct" w:w="1474"/>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1090"/>
            <w:shd w:fill="353A7C" w:val="clear"/>
            <w:tcMar>
              <w:top w:type="dxa" w:w="50"/>
              <w:left w:type="dxa" w:w="110"/>
              <w:bottom w:type="dxa" w:w="50"/>
              <w:right w:type="dxa" w:w="110"/>
            </w:tcMar>
          </w:tcPr>
          <w:p>
            <w:pPr>
              <w:spacing w:before="30" w:after="30"/>
            </w:pPr>
            <w:r>
              <w:rPr>
                <w:b/>
                <w:bCs/>
                <w:color w:val="FFFFFF"/>
                <w:sz w:val="15"/>
                <w:szCs w:val="15"/>
              </w:rPr>
              <w:t xml:space="preserve">Sales value</w:t>
            </w:r>
          </w:p>
        </w:tc>
        <w:tc>
          <w:tcPr>
            <w:tcW w:type="pct" w:w="1227"/>
            <w:shd w:fill="353A7C" w:val="clear"/>
            <w:tcMar>
              <w:top w:type="dxa" w:w="50"/>
              <w:left w:type="dxa" w:w="110"/>
              <w:bottom w:type="dxa" w:w="50"/>
              <w:right w:type="dxa" w:w="110"/>
            </w:tcMar>
          </w:tcPr>
          <w:p>
            <w:pPr>
              <w:spacing w:before="30" w:after="30"/>
            </w:pPr>
            <w:r>
              <w:rPr>
                <w:b/>
                <w:bCs/>
                <w:color w:val="FFFFFF"/>
                <w:sz w:val="15"/>
                <w:szCs w:val="15"/>
              </w:rPr>
              <w:t xml:space="preserve">Joint cost allocated</w:t>
            </w:r>
          </w:p>
        </w:tc>
      </w:tr>
      <w:tr>
        <w:tc>
          <w:tcPr>
            <w:tcW w:type="pct" w:w="1209"/>
            <w:tcMar>
              <w:top w:type="dxa" w:w="50"/>
              <w:left w:type="dxa" w:w="110"/>
              <w:bottom w:type="dxa" w:w="50"/>
              <w:right w:type="dxa" w:w="110"/>
            </w:tcMar>
          </w:tcPr>
          <w:p>
            <w:pPr>
              <w:spacing w:before="28" w:after="28"/>
            </w:pPr>
            <w:r>
              <w:rPr>
                <w:sz w:val="15"/>
                <w:szCs w:val="15"/>
              </w:rPr>
              <w:t xml:space="preserve">EVOO</w:t>
            </w:r>
          </w:p>
        </w:tc>
        <w:tc>
          <w:tcPr>
            <w:tcW w:type="pct" w:w="1474"/>
            <w:tcMar>
              <w:top w:type="dxa" w:w="50"/>
              <w:left w:type="dxa" w:w="110"/>
              <w:bottom w:type="dxa" w:w="50"/>
              <w:right w:type="dxa" w:w="110"/>
            </w:tcMar>
          </w:tcPr>
          <w:p>
            <w:pPr>
              <w:spacing w:before="28" w:after="28"/>
            </w:pPr>
            <w:r>
              <w:rPr>
                <w:sz w:val="15"/>
                <w:szCs w:val="15"/>
              </w:rPr>
              <w:t xml:space="preserve">130,000 × $10.40</w:t>
            </w:r>
          </w:p>
        </w:tc>
        <w:tc>
          <w:tcPr>
            <w:tcW w:type="pct" w:w="1090"/>
            <w:tcMar>
              <w:top w:type="dxa" w:w="50"/>
              <w:left w:type="dxa" w:w="110"/>
              <w:bottom w:type="dxa" w:w="50"/>
              <w:right w:type="dxa" w:w="110"/>
            </w:tcMar>
          </w:tcPr>
          <w:p>
            <w:pPr>
              <w:spacing w:before="28" w:after="28"/>
            </w:pPr>
            <w:r>
              <w:rPr>
                <w:sz w:val="15"/>
                <w:szCs w:val="15"/>
              </w:rPr>
              <w:t xml:space="preserve">1,352,000</w:t>
            </w:r>
          </w:p>
        </w:tc>
        <w:tc>
          <w:tcPr>
            <w:tcW w:type="pct" w:w="1227"/>
            <w:tcMar>
              <w:top w:type="dxa" w:w="50"/>
              <w:left w:type="dxa" w:w="110"/>
              <w:bottom w:type="dxa" w:w="50"/>
              <w:right w:type="dxa" w:w="110"/>
            </w:tcMar>
          </w:tcPr>
          <w:p>
            <w:pPr>
              <w:spacing w:before="28" w:after="28"/>
            </w:pPr>
            <w:r>
              <w:rPr>
                <w:sz w:val="15"/>
                <w:szCs w:val="15"/>
              </w:rPr>
              <w:t xml:space="preserve">________</w:t>
            </w:r>
          </w:p>
        </w:tc>
      </w:tr>
      <w:tr>
        <w:tc>
          <w:tcPr>
            <w:tcW w:type="pct" w:w="1209"/>
            <w:shd w:fill="FBFAF6" w:val="clear"/>
            <w:tcMar>
              <w:top w:type="dxa" w:w="50"/>
              <w:left w:type="dxa" w:w="110"/>
              <w:bottom w:type="dxa" w:w="50"/>
              <w:right w:type="dxa" w:w="110"/>
            </w:tcMar>
          </w:tcPr>
          <w:p>
            <w:pPr>
              <w:spacing w:before="28" w:after="28"/>
            </w:pPr>
            <w:r>
              <w:rPr>
                <w:sz w:val="15"/>
                <w:szCs w:val="15"/>
              </w:rPr>
              <w:t xml:space="preserve">VOO</w:t>
            </w:r>
          </w:p>
        </w:tc>
        <w:tc>
          <w:tcPr>
            <w:tcW w:type="pct" w:w="1474"/>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090"/>
            <w:shd w:fill="FBFAF6" w:val="clear"/>
            <w:tcMar>
              <w:top w:type="dxa" w:w="50"/>
              <w:left w:type="dxa" w:w="110"/>
              <w:bottom w:type="dxa" w:w="50"/>
              <w:right w:type="dxa" w:w="110"/>
            </w:tcMar>
          </w:tcPr>
          <w:p>
            <w:pPr>
              <w:spacing w:before="28" w:after="28"/>
            </w:pPr>
            <w:r>
              <w:rPr>
                <w:sz w:val="15"/>
                <w:szCs w:val="15"/>
              </w:rPr>
              <w:t xml:space="preserve">273,000</w:t>
            </w:r>
          </w:p>
        </w:tc>
        <w:tc>
          <w:tcPr>
            <w:tcW w:type="pct" w:w="1227"/>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1209"/>
            <w:tcMar>
              <w:top w:type="dxa" w:w="50"/>
              <w:left w:type="dxa" w:w="110"/>
              <w:bottom w:type="dxa" w:w="50"/>
              <w:right w:type="dxa" w:w="110"/>
            </w:tcMar>
          </w:tcPr>
          <w:p>
            <w:pPr>
              <w:spacing w:before="28" w:after="28"/>
            </w:pPr>
            <w:r>
              <w:rPr>
                <w:sz w:val="15"/>
                <w:szCs w:val="15"/>
              </w:rPr>
              <w:t xml:space="preserve">Total</w:t>
            </w:r>
          </w:p>
        </w:tc>
        <w:tc>
          <w:tcPr>
            <w:tcW w:type="pct" w:w="1474"/>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1,625,000</w:t>
            </w:r>
          </w:p>
        </w:tc>
        <w:tc>
          <w:tcPr>
            <w:tcW w:type="pct" w:w="1227"/>
            <w:tcMar>
              <w:top w:type="dxa" w:w="50"/>
              <w:left w:type="dxa" w:w="110"/>
              <w:bottom w:type="dxa" w:w="50"/>
              <w:right w:type="dxa" w:w="110"/>
            </w:tcMar>
          </w:tcPr>
          <w:p>
            <w:pPr>
              <w:spacing w:before="28" w:after="28"/>
            </w:pPr>
            <w:r>
              <w:rPr>
                <w:sz w:val="15"/>
                <w:szCs w:val="15"/>
              </w:rPr>
              <w:t xml:space="preserve">1,300,000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70,000 × $3.90   ·   sales method (by-products)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measure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المقياس المادي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value at split-off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القيمة البيعية عند نقطة الانفصال</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Physical measure and sales value at split-off</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VOO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70,000 × $3.90</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physical measure method shares joint cost in proportion to a physical quantity, such as liters. It is simple and needs no prices. But it ignores value: a liter of VOO takes the same share as a liter of EVOO, which sells for much more.</w:t>
      </w:r>
    </w:p>
    <w:p>
      <w:pPr>
        <w:spacing w:before="20" w:after="20"/>
        <w:ind w:left="240" w:hanging="240"/>
      </w:pPr>
      <w:r>
        <w:rPr>
          <w:b/>
          <w:bCs/>
          <w:color w:val="353A7C"/>
          <w:sz w:val="15"/>
          <w:szCs w:val="15"/>
        </w:rPr>
        <w:t xml:space="preserve">Summary 2   </w:t>
      </w:r>
      <w:r>
        <w:rPr>
          <w:color w:val="6B7280"/>
          <w:sz w:val="15"/>
          <w:szCs w:val="15"/>
        </w:rPr>
        <w:t xml:space="preserve">The sales value at split-off method shares joint cost in proportion to each product's market value at split-off. It follows the idea that costs are shared by ability to bear them. It needs a market price at split-off, which not every product has.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Net realizable value and constant gross margin</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net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value method uses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final sales value minus its separable costs. </w:t>
      </w:r>
      <w:r>
        <w:rPr>
          <w:sz w:val="19"/>
          <w:szCs w:val="19"/>
        </w:rPr>
        <w:t xml:space="preserve">It works when there is no market price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policy method. </w:t>
      </w:r>
      <w:r>
        <w:rPr>
          <w:sz w:val="19"/>
          <w:szCs w:val="19"/>
        </w:rPr>
        <w:t xml:space="preserve">The constant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percentage method first finds the gross margin of the whole batch, 28%. </w:t>
      </w:r>
      <w:r>
        <w:rPr>
          <w:sz w:val="19"/>
          <w:szCs w:val="19"/>
        </w:rPr>
        <w:t xml:space="preserve">It then gives each product the joint cost that makes its own margin the same 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split-off   ·   product's   ·   gross-margin   ·   separable   ·   realizable   ·   Orontes's</w:t>
            </w:r>
          </w:p>
        </w:tc>
      </w:tr>
    </w:tbl>
    <w:p/>
    <w:p>
      <w:pPr>
        <w:spacing w:before="44" w:after="10"/>
      </w:pPr>
      <w:r>
        <w:rPr>
          <w:b/>
          <w:bCs/>
          <w:color w:val="353A7C"/>
          <w:sz w:val="18"/>
          <w:szCs w:val="18"/>
        </w:rPr>
        <w:t xml:space="preserve">NRV and constant gross-margin methods, step by step</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NRV at split-off   ·   sales method (by-products)   ·   Final sales value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Final sales value, not NRV</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In the constant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apply the margin to final sales value, then deduct separable costs.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to NRV gives the wrong joint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Applying   ·   separable   ·   gross-margin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physical measure method   ·   constant gross-margin percentage method   ·   separable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صافي القيمة القابلة للتحقق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constant gross-margin percentage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نسبة مجمل الربح الثابتة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Net realizable value and constant gross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realizable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NRV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gross-margin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split-off</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Applying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gross-margin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constant gross-margin percentage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Final sales value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net realizable value method uses each product's final sales value minus its separable costs. It works when there is no market price at split-off. It is Orontes's policy method. The constant gross-margin percentage method first finds the gross margin of the whole batch, 28%. It then gives each product the joint cost that makes its own margin the same 28%.</w:t>
      </w:r>
    </w:p>
    <w:p>
      <w:pPr>
        <w:spacing w:before="20" w:after="20"/>
        <w:ind w:left="240" w:hanging="240"/>
      </w:pPr>
      <w:r>
        <w:rPr>
          <w:b/>
          <w:bCs/>
          <w:color w:val="353A7C"/>
          <w:sz w:val="15"/>
          <w:szCs w:val="15"/>
        </w:rPr>
        <w:t xml:space="preserve">Summary 2   </w:t>
      </w:r>
      <w:r>
        <w:rPr>
          <w:color w:val="6B7280"/>
          <w:sz w:val="15"/>
          <w:szCs w:val="15"/>
        </w:rPr>
        <w:t xml:space="preserve">In the constant gross-margin method, apply the margin to final sales value, then deduct separable costs. Applying it to NRV gives the wrong joint cost.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Benefits, limitations and further processing</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method changes reported product margins.</w:t>
      </w:r>
    </w:p>
    <w:p>
      <w:pPr>
        <w:spacing w:before="44" w:after="10"/>
      </w:pPr>
      <w:r>
        <w:rPr>
          <w:b/>
          <w:bCs/>
          <w:color w:val="353A7C"/>
          <w:sz w:val="18"/>
          <w:szCs w:val="18"/>
        </w:rPr>
        <w:t xml:space="preserve">Product gross margins under each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method   ·   Sales value at split-off</w:t>
            </w:r>
          </w:p>
        </w:tc>
      </w:tr>
    </w:tbl>
    <w:p/>
    <w:p>
      <w:pPr>
        <w:spacing w:before="44" w:after="14"/>
      </w:pPr>
      <w:r>
        <w:rPr>
          <w:b/>
          <w:bCs/>
          <w:color w:val="353A7C"/>
          <w:sz w:val="18"/>
          <w:szCs w:val="18"/>
        </w:rPr>
        <w:t xml:space="preserve">Summary 1</w:t>
      </w:r>
      <w:r>
        <w:rPr>
          <w:color w:val="6B7280"/>
          <w:sz w:val="16"/>
          <w:szCs w:val="16"/>
        </w:rPr>
        <w:t xml:space="preserve">      gaps 2–8</w:t>
      </w:r>
    </w:p>
    <w:p>
      <w:pPr>
        <w:spacing w:before="20" w:after="20" w:line="360" w:lineRule="auto"/>
        <w:ind w:left="200"/>
      </w:pP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measure method is simple but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w:t>
      </w:r>
      <w:r>
        <w:rPr>
          <w:sz w:val="19"/>
          <w:szCs w:val="19"/>
        </w:rPr>
        <w:t xml:space="preserve">Sales value at split-off is fair and simple but needs split-off prices. </w:t>
      </w:r>
      <w:r>
        <w:rPr>
          <w:sz w:val="19"/>
          <w:szCs w:val="19"/>
        </w:rPr>
        <w:t xml:space="preserve">NRV works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split-off prices but depends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separable costs.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gross margin gives every product the same margin, which may hide real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should drive a decision to sell at split-off or process further. </w:t>
      </w:r>
      <w:r>
        <w:rPr>
          <w:sz w:val="19"/>
          <w:szCs w:val="19"/>
        </w:rPr>
        <w:t xml:space="preserve">That decision compares the extra revenue with the separable cost only; the joint cost is the same either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estimates   ·   without   ·   Constant   ·   allocation   ·   separable   ·   ignores   ·   differences   ·   physical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817"/>
        <w:gridCol w:w="25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Sell at split-off or process further?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Sell at split-off or process further?</w:t>
            </w:r>
          </w:p>
        </w:tc>
        <w:tc>
          <w:tcPr>
            <w:tcW w:type="pct" w:w="1467"/>
            <w:shd w:fill="353A7C" w:val="clear"/>
            <w:tcMar>
              <w:top w:type="dxa" w:w="50"/>
              <w:left w:type="dxa" w:w="110"/>
              <w:bottom w:type="dxa" w:w="50"/>
              <w:right w:type="dxa" w:w="110"/>
            </w:tcMar>
          </w:tcPr>
          <w:p>
            <w:pPr>
              <w:spacing w:before="30" w:after="30"/>
            </w:pPr>
            <w:r>
              <w:rPr>
                <w:b/>
                <w:bCs/>
                <w:color w:val="FFFFFF"/>
                <w:sz w:val="15"/>
                <w:szCs w:val="15"/>
              </w:rPr>
              <w:t xml:space="preserve">EVOO: bottle</w:t>
            </w:r>
          </w:p>
        </w:tc>
        <w:tc>
          <w:tcPr>
            <w:tcW w:type="pct" w:w="1333"/>
            <w:shd w:fill="353A7C" w:val="clear"/>
            <w:tcMar>
              <w:top w:type="dxa" w:w="50"/>
              <w:left w:type="dxa" w:w="110"/>
              <w:bottom w:type="dxa" w:w="50"/>
              <w:right w:type="dxa" w:w="110"/>
            </w:tcMar>
          </w:tcPr>
          <w:p>
            <w:pPr>
              <w:spacing w:before="30" w:after="30"/>
            </w:pPr>
            <w:r>
              <w:rPr>
                <w:b/>
                <w:bCs/>
                <w:color w:val="FFFFFF"/>
                <w:sz w:val="15"/>
                <w:szCs w:val="15"/>
              </w:rPr>
              <w:t xml:space="preserve">VOO: filter</w:t>
            </w:r>
          </w:p>
        </w:tc>
      </w:tr>
      <w:tr>
        <w:tc>
          <w:tcPr>
            <w:tcW w:type="pct" w:w="2200"/>
            <w:tcMar>
              <w:top w:type="dxa" w:w="50"/>
              <w:left w:type="dxa" w:w="110"/>
              <w:bottom w:type="dxa" w:w="50"/>
              <w:right w:type="dxa" w:w="110"/>
            </w:tcMar>
          </w:tcPr>
          <w:p>
            <w:pPr>
              <w:spacing w:before="28" w:after="28"/>
            </w:pPr>
            <w:r>
              <w:rPr>
                <w:sz w:val="15"/>
                <w:szCs w:val="15"/>
              </w:rPr>
              <w:t xml:space="preserve">Sales value if processed further</w:t>
            </w:r>
          </w:p>
        </w:tc>
        <w:tc>
          <w:tcPr>
            <w:tcW w:type="pct" w:w="1467"/>
            <w:tcMar>
              <w:top w:type="dxa" w:w="50"/>
              <w:left w:type="dxa" w:w="110"/>
              <w:bottom w:type="dxa" w:w="50"/>
              <w:right w:type="dxa" w:w="110"/>
            </w:tcMar>
          </w:tcPr>
          <w:p>
            <w:pPr>
              <w:spacing w:before="28" w:after="28"/>
            </w:pPr>
            <w:r>
              <w:rPr>
                <w:sz w:val="15"/>
                <w:szCs w:val="15"/>
              </w:rPr>
              <w:t xml:space="preserve">2,080,000</w:t>
            </w:r>
          </w:p>
        </w:tc>
        <w:tc>
          <w:tcPr>
            <w:tcW w:type="pct" w:w="1333"/>
            <w:tcMar>
              <w:top w:type="dxa" w:w="50"/>
              <w:left w:type="dxa" w:w="110"/>
              <w:bottom w:type="dxa" w:w="50"/>
              <w:right w:type="dxa" w:w="110"/>
            </w:tcMar>
          </w:tcPr>
          <w:p>
            <w:pPr>
              <w:spacing w:before="28" w:after="28"/>
            </w:pPr>
            <w:r>
              <w:rPr>
                <w:sz w:val="15"/>
                <w:szCs w:val="15"/>
              </w:rPr>
              <w:t xml:space="preserve">420,000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67"/>
            <w:shd w:fill="FBFAF6" w:val="clear"/>
            <w:tcMar>
              <w:top w:type="dxa" w:w="50"/>
              <w:left w:type="dxa" w:w="110"/>
              <w:bottom w:type="dxa" w:w="50"/>
              <w:right w:type="dxa" w:w="110"/>
            </w:tcMar>
          </w:tcPr>
          <w:p>
            <w:pPr>
              <w:spacing w:before="28" w:after="28"/>
            </w:pPr>
            <w:r>
              <w:rPr>
                <w:sz w:val="15"/>
                <w:szCs w:val="15"/>
              </w:rPr>
              <w:t xml:space="preserve">(1,352,000)</w:t>
            </w:r>
          </w:p>
        </w:tc>
        <w:tc>
          <w:tcPr>
            <w:tcW w:type="pct" w:w="1333"/>
            <w:shd w:fill="FBFAF6" w:val="clear"/>
            <w:tcMar>
              <w:top w:type="dxa" w:w="50"/>
              <w:left w:type="dxa" w:w="110"/>
              <w:bottom w:type="dxa" w:w="50"/>
              <w:right w:type="dxa" w:w="110"/>
            </w:tcMar>
          </w:tcPr>
          <w:p>
            <w:pPr>
              <w:spacing w:before="28" w:after="28"/>
            </w:pPr>
            <w:r>
              <w:rPr>
                <w:sz w:val="15"/>
                <w:szCs w:val="15"/>
              </w:rPr>
              <w:t xml:space="preserve">(273,000)</w:t>
            </w:r>
          </w:p>
        </w:tc>
      </w:tr>
      <w:tr>
        <w:tc>
          <w:tcPr>
            <w:tcW w:type="pct" w:w="2200"/>
            <w:tcMar>
              <w:top w:type="dxa" w:w="50"/>
              <w:left w:type="dxa" w:w="110"/>
              <w:bottom w:type="dxa" w:w="50"/>
              <w:right w:type="dxa" w:w="110"/>
            </w:tcMar>
          </w:tcPr>
          <w:p>
            <w:pPr>
              <w:spacing w:before="28" w:after="28"/>
            </w:pPr>
            <w:r>
              <w:rPr>
                <w:sz w:val="15"/>
                <w:szCs w:val="15"/>
              </w:rPr>
              <w:t xml:space="preserve">Incremental revenue</w:t>
            </w:r>
          </w:p>
        </w:tc>
        <w:tc>
          <w:tcPr>
            <w:tcW w:type="pct" w:w="1467"/>
            <w:tcMar>
              <w:top w:type="dxa" w:w="50"/>
              <w:left w:type="dxa" w:w="110"/>
              <w:bottom w:type="dxa" w:w="50"/>
              <w:right w:type="dxa" w:w="110"/>
            </w:tcMar>
          </w:tcPr>
          <w:p>
            <w:pPr>
              <w:spacing w:before="28" w:after="28"/>
            </w:pPr>
            <w:r>
              <w:rPr>
                <w:sz w:val="15"/>
                <w:szCs w:val="15"/>
              </w:rPr>
              <w:t xml:space="preserve">728,000</w:t>
            </w:r>
          </w:p>
        </w:tc>
        <w:tc>
          <w:tcPr>
            <w:tcW w:type="pct" w:w="1333"/>
            <w:tcMar>
              <w:top w:type="dxa" w:w="50"/>
              <w:left w:type="dxa" w:w="110"/>
              <w:bottom w:type="dxa" w:w="50"/>
              <w:right w:type="dxa" w:w="110"/>
            </w:tcMar>
          </w:tcPr>
          <w:p>
            <w:pPr>
              <w:spacing w:before="28" w:after="28"/>
            </w:pPr>
            <w:r>
              <w:rPr>
                <w:sz w:val="15"/>
                <w:szCs w:val="15"/>
              </w:rPr>
              <w:t xml:space="preserve">147,000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67"/>
            <w:shd w:fill="FBFAF6" w:val="clear"/>
            <w:tcMar>
              <w:top w:type="dxa" w:w="50"/>
              <w:left w:type="dxa" w:w="110"/>
              <w:bottom w:type="dxa" w:w="50"/>
              <w:right w:type="dxa" w:w="110"/>
            </w:tcMar>
          </w:tcPr>
          <w:p>
            <w:pPr>
              <w:spacing w:before="28" w:after="28"/>
            </w:pPr>
            <w:r>
              <w:rPr>
                <w:sz w:val="15"/>
                <w:szCs w:val="15"/>
              </w:rPr>
              <w:t xml:space="preserve">(468,000)</w:t>
            </w:r>
          </w:p>
        </w:tc>
        <w:tc>
          <w:tcPr>
            <w:tcW w:type="pct" w:w="1333"/>
            <w:shd w:fill="FBFAF6" w:val="clear"/>
            <w:tcMar>
              <w:top w:type="dxa" w:w="50"/>
              <w:left w:type="dxa" w:w="110"/>
              <w:bottom w:type="dxa" w:w="50"/>
              <w:right w:type="dxa" w:w="110"/>
            </w:tcMar>
          </w:tcPr>
          <w:p>
            <w:pPr>
              <w:spacing w:before="28" w:after="28"/>
            </w:pPr>
            <w:r>
              <w:rPr>
                <w:sz w:val="15"/>
                <w:szCs w:val="15"/>
              </w:rPr>
              <w:t xml:space="preserve">(32,000)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67"/>
            <w:tcMar>
              <w:top w:type="dxa" w:w="50"/>
              <w:left w:type="dxa" w:w="110"/>
              <w:bottom w:type="dxa" w:w="50"/>
              <w:right w:type="dxa" w:w="110"/>
            </w:tcMar>
          </w:tcPr>
          <w:p>
            <w:pPr>
              <w:spacing w:before="28" w:after="28"/>
            </w:pPr>
            <w:r>
              <w:rPr>
                <w:sz w:val="15"/>
                <w:szCs w:val="15"/>
              </w:rPr>
              <w:t xml:space="preserve">260,000</w:t>
            </w:r>
          </w:p>
        </w:tc>
        <w:tc>
          <w:tcPr>
            <w:tcW w:type="pct" w:w="1333"/>
            <w:tcMar>
              <w:top w:type="dxa" w:w="50"/>
              <w:left w:type="dxa" w:w="110"/>
              <w:bottom w:type="dxa" w:w="50"/>
              <w:right w:type="dxa" w:w="110"/>
            </w:tcMar>
          </w:tcPr>
          <w:p>
            <w:pPr>
              <w:spacing w:before="28" w:after="28"/>
            </w:pPr>
            <w:r>
              <w:rPr>
                <w:sz w:val="15"/>
                <w:szCs w:val="15"/>
              </w:rPr>
              <w:t xml:space="preserve">115,000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Joint cost</w:t>
            </w:r>
          </w:p>
        </w:tc>
        <w:tc>
          <w:tcPr>
            <w:tcW w:type="pct" w:w="1467"/>
            <w:shd w:fill="FBFAF6" w:val="clear"/>
            <w:tcMar>
              <w:top w:type="dxa" w:w="50"/>
              <w:left w:type="dxa" w:w="110"/>
              <w:bottom w:type="dxa" w:w="50"/>
              <w:right w:type="dxa" w:w="110"/>
            </w:tcMar>
          </w:tcPr>
          <w:p>
            <w:pPr>
              <w:spacing w:before="28" w:after="28"/>
            </w:pPr>
            <w:r>
              <w:rPr>
                <w:sz w:val="15"/>
                <w:szCs w:val="15"/>
              </w:rPr>
              <w:t xml:space="preserve">irrelevant</w:t>
            </w:r>
          </w:p>
        </w:tc>
        <w:tc>
          <w:tcPr>
            <w:tcW w:type="pct" w:w="1333"/>
            <w:shd w:fill="FBFAF6" w:val="clear"/>
            <w:tcMar>
              <w:top w:type="dxa" w:w="50"/>
              <w:left w:type="dxa" w:w="110"/>
              <w:bottom w:type="dxa" w:w="50"/>
              <w:right w:type="dxa" w:w="110"/>
            </w:tcMar>
          </w:tcPr>
          <w:p>
            <w:pPr>
              <w:spacing w:before="28" w:after="28"/>
            </w:pPr>
            <w:r>
              <w:rPr>
                <w:sz w:val="15"/>
                <w:szCs w:val="15"/>
              </w:rPr>
              <w:t xml:space="preserve">irrelevant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Separable (incremental) cost   ·   Sales value at split-off   ·   physical measure method   ·   Gain from processing further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sell-or-process-further decision   ·   physical measure method   ·   طريقة المقياس المادي</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2"/>
        <w:gridCol w:w="48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6"/>
            <w:tcMar>
              <w:top w:type="dxa" w:w="50"/>
              <w:left w:type="dxa" w:w="110"/>
              <w:bottom w:type="dxa" w:w="50"/>
              <w:right w:type="dxa" w:w="110"/>
            </w:tcMar>
          </w:tcPr>
          <w:p>
            <w:pPr>
              <w:spacing w:before="26" w:after="26"/>
            </w:pPr>
            <w:r>
              <w:rPr>
                <w:color w:val="232733"/>
                <w:sz w:val="16"/>
                <w:szCs w:val="16"/>
              </w:rPr>
              <w:t xml:space="preserve">sell-or-process-further decision</w:t>
            </w:r>
          </w:p>
        </w:tc>
        <w:tc>
          <w:tcPr>
            <w:tcW w:type="pct" w:w="2504"/>
            <w:tcMar>
              <w:top w:type="dxa" w:w="50"/>
              <w:left w:type="dxa" w:w="110"/>
              <w:bottom w:type="dxa" w:w="50"/>
              <w:right w:type="dxa" w:w="110"/>
            </w:tcMar>
          </w:tcPr>
          <w:p>
            <w:pPr>
              <w:spacing w:before="26" w:after="26"/>
            </w:pPr>
            <w:r>
              <w:rPr>
                <w:color w:val="232733"/>
                <w:sz w:val="16"/>
                <w:szCs w:val="16"/>
              </w:rPr>
              <w:t xml:space="preserve">قرار البيع أو الاستمرار في التشغيل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Benefits, limitations and further processing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 value at split-off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 value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ignores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Separable (incremental)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Gain from processing further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physical measure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Constant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sell-or-process-further 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physical measure method is simple but ignores value. Sales value at split-off is fair and simple but needs split-off prices. NRV works without split-off prices but depends on estimates of separable costs. Constant gross margin gives every product the same margin, which may hide real differences. No allocation should drive a decision to sell at split-off or process further. That decision compares the extra revenue with the separable cost only; the joint cost is the same either way.</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11.7  Extended Example 11A: batch H-2711 at split-off</w:t>
            </w:r>
          </w:p>
          <w:p>
            <w:pPr>
              <w:spacing w:before="0" w:after="46"/>
            </w:pPr>
            <w:r>
              <w:rPr>
                <w:color w:val="E8EAF6"/>
                <w:sz w:val="16"/>
                <w:szCs w:val="16"/>
              </w:rPr>
              <w:t xml:space="preserve">Chapter 11 · section 11.7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records the split-off of batch H-2711 twice, once for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results.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exam-core;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for depth.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EVOO 130,000 liters; VOO 70,000 liters; pomace 400,000 kg at $0.30, with $20,000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NRV method for the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production method for pomace. </w:t>
      </w:r>
      <w:r>
        <w:rPr>
          <w:sz w:val="19"/>
          <w:szCs w:val="19"/>
        </w:rPr>
        <w:t xml:space="preserve">Record the joint cost, split it at split-off under the production method, record the pomace sale, then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with the sales method and compare. </w:t>
      </w:r>
      <w:r>
        <w:rPr>
          <w:sz w:val="19"/>
          <w:szCs w:val="19"/>
        </w:rPr>
        <w:t xml:space="preserve">Production method: net joint cost $1,300,000; EVOO $1,047,800; VOO $252,200. </w:t>
      </w:r>
      <w:r>
        <w:rPr>
          <w:sz w:val="19"/>
          <w:szCs w:val="19"/>
        </w:rPr>
        <w:t xml:space="preserve">EVOO per liter: $1,047,800 ÷ 130,000 = $8.06,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used. </w:t>
      </w:r>
      <w:r>
        <w:rPr>
          <w:sz w:val="19"/>
          <w:szCs w:val="19"/>
        </w:rPr>
        <w:t xml:space="preserve">Sales method: joint cost $1,400,000 on the same NRVs; EVOO $1,128,400; VOO $271,600.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entries   ·   products   ·   transferred-in   ·   Outputs   ·   by-product   ·   Policy   ·   allocations   ·   repeat   ·   results   ·   compares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13"/>
        <w:gridCol w:w="217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production method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0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01"/>
            <w:tcMar>
              <w:top w:type="dxa" w:w="50"/>
              <w:left w:type="dxa" w:w="110"/>
              <w:bottom w:type="dxa" w:w="50"/>
              <w:right w:type="dxa" w:w="110"/>
            </w:tcMar>
          </w:tcPr>
          <w:p>
            <w:pPr>
              <w:spacing w:before="28" w:after="28"/>
            </w:pPr>
            <w:r>
              <w:rPr>
                <w:sz w:val="15"/>
                <w:szCs w:val="15"/>
              </w:rPr>
              <w:t xml:space="preserve">1,400,000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01"/>
            <w:tcMar>
              <w:top w:type="dxa" w:w="50"/>
              <w:left w:type="dxa" w:w="110"/>
              <w:bottom w:type="dxa" w:w="50"/>
              <w:right w:type="dxa" w:w="110"/>
            </w:tcMar>
          </w:tcPr>
          <w:p>
            <w:pPr>
              <w:spacing w:before="28" w:after="28"/>
            </w:pPr>
            <w:r>
              <w:rPr>
                <w:sz w:val="15"/>
                <w:szCs w:val="15"/>
              </w:rPr>
              <w:t xml:space="preserve"> </w:t>
            </w:r>
          </w:p>
        </w:tc>
        <w:tc>
          <w:tcPr>
            <w:tcW w:type="pct" w:w="1131"/>
            <w:tcMar>
              <w:top w:type="dxa" w:w="50"/>
              <w:left w:type="dxa" w:w="110"/>
              <w:bottom w:type="dxa" w:w="50"/>
              <w:right w:type="dxa" w:w="110"/>
            </w:tcMar>
          </w:tcPr>
          <w:p>
            <w:pPr>
              <w:spacing w:before="28" w:after="28"/>
            </w:pPr>
            <w:r>
              <w:rPr>
                <w:sz w:val="15"/>
                <w:szCs w:val="15"/>
              </w:rPr>
              <w:t xml:space="preserve">120,000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01"/>
            <w:tcMar>
              <w:top w:type="dxa" w:w="50"/>
              <w:left w:type="dxa" w:w="110"/>
              <w:bottom w:type="dxa" w:w="50"/>
              <w:right w:type="dxa" w:w="110"/>
            </w:tcMar>
          </w:tcPr>
          <w:p>
            <w:pPr>
              <w:spacing w:before="28" w:after="28"/>
            </w:pPr>
            <w:r>
              <w:rPr>
                <w:sz w:val="15"/>
                <w:szCs w:val="15"/>
              </w:rPr>
              <w:t xml:space="preserve">100,000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Bottling</w:t>
            </w:r>
          </w:p>
        </w:tc>
        <w:tc>
          <w:tcPr>
            <w:tcW w:type="pct" w:w="1101"/>
            <w:shd w:fill="FBFAF6" w:val="clear"/>
            <w:tcMar>
              <w:top w:type="dxa" w:w="50"/>
              <w:left w:type="dxa" w:w="110"/>
              <w:bottom w:type="dxa" w:w="50"/>
              <w:right w:type="dxa" w:w="110"/>
            </w:tcMar>
          </w:tcPr>
          <w:p>
            <w:pPr>
              <w:spacing w:before="28" w:after="28"/>
            </w:pPr>
            <w:r>
              <w:rPr>
                <w:sz w:val="15"/>
                <w:szCs w:val="15"/>
              </w:rPr>
              <w:t xml:space="preserve">1,047,800</w:t>
            </w:r>
          </w:p>
        </w:tc>
        <w:tc>
          <w:tcPr>
            <w:tcW w:type="pct" w:w="1131"/>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 VOO</w:t>
            </w:r>
          </w:p>
        </w:tc>
        <w:tc>
          <w:tcPr>
            <w:tcW w:type="pct" w:w="1101"/>
            <w:tcMar>
              <w:top w:type="dxa" w:w="50"/>
              <w:left w:type="dxa" w:w="110"/>
              <w:bottom w:type="dxa" w:w="50"/>
              <w:right w:type="dxa" w:w="110"/>
            </w:tcMar>
          </w:tcPr>
          <w:p>
            <w:pPr>
              <w:spacing w:before="28" w:after="28"/>
            </w:pPr>
            <w:r>
              <w:rPr>
                <w:sz w:val="15"/>
                <w:szCs w:val="15"/>
              </w:rPr>
              <w:t xml:space="preserve">252,200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01"/>
            <w:tcMar>
              <w:top w:type="dxa" w:w="50"/>
              <w:left w:type="dxa" w:w="110"/>
              <w:bottom w:type="dxa" w:w="50"/>
              <w:right w:type="dxa" w:w="110"/>
            </w:tcMar>
          </w:tcPr>
          <w:p>
            <w:pPr>
              <w:spacing w:before="28" w:after="28"/>
            </w:pPr>
            <w:r>
              <w:rPr>
                <w:sz w:val="15"/>
                <w:szCs w:val="15"/>
              </w:rPr>
              <w:t xml:space="preserve">120,000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Pomace (By-product) Inventory</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1101"/>
            <w:tcMar>
              <w:top w:type="dxa" w:w="50"/>
              <w:left w:type="dxa" w:w="110"/>
              <w:bottom w:type="dxa" w:w="50"/>
              <w:right w:type="dxa" w:w="110"/>
            </w:tcMar>
          </w:tcPr>
          <w:p>
            <w:pPr>
              <w:spacing w:before="28" w:after="28"/>
            </w:pPr>
            <w:r>
              <w:rPr>
                <w:sz w:val="15"/>
                <w:szCs w:val="15"/>
              </w:rPr>
              <w:t xml:space="preserve"> </w:t>
            </w:r>
          </w:p>
        </w:tc>
        <w:tc>
          <w:tcPr>
            <w:tcW w:type="pct" w:w="1131"/>
            <w:tcMar>
              <w:top w:type="dxa" w:w="50"/>
              <w:left w:type="dxa" w:w="110"/>
              <w:bottom w:type="dxa" w:w="50"/>
              <w:right w:type="dxa" w:w="110"/>
            </w:tcMar>
          </w:tcPr>
          <w:p>
            <w:pPr>
              <w:spacing w:before="28" w:after="28"/>
            </w:pPr>
            <w:r>
              <w:rPr>
                <w:sz w:val="15"/>
                <w:szCs w:val="15"/>
              </w:rPr>
              <w:t xml:space="preserve">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01"/>
            <w:shd w:fill="FBFAF6" w:val="clear"/>
            <w:tcMar>
              <w:top w:type="dxa" w:w="50"/>
              <w:left w:type="dxa" w:w="110"/>
              <w:bottom w:type="dxa" w:w="50"/>
              <w:right w:type="dxa" w:w="110"/>
            </w:tcMar>
          </w:tcPr>
          <w:p>
            <w:pPr>
              <w:spacing w:before="28" w:after="28"/>
            </w:pPr>
            <w:r>
              <w:rPr>
                <w:sz w:val="15"/>
                <w:szCs w:val="15"/>
              </w:rPr>
              <w:t xml:space="preserve">2,920,000</w:t>
            </w:r>
          </w:p>
        </w:tc>
        <w:tc>
          <w:tcPr>
            <w:tcW w:type="pct" w:w="1131"/>
            <w:shd w:fill="FBFAF6" w:val="clear"/>
            <w:tcMar>
              <w:top w:type="dxa" w:w="50"/>
              <w:left w:type="dxa" w:w="110"/>
              <w:bottom w:type="dxa" w:w="50"/>
              <w:right w:type="dxa" w:w="110"/>
            </w:tcMar>
          </w:tcPr>
          <w:p>
            <w:pPr>
              <w:spacing w:before="28" w:after="28"/>
            </w:pPr>
            <w:r>
              <w:rPr>
                <w:sz w:val="15"/>
                <w:szCs w:val="15"/>
              </w:rPr>
              <w:t xml:space="preserve">2,920,000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Receivable   ·   Cash   ·   Pomace (By-product) Inventory   ·   Totals   ·   Raw Materials Inventory   ·   WIP - Crushing   ·   Wages Payable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077"/>
        <w:gridCol w:w="220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sales method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08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5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082"/>
            <w:tcMar>
              <w:top w:type="dxa" w:w="50"/>
              <w:left w:type="dxa" w:w="110"/>
              <w:bottom w:type="dxa" w:w="50"/>
              <w:right w:type="dxa" w:w="110"/>
            </w:tcMar>
          </w:tcPr>
          <w:p>
            <w:pPr>
              <w:spacing w:before="28" w:after="28"/>
            </w:pPr>
            <w:r>
              <w:rPr>
                <w:sz w:val="15"/>
                <w:szCs w:val="15"/>
              </w:rPr>
              <w:t xml:space="preserve">1,400,000</w:t>
            </w:r>
          </w:p>
        </w:tc>
        <w:tc>
          <w:tcPr>
            <w:tcW w:type="pct" w:w="115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Wages Payable</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120,000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082"/>
            <w:tcMar>
              <w:top w:type="dxa" w:w="50"/>
              <w:left w:type="dxa" w:w="110"/>
              <w:bottom w:type="dxa" w:w="50"/>
              <w:right w:type="dxa" w:w="110"/>
            </w:tcMar>
          </w:tcPr>
          <w:p>
            <w:pPr>
              <w:spacing w:before="28" w:after="28"/>
            </w:pPr>
            <w:r>
              <w:rPr>
                <w:sz w:val="15"/>
                <w:szCs w:val="15"/>
              </w:rPr>
              <w:t xml:space="preserve">1,128,400</w:t>
            </w:r>
          </w:p>
        </w:tc>
        <w:tc>
          <w:tcPr>
            <w:tcW w:type="pct" w:w="115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 VOO</w:t>
            </w:r>
          </w:p>
        </w:tc>
        <w:tc>
          <w:tcPr>
            <w:tcW w:type="pct" w:w="1082"/>
            <w:shd w:fill="FBFAF6" w:val="clear"/>
            <w:tcMar>
              <w:top w:type="dxa" w:w="50"/>
              <w:left w:type="dxa" w:w="110"/>
              <w:bottom w:type="dxa" w:w="50"/>
              <w:right w:type="dxa" w:w="110"/>
            </w:tcMar>
          </w:tcPr>
          <w:p>
            <w:pPr>
              <w:spacing w:before="28" w:after="28"/>
            </w:pPr>
            <w:r>
              <w:rPr>
                <w:sz w:val="15"/>
                <w:szCs w:val="15"/>
              </w:rPr>
              <w:t xml:space="preserve">271,600</w:t>
            </w:r>
          </w:p>
        </w:tc>
        <w:tc>
          <w:tcPr>
            <w:tcW w:type="pct" w:w="115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1,400,000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082"/>
            <w:shd w:fill="FBFAF6" w:val="clear"/>
            <w:tcMar>
              <w:top w:type="dxa" w:w="50"/>
              <w:left w:type="dxa" w:w="110"/>
              <w:bottom w:type="dxa" w:w="50"/>
              <w:right w:type="dxa" w:w="110"/>
            </w:tcMar>
          </w:tcPr>
          <w:p>
            <w:pPr>
              <w:spacing w:before="28" w:after="28"/>
            </w:pPr>
            <w:r>
              <w:rPr>
                <w:sz w:val="15"/>
                <w:szCs w:val="15"/>
              </w:rPr>
              <w:t xml:space="preserve">120,000</w:t>
            </w:r>
          </w:p>
        </w:tc>
        <w:tc>
          <w:tcPr>
            <w:tcW w:type="pct" w:w="115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082"/>
            <w:tcMar>
              <w:top w:type="dxa" w:w="50"/>
              <w:left w:type="dxa" w:w="110"/>
              <w:bottom w:type="dxa" w:w="50"/>
              <w:right w:type="dxa" w:w="110"/>
            </w:tcMar>
          </w:tcPr>
          <w:p>
            <w:pPr>
              <w:spacing w:before="28" w:after="28"/>
            </w:pPr>
            <w:r>
              <w:rPr>
                <w:sz w:val="15"/>
                <w:szCs w:val="15"/>
              </w:rPr>
              <w:t xml:space="preserve">2,920,000</w:t>
            </w:r>
          </w:p>
        </w:tc>
        <w:tc>
          <w:tcPr>
            <w:tcW w:type="pct" w:w="1150"/>
            <w:tcMar>
              <w:top w:type="dxa" w:w="50"/>
              <w:left w:type="dxa" w:w="110"/>
              <w:bottom w:type="dxa" w:w="50"/>
              <w:right w:type="dxa" w:w="110"/>
            </w:tcMar>
          </w:tcPr>
          <w:p>
            <w:pPr>
              <w:spacing w:before="28" w:after="28"/>
            </w:pPr>
            <w:r>
              <w:rPr>
                <w:sz w:val="15"/>
                <w:szCs w:val="15"/>
              </w:rPr>
              <w:t xml:space="preserve">2,920,000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Raw Materials Inventory   ·   WIP - Bottling   ·   Other Income - By-product   ·   physical measure method   ·   Manufacturing Overhead Applied   ·   Cash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19"/>
        <w:gridCol w:w="265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two by-product methods compared</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Batch H-2711, NRV method</w:t>
            </w:r>
          </w:p>
        </w:tc>
        <w:tc>
          <w:tcPr>
            <w:tcW w:type="pct" w:w="1416"/>
            <w:shd w:fill="353A7C" w:val="clear"/>
            <w:tcMar>
              <w:top w:type="dxa" w:w="50"/>
              <w:left w:type="dxa" w:w="110"/>
              <w:bottom w:type="dxa" w:w="50"/>
              <w:right w:type="dxa" w:w="110"/>
            </w:tcMar>
          </w:tcPr>
          <w:p>
            <w:pPr>
              <w:spacing w:before="30" w:after="30"/>
            </w:pPr>
            <w:r>
              <w:rPr>
                <w:b/>
                <w:bCs/>
                <w:color w:val="FFFFFF"/>
                <w:sz w:val="15"/>
                <w:szCs w:val="15"/>
              </w:rPr>
              <w:t xml:space="preserve">Production method</w:t>
            </w:r>
          </w:p>
        </w:tc>
        <w:tc>
          <w:tcPr>
            <w:tcW w:type="pct" w:w="1384"/>
            <w:shd w:fill="353A7C" w:val="clear"/>
            <w:tcMar>
              <w:top w:type="dxa" w:w="50"/>
              <w:left w:type="dxa" w:w="110"/>
              <w:bottom w:type="dxa" w:w="50"/>
              <w:right w:type="dxa" w:w="110"/>
            </w:tcMar>
          </w:tcPr>
          <w:p>
            <w:pPr>
              <w:spacing w:before="30" w:after="30"/>
            </w:pPr>
            <w:r>
              <w:rPr>
                <w:b/>
                <w:bCs/>
                <w:color w:val="FFFFFF"/>
                <w:sz w:val="15"/>
                <w:szCs w:val="15"/>
              </w:rPr>
              <w:t xml:space="preserve">Sales method</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16"/>
            <w:tcMar>
              <w:top w:type="dxa" w:w="50"/>
              <w:left w:type="dxa" w:w="110"/>
              <w:bottom w:type="dxa" w:w="50"/>
              <w:right w:type="dxa" w:w="110"/>
            </w:tcMar>
          </w:tcPr>
          <w:p>
            <w:pPr>
              <w:spacing w:before="28" w:after="28"/>
            </w:pPr>
            <w:r>
              <w:rPr>
                <w:sz w:val="15"/>
                <w:szCs w:val="15"/>
              </w:rPr>
              <w:t xml:space="preserve">1,047,800</w:t>
            </w:r>
          </w:p>
        </w:tc>
        <w:tc>
          <w:tcPr>
            <w:tcW w:type="pct" w:w="1384"/>
            <w:tcMar>
              <w:top w:type="dxa" w:w="50"/>
              <w:left w:type="dxa" w:w="110"/>
              <w:bottom w:type="dxa" w:w="50"/>
              <w:right w:type="dxa" w:w="110"/>
            </w:tcMar>
          </w:tcPr>
          <w:p>
            <w:pPr>
              <w:spacing w:before="28" w:after="28"/>
            </w:pPr>
            <w:r>
              <w:rPr>
                <w:sz w:val="15"/>
                <w:szCs w:val="15"/>
              </w:rPr>
              <w:t xml:space="preserve">1,128,400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Joint cost allocated to VOO</w:t>
            </w:r>
          </w:p>
        </w:tc>
        <w:tc>
          <w:tcPr>
            <w:tcW w:type="pct" w:w="1416"/>
            <w:shd w:fill="FBFAF6" w:val="clear"/>
            <w:tcMar>
              <w:top w:type="dxa" w:w="50"/>
              <w:left w:type="dxa" w:w="110"/>
              <w:bottom w:type="dxa" w:w="50"/>
              <w:right w:type="dxa" w:w="110"/>
            </w:tcMar>
          </w:tcPr>
          <w:p>
            <w:pPr>
              <w:spacing w:before="28" w:after="28"/>
            </w:pPr>
            <w:r>
              <w:rPr>
                <w:sz w:val="15"/>
                <w:szCs w:val="15"/>
              </w:rPr>
              <w:t xml:space="preserve">252,200</w:t>
            </w:r>
          </w:p>
        </w:tc>
        <w:tc>
          <w:tcPr>
            <w:tcW w:type="pct" w:w="1384"/>
            <w:shd w:fill="FBFAF6" w:val="clear"/>
            <w:tcMar>
              <w:top w:type="dxa" w:w="50"/>
              <w:left w:type="dxa" w:w="110"/>
              <w:bottom w:type="dxa" w:w="50"/>
              <w:right w:type="dxa" w:w="110"/>
            </w:tcMar>
          </w:tcPr>
          <w:p>
            <w:pPr>
              <w:spacing w:before="28" w:after="28"/>
            </w:pPr>
            <w:r>
              <w:rPr>
                <w:sz w:val="15"/>
                <w:szCs w:val="15"/>
              </w:rPr>
              <w:t xml:space="preserve">271,600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416"/>
            <w:tcMar>
              <w:top w:type="dxa" w:w="50"/>
              <w:left w:type="dxa" w:w="110"/>
              <w:bottom w:type="dxa" w:w="50"/>
              <w:right w:type="dxa" w:w="110"/>
            </w:tcMar>
          </w:tcPr>
          <w:p>
            <w:pPr>
              <w:spacing w:before="28" w:after="28"/>
            </w:pPr>
            <w:r>
              <w:rPr>
                <w:sz w:val="15"/>
                <w:szCs w:val="15"/>
              </w:rPr>
              <w:t xml:space="preserve">100,000</w:t>
            </w:r>
          </w:p>
        </w:tc>
        <w:tc>
          <w:tcPr>
            <w:tcW w:type="pct" w:w="1384"/>
            <w:tcMar>
              <w:top w:type="dxa" w:w="50"/>
              <w:left w:type="dxa" w:w="110"/>
              <w:bottom w:type="dxa" w:w="50"/>
              <w:right w:type="dxa" w:w="110"/>
            </w:tcMar>
          </w:tcPr>
          <w:p>
            <w:pPr>
              <w:spacing w:before="28" w:after="28"/>
            </w:pPr>
            <w:r>
              <w:rPr>
                <w:sz w:val="15"/>
                <w:szCs w:val="15"/>
              </w:rPr>
              <w:t xml:space="preserve">none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Other income when pomace is sold</w:t>
            </w:r>
          </w:p>
        </w:tc>
        <w:tc>
          <w:tcPr>
            <w:tcW w:type="pct" w:w="1416"/>
            <w:shd w:fill="FBFAF6" w:val="clear"/>
            <w:tcMar>
              <w:top w:type="dxa" w:w="50"/>
              <w:left w:type="dxa" w:w="110"/>
              <w:bottom w:type="dxa" w:w="50"/>
              <w:right w:type="dxa" w:w="110"/>
            </w:tcMar>
          </w:tcPr>
          <w:p>
            <w:pPr>
              <w:spacing w:before="28" w:after="28"/>
            </w:pPr>
            <w:r>
              <w:rPr>
                <w:sz w:val="15"/>
                <w:szCs w:val="15"/>
              </w:rPr>
              <w:t xml:space="preserve">none</w:t>
            </w:r>
          </w:p>
        </w:tc>
        <w:tc>
          <w:tcPr>
            <w:tcW w:type="pct" w:w="1384"/>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416"/>
            <w:tcMar>
              <w:top w:type="dxa" w:w="50"/>
              <w:left w:type="dxa" w:w="110"/>
              <w:bottom w:type="dxa" w:w="50"/>
              <w:right w:type="dxa" w:w="110"/>
            </w:tcMar>
          </w:tcPr>
          <w:p>
            <w:pPr>
              <w:spacing w:before="28" w:after="28"/>
            </w:pPr>
            <w:r>
              <w:rPr>
                <w:sz w:val="15"/>
                <w:szCs w:val="15"/>
              </w:rPr>
              <w:t xml:space="preserve">the same</w:t>
            </w:r>
          </w:p>
        </w:tc>
        <w:tc>
          <w:tcPr>
            <w:tcW w:type="pct" w:w="1384"/>
            <w:tcMar>
              <w:top w:type="dxa" w:w="50"/>
              <w:left w:type="dxa" w:w="110"/>
              <w:bottom w:type="dxa" w:w="50"/>
              <w:right w:type="dxa" w:w="110"/>
            </w:tcMar>
          </w:tcPr>
          <w:p>
            <w:pPr>
              <w:spacing w:before="28" w:after="28"/>
            </w:pPr>
            <w:r>
              <w:rPr>
                <w:sz w:val="15"/>
                <w:szCs w:val="15"/>
              </w:rPr>
              <w:t xml:space="preserve">the same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$0.20/kg; no disposal cost; production method   ·   Pomace inventory at split-off   ·   Total effect on income over time   ·   Joint cost allocated to EVOO</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Production method: $100,000 + $1,047,800 + $252,200 = $1,400,000. Sales method: $1,128,400 + $271,600 = $1,400,000. Batch margin: sales $2,500,000 − costs $1,800,000 = $700,000, or 28%.</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25–28</w:t>
      </w:r>
    </w:p>
    <w:p>
      <w:pPr>
        <w:spacing w:before="20" w:after="20" w:line="360" w:lineRule="auto"/>
        <w:ind w:left="200"/>
      </w:pPr>
      <w:r>
        <w:rPr>
          <w:sz w:val="19"/>
          <w:szCs w:val="19"/>
        </w:rPr>
        <w:t xml:space="preserve">Expect a joint cost, two or three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with volumes and prices, and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 by-product.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by-product NRV first if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method is used. </w:t>
      </w:r>
      <w:r>
        <w:rPr>
          <w:sz w:val="19"/>
          <w:szCs w:val="19"/>
        </w:rPr>
        <w:t xml:space="preserve">Then build the base for the method asked, and never include joint costs in a process-further decision.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Deduct   ·   process-further   ·   sometimes   ·   production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Tahini &amp; Spreads · sesame processing · FY2027</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400"/>
            <w:tcMar>
              <w:top w:type="dxa" w:w="50"/>
              <w:left w:type="dxa" w:w="110"/>
              <w:bottom w:type="dxa" w:w="50"/>
              <w:right w:type="dxa" w:w="110"/>
            </w:tcMar>
          </w:tcPr>
          <w:p>
            <w:pPr>
              <w:spacing w:before="28" w:after="28"/>
            </w:pPr>
            <w:r>
              <w:rPr>
                <w:sz w:val="15"/>
                <w:szCs w:val="15"/>
              </w:rPr>
              <w:t xml:space="preserve">Joint cost of sesame processing</w:t>
            </w:r>
          </w:p>
        </w:tc>
        <w:tc>
          <w:tcPr>
            <w:tcW w:type="pct" w:w="2600"/>
            <w:tcMar>
              <w:top w:type="dxa" w:w="50"/>
              <w:left w:type="dxa" w:w="110"/>
              <w:bottom w:type="dxa" w:w="50"/>
              <w:right w:type="dxa" w:w="110"/>
            </w:tcMar>
          </w:tcPr>
          <w:p>
            <w:pPr>
              <w:spacing w:before="28" w:after="28"/>
            </w:pPr>
            <w:r>
              <w:rPr>
                <w:sz w:val="15"/>
                <w:szCs w:val="15"/>
              </w:rPr>
              <w:t xml:space="preserve">500,000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base: 60,000 kg</w:t>
            </w:r>
          </w:p>
        </w:tc>
        <w:tc>
          <w:tcPr>
            <w:tcW w:type="pct" w:w="2600"/>
            <w:shd w:fill="FBFAF6" w:val="clear"/>
            <w:tcMar>
              <w:top w:type="dxa" w:w="50"/>
              <w:left w:type="dxa" w:w="110"/>
              <w:bottom w:type="dxa" w:w="50"/>
              <w:right w:type="dxa" w:w="110"/>
            </w:tcMar>
          </w:tcPr>
          <w:p>
            <w:pPr>
              <w:spacing w:before="28" w:after="28"/>
            </w:pPr>
            <w:r>
              <w:rPr>
                <w:sz w:val="15"/>
                <w:szCs w:val="15"/>
              </w:rPr>
              <w:t xml:space="preserve">$6.00/kg at split-off; $8.00/kg as jarred tahini after 60,000 of further cost</w:t>
            </w:r>
          </w:p>
        </w:tc>
      </w:tr>
      <w:tr>
        <w:tc>
          <w:tcPr>
            <w:tcW w:type="pct" w:w="2400"/>
            <w:tcMar>
              <w:top w:type="dxa" w:w="50"/>
              <w:left w:type="dxa" w:w="110"/>
              <w:bottom w:type="dxa" w:w="50"/>
              <w:right w:type="dxa" w:w="110"/>
            </w:tcMar>
          </w:tcPr>
          <w:p>
            <w:pPr>
              <w:spacing w:before="28" w:after="28"/>
            </w:pPr>
            <w:r>
              <w:rPr>
                <w:sz w:val="15"/>
                <w:szCs w:val="15"/>
              </w:rPr>
              <w:t xml:space="preserve">Sesame oil: 20,000 liters</w:t>
            </w:r>
          </w:p>
        </w:tc>
        <w:tc>
          <w:tcPr>
            <w:tcW w:type="pct" w:w="2600"/>
            <w:tcMar>
              <w:top w:type="dxa" w:w="50"/>
              <w:left w:type="dxa" w:w="110"/>
              <w:bottom w:type="dxa" w:w="50"/>
              <w:right w:type="dxa" w:w="110"/>
            </w:tcMar>
          </w:tcPr>
          <w:p>
            <w:pPr>
              <w:spacing w:before="28" w:after="28"/>
            </w:pPr>
            <w:r>
              <w:rPr>
                <w:sz w:val="15"/>
                <w:szCs w:val="15"/>
              </w:rPr>
              <w:t xml:space="preserve">$7.00/liter at split-off; sold at split-off</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Sesame hulls: 50,000 kg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$0.20/kg; no disposal cost; production method   ·   $7.00/liter at split-off; sold at split-off</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EVOO</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VOO</w:t>
            </w:r>
          </w:p>
        </w:tc>
        <w:tc>
          <w:tcPr>
            <w:tcW w:type="pct" w:w="2600"/>
            <w:shd w:fill="FBFAF6" w:val="clear"/>
            <w:tcMar>
              <w:top w:type="dxa" w:w="50"/>
              <w:left w:type="dxa" w:w="110"/>
              <w:bottom w:type="dxa" w:w="50"/>
              <w:right w:type="dxa" w:w="110"/>
            </w:tcMar>
          </w:tcPr>
          <w:p>
            <w:pPr>
              <w:spacing w:before="28" w:after="28"/>
            </w:pPr>
            <w:r>
              <w:rPr>
                <w:sz w:val="15"/>
                <w:szCs w:val="15"/>
              </w:rPr>
              <w:t xml:space="preserve">273,000 ÷ 1,625,000 × 1,300,000 = 218,400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1,352,000 ÷ 1,625,000 × 1,300,000 = 1,081,600   ·   273,000 ÷ 1,625,000 × 1,300,000 = 218,400</w:t>
            </w:r>
          </w:p>
        </w:tc>
      </w:tr>
    </w:tbl>
    <w:p/>
    <w:p>
      <w:pPr>
        <w:spacing w:before="44" w:after="10"/>
      </w:pPr>
      <w:r>
        <w:rPr>
          <w:b/>
          <w:bCs/>
          <w:color w:val="353A7C"/>
          <w:sz w:val="18"/>
          <w:szCs w:val="18"/>
        </w:rPr>
        <w:t xml:space="preserve">Output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split-off point   ·   Tahini base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method (by-products)   ·   split-off point   ·   net realizable value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split-off point</w:t>
            </w:r>
          </w:p>
        </w:tc>
        <w:tc>
          <w:tcPr>
            <w:tcW w:type="pct" w:w="2600"/>
            <w:tcMar>
              <w:top w:type="dxa" w:w="50"/>
              <w:left w:type="dxa" w:w="110"/>
              <w:bottom w:type="dxa" w:w="50"/>
              <w:right w:type="dxa" w:w="110"/>
            </w:tcMar>
          </w:tcPr>
          <w:p>
            <w:pPr>
              <w:spacing w:before="26" w:after="26"/>
            </w:pPr>
            <w:r>
              <w:rPr>
                <w:color w:val="232733"/>
                <w:sz w:val="16"/>
                <w:szCs w:val="16"/>
              </w:rPr>
              <w:t xml:space="preserve">نقطة الانفصال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separable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المنفصلة</w:t>
            </w:r>
          </w:p>
        </w:tc>
      </w:tr>
      <w:tr>
        <w:tc>
          <w:tcPr>
            <w:tcW w:type="pct" w:w="24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صافي القيمة القابلة للتحقق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by-product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المنتج العرضي</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11.7  Extended Example 11A: batch H-2711 at split-off</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by-product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WIP - 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Other Income - By-product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Joint cost allocated to EVOO</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Pomace inventory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Policy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 effect on income 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repeat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transferred-in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Deduct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$0.20/kg; no disposal cost; production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Pomace (By-product)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1,352,000 ÷ 1,625,000 × 1,300,000 = 1,081,600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WIP - Crushing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Tahini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split-off 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net realizable value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Raw Materials 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split-off of batch H-2711 twice, once for each by-product method, and compares the results. The allocations are exam-core; the entries are for depth. Outputs: EVOO 130,000 liters; VOO 70,000 liters; pomace 400,000 kg at $0.30, with $20,000 of disposal costs. Policy: NRV method for the joint products; production method for pomace. Record the joint cost, split it at split-off under the production method, record the pomace sale, then repeat with the sales method and compare. Production method: net joint cost $1,300,000; EVOO $1,047,800; VOO $252,200. EVOO per liter: $1,047,800 ÷ 130,000 = $8.06, the transferred-in cost used. Sales method: joint cost $1,400,000 on the same NRVs; EVOO $1,128,400; VOO $271,600.</w:t>
      </w:r>
    </w:p>
    <w:p>
      <w:pPr>
        <w:spacing w:before="20" w:after="20"/>
        <w:ind w:left="240" w:hanging="240"/>
      </w:pPr>
      <w:r>
        <w:rPr>
          <w:b/>
          <w:bCs/>
          <w:color w:val="353A7C"/>
          <w:sz w:val="15"/>
          <w:szCs w:val="15"/>
        </w:rPr>
        <w:t xml:space="preserve">Summary 2   </w:t>
      </w:r>
      <w:r>
        <w:rPr>
          <w:color w:val="6B7280"/>
          <w:sz w:val="15"/>
          <w:szCs w:val="15"/>
        </w:rPr>
        <w:t xml:space="preserve">Expect a joint cost, two or three products with volumes and prices, and sometimes a by-product. Deduct the by-product NRV first if the production method is used. Then build the base for the method asked, and never include joint costs in a process-further decision.</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Joint products, by-products and scrap</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The split-off point and separable costs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Accounting for by-products</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Physical measure and sales value at split-off</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Net realizable value and constant gross margin</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Benefits, limitations and further processing</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11.7 · Extended Example 11A: batch H-2711 at split-off</w:t>
          </w:r>
        </w:p>
      </w:tc>
      <w:tc>
        <w:tcPr>
          <w:tcW w:type="pct" w:w="1400"/>
          <w:tcMar>
            <w:top w:type="dxa" w:w="-30"/>
            <w:left w:type="dxa" w:w="30"/>
            <w:bottom w:type="dxa" w:w="-30"/>
            <w:right w:type="dxa" w:w="30"/>
          </w:tcMar>
        </w:tcPr>
        <w:p>
          <w:pPr>
            <w:jc w:val="right"/>
          </w:pPr>
          <w:r>
            <w:rPr>
              <w:color w:val="6B7280"/>
              <w:sz w:val="16"/>
              <w:szCs w:val="16"/>
            </w:rPr>
            <w:t xml:space="preserve">Handout 11.7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ca3566dbed04f8be54a907d635aaa75602d5fee.png" Type="http://schemas.openxmlformats.org/officeDocument/2006/relationships/image"/><Relationship Id="rId102" Target="media/662f6d9261de3b2a4b1126430680e5ec55411ccf.png" Type="http://schemas.openxmlformats.org/officeDocument/2006/relationships/image"/><Relationship Id="rId103" Target="media/c03e36b72dc9a1e507f83737960d8deb5b7053c8.png" Type="http://schemas.openxmlformats.org/officeDocument/2006/relationships/image"/><Relationship Id="rId104" Target="media/1d7a3fb1e8c0f23521995d91763c28bed062afa0.png" Type="http://schemas.openxmlformats.org/officeDocument/2006/relationships/image"/><Relationship Id="rId105" Target="media/d09506a6647190a1ddb4d3a29a709340c47daad9.png" Type="http://schemas.openxmlformats.org/officeDocument/2006/relationships/image"/><Relationship Id="rId106" Target="media/f92a816e40e7fe77eab120f4dd2b395cafeeb429.png" Type="http://schemas.openxmlformats.org/officeDocument/2006/relationships/image"/><Relationship Id="rId107" Target="media/ad3c3ae17f7a82e241f0a6cf16c6977f01f7f0cb.png" Type="http://schemas.openxmlformats.org/officeDocument/2006/relationships/image"/><Relationship Id="rId108" Target="media/c34f6f56f49662e3ec69dab3273ecb8f8763374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11</dc:title>
  <dc:subject>Summary handouts</dc:subject>
  <cp:category>Student Book</cp:category>
</cp:coreProperties>
</file>