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14.1  Life-cycle costing</w:t>
            </w:r>
          </w:p>
          <w:p>
            <w:pPr>
              <w:spacing w:before="0" w:after="46"/>
            </w:pPr>
            <w:r>
              <w:rPr>
                <w:color w:val="E8EAF6"/>
                <w:sz w:val="16"/>
                <w:szCs w:val="16"/>
              </w:rPr>
              <w:t xml:space="preserve">Chapter 14 · section 14.1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14,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307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3070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Value-added and non-value-added activities   ·   Life-cycle costing   ·   The steps in value chain analysis   ·   upstream costs</w:t>
            </w:r>
          </w:p>
        </w:tc>
      </w:tr>
    </w:tbl>
    <w:p/>
    <w:p>
      <w:pPr>
        <w:spacing w:before="44" w:after="14"/>
      </w:pPr>
      <w:r>
        <w:rPr>
          <w:b/>
          <w:bCs/>
          <w:color w:val="353A7C"/>
          <w:sz w:val="18"/>
          <w:szCs w:val="18"/>
        </w:rPr>
        <w:t xml:space="preserve">Summary 1</w:t>
      </w:r>
      <w:r>
        <w:rPr>
          <w:color w:val="6B7280"/>
          <w:sz w:val="16"/>
          <w:szCs w:val="16"/>
        </w:rPr>
        <w:t xml:space="preserve">      gaps 4–7</w:t>
      </w:r>
    </w:p>
    <w:p>
      <w:pPr>
        <w:spacing w:before="20" w:after="20" w:line="360" w:lineRule="auto"/>
        <w:ind w:left="200"/>
      </w:pPr>
      <w:r>
        <w:rPr>
          <w:sz w:val="19"/>
          <w:szCs w:val="19"/>
        </w:rPr>
        <w:t xml:space="preserve">Life-cycle costing plans and tracks every cost of a product from research to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It groups costs into three stages: upstream costs before production,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costs, and downstream costs after production. </w:t>
      </w:r>
      <w:r>
        <w:rPr>
          <w:sz w:val="19"/>
          <w:szCs w:val="19"/>
        </w:rPr>
        <w:t xml:space="preserve">Upstream costs include research, design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Downstream costs include marketing,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customer service and the costs of leaving the market.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manufacturing   ·   withdrawal   ·   testing   ·   division   ·   distribution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halva's life-cycle budget</w:t>
            </w:r>
          </w:p>
        </w:tc>
      </w:tr>
    </w:tbl>
    <w:p/>
    <w:p>
      <w:pPr>
        <w:spacing w:before="20" w:after="20" w:line="360" w:lineRule="auto"/>
        <w:ind w:left="200"/>
      </w:pPr>
      <w:r>
        <w:rPr>
          <w:sz w:val="19"/>
          <w:szCs w:val="19"/>
        </w:rPr>
        <w:t xml:space="preserve">The division expects to sell 510,000 trays over five years at $7.00.</w:t>
      </w:r>
    </w:p>
    <w:p>
      <w:pPr>
        <w:pageBreakBefore w:val="true"/>
        <w:spacing w:after="0"/>
      </w:pPr>
      <w:r>
        <w:rPr>
          <w:sz w:val="2"/>
        </w:rPr>
        <w:t xml:space="preserve"> </w:t>
      </w:r>
    </w:p>
    <w:p>
      <w:pPr>
        <w:spacing w:before="44" w:after="10"/>
      </w:pPr>
      <w:r>
        <w:rPr>
          <w:b/>
          <w:bCs/>
          <w:color w:val="353A7C"/>
          <w:sz w:val="18"/>
          <w:szCs w:val="18"/>
        </w:rPr>
        <w:t xml:space="preserve">Worked example: the sugar-free halva's life-cycle budget</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Life-cycle profit   ·   downstream costs   ·   Revenue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halva's downstream costs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Your turn: the halva's downstream costs (complete the blanks)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Downstream costs, 510,000 trays</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Whole USD</w:t>
            </w:r>
          </w:p>
        </w:tc>
      </w:tr>
      <w:tr>
        <w:tc>
          <w:tcPr>
            <w:tcW w:type="pct" w:w="2600"/>
            <w:tcMar>
              <w:top w:type="dxa" w:w="50"/>
              <w:left w:type="dxa" w:w="110"/>
              <w:bottom w:type="dxa" w:w="50"/>
              <w:right w:type="dxa" w:w="110"/>
            </w:tcMar>
          </w:tcPr>
          <w:p>
            <w:pPr>
              <w:spacing w:before="28" w:after="28"/>
            </w:pPr>
            <w:r>
              <w:rPr>
                <w:sz w:val="15"/>
                <w:szCs w:val="15"/>
              </w:rPr>
              <w:t xml:space="preserve">Marketing (5 years)</w:t>
            </w:r>
          </w:p>
        </w:tc>
        <w:tc>
          <w:tcPr>
            <w:tcW w:type="pct" w:w="2400"/>
            <w:tcMar>
              <w:top w:type="dxa" w:w="50"/>
              <w:left w:type="dxa" w:w="110"/>
              <w:bottom w:type="dxa" w:w="50"/>
              <w:right w:type="dxa" w:w="110"/>
            </w:tcMar>
          </w:tcPr>
          <w:p>
            <w:pPr>
              <w:spacing w:before="28" w:after="28"/>
            </w:pPr>
            <w:r>
              <w:rPr>
                <w:sz w:val="15"/>
                <w:szCs w:val="15"/>
              </w:rPr>
              <w:t xml:space="preserve">520,000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Distribution at $0.50 a tray</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400"/>
            <w:tcMar>
              <w:top w:type="dxa" w:w="50"/>
              <w:left w:type="dxa" w:w="110"/>
              <w:bottom w:type="dxa" w:w="50"/>
              <w:right w:type="dxa" w:w="110"/>
            </w:tcMar>
          </w:tcPr>
          <w:p>
            <w:pPr>
              <w:spacing w:before="28" w:after="28"/>
            </w:pPr>
            <w:r>
              <w:rPr>
                <w:sz w:val="15"/>
                <w:szCs w:val="15"/>
              </w:rPr>
              <w:t xml:space="preserve">________</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shd w:fill="FBFAF6" w:val="clear"/>
            <w:tcMar>
              <w:top w:type="dxa" w:w="50"/>
              <w:left w:type="dxa" w:w="110"/>
              <w:bottom w:type="dxa" w:w="50"/>
              <w:right w:type="dxa" w:w="110"/>
            </w:tcMar>
          </w:tcPr>
          <w:p>
            <w:pPr>
              <w:spacing w:before="28" w:after="28"/>
            </w:pPr>
            <w:r>
              <w:rPr>
                <w:sz w:val="15"/>
                <w:szCs w:val="15"/>
              </w:rPr>
              <w:t xml:space="preserve">30,000</w:t>
            </w:r>
          </w:p>
        </w:tc>
      </w:tr>
      <w:tr>
        <w:tc>
          <w:tcPr>
            <w:tcW w:type="pct" w:w="2600"/>
            <w:tcMar>
              <w:top w:type="dxa" w:w="50"/>
              <w:left w:type="dxa" w:w="110"/>
              <w:bottom w:type="dxa" w:w="50"/>
              <w:right w:type="dxa" w:w="110"/>
            </w:tcMar>
          </w:tcPr>
          <w:p>
            <w:pPr>
              <w:spacing w:before="28" w:after="28"/>
            </w:pPr>
            <w:r>
              <w:rPr>
                <w:sz w:val="15"/>
                <w:szCs w:val="15"/>
              </w:rPr>
              <w:t xml:space="preserve">Downstream costs</w:t>
            </w:r>
          </w:p>
        </w:tc>
        <w:tc>
          <w:tcPr>
            <w:tcW w:type="pct" w:w="2400"/>
            <w:tcMar>
              <w:top w:type="dxa" w:w="50"/>
              <w:left w:type="dxa" w:w="110"/>
              <w:bottom w:type="dxa" w:w="50"/>
              <w:right w:type="dxa" w:w="110"/>
            </w:tcMar>
          </w:tcPr>
          <w:p>
            <w:pPr>
              <w:spacing w:before="28" w:after="28"/>
            </w:pPr>
            <w:r>
              <w:rPr>
                <w:sz w:val="15"/>
                <w:szCs w:val="15"/>
              </w:rPr>
              <w:t xml:space="preserve">856,000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Distribution at $0.50 a tray   ·   Exit costs (2032)   ·   Customer service at $0.10 a tray</w:t>
            </w:r>
          </w:p>
        </w:tc>
      </w:tr>
    </w:tbl>
    <w:p/>
    <w:p>
      <w:pPr>
        <w:spacing w:before="44" w:after="14"/>
      </w:pPr>
      <w:r>
        <w:rPr>
          <w:b/>
          <w:bCs/>
          <w:color w:val="353A7C"/>
          <w:sz w:val="18"/>
          <w:szCs w:val="18"/>
        </w:rPr>
        <w:t xml:space="preserve">Summary 2</w:t>
      </w:r>
      <w:r>
        <w:rPr>
          <w:color w:val="6B7280"/>
          <w:sz w:val="16"/>
          <w:szCs w:val="16"/>
        </w:rPr>
        <w:t xml:space="preserve">      gaps 12–13</w:t>
      </w:r>
    </w:p>
    <w:p>
      <w:pPr>
        <w:spacing w:before="20" w:after="20" w:line="360" w:lineRule="auto"/>
        <w:ind w:left="200"/>
      </w:pPr>
      <w:r>
        <w:rPr>
          <w:sz w:val="19"/>
          <w:szCs w:val="19"/>
        </w:rPr>
        <w:t xml:space="preserve">A yearly product report would miss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costs, because they were spent before the product had sales.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costing puts them back, so the product is judged on everything it costs.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Life-cycle   ·   upstream   ·   distribution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upstream costs   ·   support activities   ·   downstream costs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life-cycle costing</w:t>
            </w:r>
          </w:p>
        </w:tc>
        <w:tc>
          <w:tcPr>
            <w:tcW w:type="pct" w:w="2600"/>
            <w:tcMar>
              <w:top w:type="dxa" w:w="50"/>
              <w:left w:type="dxa" w:w="110"/>
              <w:bottom w:type="dxa" w:w="50"/>
              <w:right w:type="dxa" w:w="110"/>
            </w:tcMar>
          </w:tcPr>
          <w:p>
            <w:pPr>
              <w:spacing w:before="26" w:after="26"/>
            </w:pPr>
            <w:r>
              <w:rPr>
                <w:color w:val="232733"/>
                <w:sz w:val="16"/>
                <w:szCs w:val="16"/>
              </w:rPr>
              <w:t xml:space="preserve">تكاليف دورة حياة المنتج</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upstream costs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التكاليف السابقة للإنتاج</w:t>
            </w:r>
          </w:p>
        </w:tc>
      </w:tr>
      <w:tr>
        <w:tc>
          <w:tcPr>
            <w:tcW w:type="pct" w:w="2400"/>
            <w:tcMar>
              <w:top w:type="dxa" w:w="50"/>
              <w:left w:type="dxa" w:w="110"/>
              <w:bottom w:type="dxa" w:w="50"/>
              <w:right w:type="dxa" w:w="110"/>
            </w:tcMar>
          </w:tcPr>
          <w:p>
            <w:pPr>
              <w:spacing w:before="26" w:after="26"/>
            </w:pPr>
            <w:r>
              <w:rPr>
                <w:color w:val="232733"/>
                <w:sz w:val="16"/>
                <w:szCs w:val="16"/>
              </w:rPr>
              <w:t xml:space="preserve">downstream costs</w:t>
            </w:r>
          </w:p>
        </w:tc>
        <w:tc>
          <w:tcPr>
            <w:tcW w:type="pct" w:w="2600"/>
            <w:tcMar>
              <w:top w:type="dxa" w:w="50"/>
              <w:left w:type="dxa" w:w="110"/>
              <w:bottom w:type="dxa" w:w="50"/>
              <w:right w:type="dxa" w:w="110"/>
            </w:tcMar>
          </w:tcPr>
          <w:p>
            <w:pPr>
              <w:spacing w:before="26" w:after="26"/>
            </w:pPr>
            <w:r>
              <w:rPr>
                <w:color w:val="232733"/>
                <w:sz w:val="16"/>
                <w:szCs w:val="16"/>
              </w:rPr>
              <w:t xml:space="preserve">التكاليف اللاحقة للإنتاج</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14.1  Life-cycle costing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Life-cycle costing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Life-cycle profit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steps in value chain analysis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Customer service at $0.10 a tray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Value-added and non-value-added activities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Exit costs (2032)</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withdrawal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upstream</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manufacturing</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Life-cycle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testing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upstream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distribution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downstream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Revenue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Life-cycle costing plans and tracks every cost of a product from research to withdrawal. It groups costs into three stages: upstream costs before production, manufacturing costs, and downstream costs after production. Upstream costs include research, design and testing. Downstream costs include marketing, distribution, customer service and the costs of leaving the market.</w:t>
      </w:r>
    </w:p>
    <w:p>
      <w:pPr>
        <w:spacing w:before="20" w:after="20"/>
        <w:ind w:left="240" w:hanging="240"/>
      </w:pPr>
      <w:r>
        <w:rPr>
          <w:b/>
          <w:bCs/>
          <w:color w:val="353A7C"/>
          <w:sz w:val="15"/>
          <w:szCs w:val="15"/>
        </w:rPr>
        <w:t xml:space="preserve">Summary 2   </w:t>
      </w:r>
      <w:r>
        <w:rPr>
          <w:color w:val="6B7280"/>
          <w:sz w:val="15"/>
          <w:szCs w:val="15"/>
        </w:rPr>
        <w:t xml:space="preserve">A yearly product report would miss the upstream costs, because they were spent before the product had sales. Life-cycle costing puts them back, so the product is judged on everything it costs.</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14.2  Locked-in costs and the strategic value of the design stage</w:t>
            </w:r>
          </w:p>
          <w:p>
            <w:pPr>
              <w:spacing w:before="0" w:after="46"/>
            </w:pPr>
            <w:r>
              <w:rPr>
                <w:color w:val="E8EAF6"/>
                <w:sz w:val="16"/>
                <w:szCs w:val="16"/>
              </w:rPr>
              <w:t xml:space="preserve">Chapter 14 · section 14.2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 cost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when the money is spent. </w:t>
      </w:r>
      <w:r>
        <w:rPr>
          <w:sz w:val="19"/>
          <w:szCs w:val="19"/>
        </w:rPr>
        <w:t xml:space="preserve">It is committed, or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in, when a decision makes it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later. </w:t>
      </w: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tray and the choice of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fix most future costs long before they are paid. </w:t>
      </w:r>
      <w:r>
        <w:rPr>
          <w:sz w:val="19"/>
          <w:szCs w:val="19"/>
        </w:rPr>
        <w:t xml:space="preserve">At the end of design, the halva team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that 80% of the life-cycle cost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committed, while only 7.8% has been spent. </w:t>
      </w:r>
      <w:r>
        <w:rPr>
          <w:sz w:val="19"/>
          <w:szCs w:val="19"/>
        </w:rPr>
        <w:t xml:space="preserve">This is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value of life-cycle costing: the cheapest time to reduce cost is the design stage. </w:t>
      </w:r>
      <w:r>
        <w:rPr>
          <w:sz w:val="19"/>
          <w:szCs w:val="19"/>
        </w:rPr>
        <w:t xml:space="preserve">Once production starts, managers can only control the small share of cost that is still open.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channels   ·   recipe   ·   differentiation   ·   estimates   ·   incurred   ·   unavoidable   ·   locked   ·   already   ·   strategic</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Committed is not incurred</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An exam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that most costs are incurred at the design stage is false. </w:t>
      </w:r>
      <w:r>
        <w:rPr>
          <w:sz w:val="19"/>
          <w:szCs w:val="19"/>
        </w:rPr>
        <w:t xml:space="preserve">Most costs are committed at design and incurred later, during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sales.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   ·   production   ·   estimates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non-value-added activity   ·   locked-in costs   ·   downstream costs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locked-in costs</w:t>
            </w:r>
          </w:p>
        </w:tc>
        <w:tc>
          <w:tcPr>
            <w:tcW w:type="pct" w:w="2600"/>
            <w:tcMar>
              <w:top w:type="dxa" w:w="50"/>
              <w:left w:type="dxa" w:w="110"/>
              <w:bottom w:type="dxa" w:w="50"/>
              <w:right w:type="dxa" w:w="110"/>
            </w:tcMar>
          </w:tcPr>
          <w:p>
            <w:pPr>
              <w:spacing w:before="26" w:after="26"/>
            </w:pPr>
            <w:r>
              <w:rPr>
                <w:color w:val="232733"/>
                <w:sz w:val="16"/>
                <w:szCs w:val="16"/>
              </w:rPr>
              <w:t xml:space="preserve">التكاليف الملتزم بها</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14.2  Locked-in costs and the strategic value of the design stage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incurred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already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locked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strategic</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unavoidable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recipe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channels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downstream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estimates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locked-in costs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cost is incurred when the money is spent. It is committed, or locked in, when a decision makes it unavoidable later. The recipe, the tray and the choice of channels fix most future costs long before they are paid. At the end of design, the halva team estimates that 80% of the life-cycle cost is already committed, while only 7.8% has been spent. This is the strategic value of life-cycle costing: the cheapest time to reduce cost is the design stage. Once production starts, managers can only control the small share of cost that is still open.</w:t>
      </w:r>
    </w:p>
    <w:p>
      <w:pPr>
        <w:spacing w:before="20" w:after="20"/>
        <w:ind w:left="240" w:hanging="240"/>
      </w:pPr>
      <w:r>
        <w:rPr>
          <w:b/>
          <w:bCs/>
          <w:color w:val="353A7C"/>
          <w:sz w:val="15"/>
          <w:szCs w:val="15"/>
        </w:rPr>
        <w:t xml:space="preserve">Summary 2   </w:t>
      </w:r>
      <w:r>
        <w:rPr>
          <w:color w:val="6B7280"/>
          <w:sz w:val="15"/>
          <w:szCs w:val="15"/>
        </w:rPr>
        <w:t xml:space="preserve">An exam statement that most costs are incurred at the design stage is false. Most costs are committed at design and incurred later, during production and sales.</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14.3  The value chain</w:t>
            </w:r>
          </w:p>
          <w:p>
            <w:pPr>
              <w:spacing w:before="0" w:after="46"/>
            </w:pPr>
            <w:r>
              <w:rPr>
                <w:color w:val="E8EAF6"/>
                <w:sz w:val="16"/>
                <w:szCs w:val="16"/>
              </w:rPr>
              <w:t xml:space="preserve">Chapter 14 · section 14.3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The value chain is the chain of activities a company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to design, make, sell, deliver and support its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Value chain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studies each activity to find where the company can lower cost or add value for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Porter divided the chain into two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Primary activities make and deliver the product: inbound logistics,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outbound logistics,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sales, and service. </w:t>
      </w:r>
      <w:r>
        <w:rPr>
          <w:sz w:val="19"/>
          <w:szCs w:val="19"/>
        </w:rPr>
        <w:t xml:space="preserve">Support activities help all of them: firm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human resource management, technology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procurement. </w:t>
      </w:r>
      <w:r>
        <w:rPr>
          <w:sz w:val="19"/>
          <w:szCs w:val="19"/>
        </w:rPr>
        <w:t xml:space="preserve">The chain does not stop at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walls. </w:t>
      </w:r>
      <w:r>
        <w:rPr>
          <w:sz w:val="19"/>
          <w:szCs w:val="19"/>
        </w:rPr>
        <w:t xml:space="preserve">The olive growers before Orontes and the distributors after it are part of a wider value system, and many savings come from the links between them. </w:t>
      </w:r>
      <w:r>
        <w:rPr>
          <w:sz w:val="19"/>
          <w:szCs w:val="19"/>
        </w:rPr>
        <w:t xml:space="preserve">The supply chain links several companies; the value chain is inside one.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marketing   ·   Michael   ·   customers   ·   groups   ·   Orontes   ·   company's   ·   development   ·   analysis   ·   performs   ·   infrastructure   ·   products   ·   operations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primary activities   ·   support activities   ·   value chain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value chain</w:t>
            </w:r>
          </w:p>
        </w:tc>
        <w:tc>
          <w:tcPr>
            <w:tcW w:type="pct" w:w="2400"/>
            <w:tcMar>
              <w:top w:type="dxa" w:w="50"/>
              <w:left w:type="dxa" w:w="110"/>
              <w:bottom w:type="dxa" w:w="50"/>
              <w:right w:type="dxa" w:w="110"/>
            </w:tcMar>
          </w:tcPr>
          <w:p>
            <w:pPr>
              <w:spacing w:before="26" w:after="26"/>
            </w:pPr>
            <w:r>
              <w:rPr>
                <w:color w:val="232733"/>
                <w:sz w:val="16"/>
                <w:szCs w:val="16"/>
              </w:rPr>
              <w:t xml:space="preserve">سلسلة القيمة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value chain analysis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تحليل سلسلة القيمة</w:t>
            </w:r>
          </w:p>
        </w:tc>
      </w:tr>
      <w:tr>
        <w:tc>
          <w:tcPr>
            <w:tcW w:type="pct" w:w="2600"/>
            <w:tcMar>
              <w:top w:type="dxa" w:w="50"/>
              <w:left w:type="dxa" w:w="110"/>
              <w:bottom w:type="dxa" w:w="50"/>
              <w:right w:type="dxa" w:w="110"/>
            </w:tcMar>
          </w:tcPr>
          <w:p>
            <w:pPr>
              <w:spacing w:before="26" w:after="26"/>
            </w:pPr>
            <w:r>
              <w:rPr>
                <w:color w:val="232733"/>
                <w:sz w:val="16"/>
                <w:szCs w:val="16"/>
              </w:rPr>
              <w:t xml:space="preserve">primary activities</w:t>
            </w:r>
          </w:p>
        </w:tc>
        <w:tc>
          <w:tcPr>
            <w:tcW w:type="pct" w:w="2400"/>
            <w:tcMar>
              <w:top w:type="dxa" w:w="50"/>
              <w:left w:type="dxa" w:w="110"/>
              <w:bottom w:type="dxa" w:w="50"/>
              <w:right w:type="dxa" w:w="110"/>
            </w:tcMar>
          </w:tcPr>
          <w:p>
            <w:pPr>
              <w:spacing w:before="26" w:after="26"/>
            </w:pPr>
            <w:r>
              <w:rPr>
                <w:color w:val="232733"/>
                <w:sz w:val="16"/>
                <w:szCs w:val="16"/>
              </w:rPr>
              <w:t xml:space="preserve">الأنشطة الرئيسية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support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الأنشطة الداعمة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14.3  The value chain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performs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marketing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infrastructure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analysis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development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company's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Michael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value chain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groups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support 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operations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value chain is the chain of activities a company performs to design, make, sell, deliver and support its products. Value chain analysis studies each activity to find where the company can lower cost or add value for customers. Michael Porter divided the chain into two groups. Primary activities make and deliver the product: inbound logistics, operations, outbound logistics, marketing and sales, and service. Support activities help all of them: firm infrastructure, human resource management, technology development and procurement. The chain does not stop at the company's walls. The olive growers before Orontes and the distributors after it are part of a wider value system, and many savings come from the links between them. The supply chain links several companies; the value chain is inside one.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14.4  The steps in value chain analysis</w:t>
            </w:r>
          </w:p>
          <w:p>
            <w:pPr>
              <w:spacing w:before="0" w:after="46"/>
            </w:pPr>
            <w:r>
              <w:rPr>
                <w:color w:val="E8EAF6"/>
                <w:sz w:val="16"/>
                <w:szCs w:val="16"/>
              </w:rPr>
              <w:t xml:space="preserve">Chapter 14 · section 14.4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Value chain analysis has five steps: identify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assign costs and assets to them, find what drives each cost, study the links inside and outside the company, and look for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competitor   ·   opportunities   ·   activities</w:t>
            </w:r>
          </w:p>
        </w:tc>
      </w:tr>
    </w:tbl>
    <w:p/>
    <w:p>
      <w:pPr>
        <w:spacing w:before="44" w:after="10"/>
      </w:pPr>
      <w:r>
        <w:rPr>
          <w:b/>
          <w:bCs/>
          <w:color w:val="353A7C"/>
          <w:sz w:val="18"/>
          <w:szCs w:val="18"/>
        </w:rPr>
        <w:t xml:space="preserve">The five steps of value chain analysis in the Oils division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62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6221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 Study the links   ·   1. Identify the activities   ·   life-cycle costing   ·   customers   ·   delivery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476"/>
        <w:gridCol w:w="290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Cost per liter of bottled EVOO by activity: Orontes and a bulk competitor</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Bottled EVOO, 2027</w:t>
            </w:r>
          </w:p>
        </w:tc>
        <w:tc>
          <w:tcPr>
            <w:tcW w:type="pct" w:w="1290"/>
            <w:shd w:fill="353A7C" w:val="clear"/>
            <w:tcMar>
              <w:top w:type="dxa" w:w="50"/>
              <w:left w:type="dxa" w:w="110"/>
              <w:bottom w:type="dxa" w:w="50"/>
              <w:right w:type="dxa" w:w="110"/>
            </w:tcMar>
          </w:tcPr>
          <w:p>
            <w:pPr>
              <w:spacing w:before="30" w:after="30"/>
            </w:pPr>
            <w:r>
              <w:rPr>
                <w:b/>
                <w:bCs/>
                <w:color w:val="FFFFFF"/>
                <w:sz w:val="15"/>
                <w:szCs w:val="15"/>
              </w:rPr>
              <w:t xml:space="preserve">Orontes</w:t>
            </w:r>
          </w:p>
        </w:tc>
        <w:tc>
          <w:tcPr>
            <w:tcW w:type="pct" w:w="1510"/>
            <w:shd w:fill="353A7C" w:val="clear"/>
            <w:tcMar>
              <w:top w:type="dxa" w:w="50"/>
              <w:left w:type="dxa" w:w="110"/>
              <w:bottom w:type="dxa" w:w="50"/>
              <w:right w:type="dxa" w:w="110"/>
            </w:tcMar>
          </w:tcPr>
          <w:p>
            <w:pPr>
              <w:spacing w:before="30" w:after="30"/>
            </w:pPr>
            <w:r>
              <w:rPr>
                <w:b/>
                <w:bCs/>
                <w:color w:val="FFFFFF"/>
                <w:sz w:val="15"/>
                <w:szCs w:val="15"/>
              </w:rPr>
              <w:t xml:space="preserve">Bulk competitor</w:t>
            </w:r>
          </w:p>
        </w:tc>
      </w:tr>
      <w:tr>
        <w:tc>
          <w:tcPr>
            <w:tcW w:type="pct" w:w="2200"/>
            <w:tcMar>
              <w:top w:type="dxa" w:w="50"/>
              <w:left w:type="dxa" w:w="110"/>
              <w:bottom w:type="dxa" w:w="50"/>
              <w:right w:type="dxa" w:w="110"/>
            </w:tcMar>
          </w:tcPr>
          <w:p>
            <w:pPr>
              <w:spacing w:before="28" w:after="28"/>
            </w:pPr>
            <w:r>
              <w:rPr>
                <w:sz w:val="15"/>
                <w:szCs w:val="15"/>
              </w:rPr>
              <w:t xml:space="preserve">Inbound logistics</w:t>
            </w:r>
          </w:p>
        </w:tc>
        <w:tc>
          <w:tcPr>
            <w:tcW w:type="pct" w:w="1290"/>
            <w:tcMar>
              <w:top w:type="dxa" w:w="50"/>
              <w:left w:type="dxa" w:w="110"/>
              <w:bottom w:type="dxa" w:w="50"/>
              <w:right w:type="dxa" w:w="110"/>
            </w:tcMar>
          </w:tcPr>
          <w:p>
            <w:pPr>
              <w:spacing w:before="28" w:after="28"/>
            </w:pPr>
            <w:r>
              <w:rPr>
                <w:sz w:val="15"/>
                <w:szCs w:val="15"/>
              </w:rPr>
              <w:t xml:space="preserve">$0.45</w:t>
            </w:r>
          </w:p>
        </w:tc>
        <w:tc>
          <w:tcPr>
            <w:tcW w:type="pct" w:w="1510"/>
            <w:tcMar>
              <w:top w:type="dxa" w:w="50"/>
              <w:left w:type="dxa" w:w="110"/>
              <w:bottom w:type="dxa" w:w="50"/>
              <w:right w:type="dxa" w:w="110"/>
            </w:tcMar>
          </w:tcPr>
          <w:p>
            <w:pPr>
              <w:spacing w:before="28" w:after="28"/>
            </w:pPr>
            <w:r>
              <w:rPr>
                <w:sz w:val="15"/>
                <w:szCs w:val="15"/>
              </w:rPr>
              <w:t xml:space="preserve">$0.30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290"/>
            <w:shd w:fill="FBFAF6" w:val="clear"/>
            <w:tcMar>
              <w:top w:type="dxa" w:w="50"/>
              <w:left w:type="dxa" w:w="110"/>
              <w:bottom w:type="dxa" w:w="50"/>
              <w:right w:type="dxa" w:w="110"/>
            </w:tcMar>
          </w:tcPr>
          <w:p>
            <w:pPr>
              <w:spacing w:before="28" w:after="28"/>
            </w:pPr>
            <w:r>
              <w:rPr>
                <w:sz w:val="15"/>
                <w:szCs w:val="15"/>
              </w:rPr>
              <w:t xml:space="preserve">$11.30</w:t>
            </w:r>
          </w:p>
        </w:tc>
        <w:tc>
          <w:tcPr>
            <w:tcW w:type="pct" w:w="1510"/>
            <w:shd w:fill="FBFAF6" w:val="clear"/>
            <w:tcMar>
              <w:top w:type="dxa" w:w="50"/>
              <w:left w:type="dxa" w:w="110"/>
              <w:bottom w:type="dxa" w:w="50"/>
              <w:right w:type="dxa" w:w="110"/>
            </w:tcMar>
          </w:tcPr>
          <w:p>
            <w:pPr>
              <w:spacing w:before="28" w:after="28"/>
            </w:pPr>
            <w:r>
              <w:rPr>
                <w:sz w:val="15"/>
                <w:szCs w:val="15"/>
              </w:rPr>
              <w:t xml:space="preserve">$9.10</w:t>
            </w:r>
          </w:p>
        </w:tc>
      </w:tr>
      <w:tr>
        <w:tc>
          <w:tcPr>
            <w:tcW w:type="pct" w:w="2200"/>
            <w:tcMar>
              <w:top w:type="dxa" w:w="50"/>
              <w:left w:type="dxa" w:w="110"/>
              <w:bottom w:type="dxa" w:w="50"/>
              <w:right w:type="dxa" w:w="110"/>
            </w:tcMar>
          </w:tcPr>
          <w:p>
            <w:pPr>
              <w:spacing w:before="28" w:after="28"/>
            </w:pPr>
            <w:r>
              <w:rPr>
                <w:sz w:val="15"/>
                <w:szCs w:val="15"/>
              </w:rPr>
              <w:t xml:space="preserve">Outbound logistics</w:t>
            </w:r>
          </w:p>
        </w:tc>
        <w:tc>
          <w:tcPr>
            <w:tcW w:type="pct" w:w="1290"/>
            <w:tcMar>
              <w:top w:type="dxa" w:w="50"/>
              <w:left w:type="dxa" w:w="110"/>
              <w:bottom w:type="dxa" w:w="50"/>
              <w:right w:type="dxa" w:w="110"/>
            </w:tcMar>
          </w:tcPr>
          <w:p>
            <w:pPr>
              <w:spacing w:before="28" w:after="28"/>
            </w:pPr>
            <w:r>
              <w:rPr>
                <w:sz w:val="15"/>
                <w:szCs w:val="15"/>
              </w:rPr>
              <w:t xml:space="preserve">$0.70</w:t>
            </w:r>
          </w:p>
        </w:tc>
        <w:tc>
          <w:tcPr>
            <w:tcW w:type="pct" w:w="1510"/>
            <w:tcMar>
              <w:top w:type="dxa" w:w="50"/>
              <w:left w:type="dxa" w:w="110"/>
              <w:bottom w:type="dxa" w:w="50"/>
              <w:right w:type="dxa" w:w="110"/>
            </w:tcMar>
          </w:tcPr>
          <w:p>
            <w:pPr>
              <w:spacing w:before="28" w:after="28"/>
            </w:pPr>
            <w:r>
              <w:rPr>
                <w:sz w:val="15"/>
                <w:szCs w:val="15"/>
              </w:rPr>
              <w:t xml:space="preserve">$0.60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290"/>
            <w:shd w:fill="FBFAF6" w:val="clear"/>
            <w:tcMar>
              <w:top w:type="dxa" w:w="50"/>
              <w:left w:type="dxa" w:w="110"/>
              <w:bottom w:type="dxa" w:w="50"/>
              <w:right w:type="dxa" w:w="110"/>
            </w:tcMar>
          </w:tcPr>
          <w:p>
            <w:pPr>
              <w:spacing w:before="28" w:after="28"/>
            </w:pPr>
            <w:r>
              <w:rPr>
                <w:sz w:val="15"/>
                <w:szCs w:val="15"/>
              </w:rPr>
              <w:t xml:space="preserve">$1.10</w:t>
            </w:r>
          </w:p>
        </w:tc>
        <w:tc>
          <w:tcPr>
            <w:tcW w:type="pct" w:w="1510"/>
            <w:shd w:fill="FBFAF6" w:val="clear"/>
            <w:tcMar>
              <w:top w:type="dxa" w:w="50"/>
              <w:left w:type="dxa" w:w="110"/>
              <w:bottom w:type="dxa" w:w="50"/>
              <w:right w:type="dxa" w:w="110"/>
            </w:tcMar>
          </w:tcPr>
          <w:p>
            <w:pPr>
              <w:spacing w:before="28" w:after="28"/>
            </w:pPr>
            <w:r>
              <w:rPr>
                <w:sz w:val="15"/>
                <w:szCs w:val="15"/>
              </w:rPr>
              <w:t xml:space="preserve">$0.40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290"/>
            <w:tcMar>
              <w:top w:type="dxa" w:w="50"/>
              <w:left w:type="dxa" w:w="110"/>
              <w:bottom w:type="dxa" w:w="50"/>
              <w:right w:type="dxa" w:w="110"/>
            </w:tcMar>
          </w:tcPr>
          <w:p>
            <w:pPr>
              <w:spacing w:before="28" w:after="28"/>
            </w:pPr>
            <w:r>
              <w:rPr>
                <w:sz w:val="15"/>
                <w:szCs w:val="15"/>
              </w:rPr>
              <w:t xml:space="preserve">$0.20</w:t>
            </w:r>
          </w:p>
        </w:tc>
        <w:tc>
          <w:tcPr>
            <w:tcW w:type="pct" w:w="1510"/>
            <w:tcMar>
              <w:top w:type="dxa" w:w="50"/>
              <w:left w:type="dxa" w:w="110"/>
              <w:bottom w:type="dxa" w:w="50"/>
              <w:right w:type="dxa" w:w="110"/>
            </w:tcMar>
          </w:tcPr>
          <w:p>
            <w:pPr>
              <w:spacing w:before="28" w:after="28"/>
            </w:pPr>
            <w:r>
              <w:rPr>
                <w:sz w:val="15"/>
                <w:szCs w:val="15"/>
              </w:rPr>
              <w:t xml:space="preserve">$0.05</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290"/>
            <w:shd w:fill="FBFAF6" w:val="clear"/>
            <w:tcMar>
              <w:top w:type="dxa" w:w="50"/>
              <w:left w:type="dxa" w:w="110"/>
              <w:bottom w:type="dxa" w:w="50"/>
              <w:right w:type="dxa" w:w="110"/>
            </w:tcMar>
          </w:tcPr>
          <w:p>
            <w:pPr>
              <w:spacing w:before="28" w:after="28"/>
            </w:pPr>
            <w:r>
              <w:rPr>
                <w:sz w:val="15"/>
                <w:szCs w:val="15"/>
              </w:rPr>
              <w:t xml:space="preserve">$0.90</w:t>
            </w:r>
          </w:p>
        </w:tc>
        <w:tc>
          <w:tcPr>
            <w:tcW w:type="pct" w:w="1510"/>
            <w:shd w:fill="FBFAF6" w:val="clear"/>
            <w:tcMar>
              <w:top w:type="dxa" w:w="50"/>
              <w:left w:type="dxa" w:w="110"/>
              <w:bottom w:type="dxa" w:w="50"/>
              <w:right w:type="dxa" w:w="110"/>
            </w:tcMar>
          </w:tcPr>
          <w:p>
            <w:pPr>
              <w:spacing w:before="28" w:after="28"/>
            </w:pPr>
            <w:r>
              <w:rPr>
                <w:sz w:val="15"/>
                <w:szCs w:val="15"/>
              </w:rPr>
              <w:t xml:space="preserve">$0.55</w:t>
            </w:r>
          </w:p>
        </w:tc>
      </w:tr>
      <w:tr>
        <w:tc>
          <w:tcPr>
            <w:tcW w:type="pct" w:w="2200"/>
            <w:tcMar>
              <w:top w:type="dxa" w:w="50"/>
              <w:left w:type="dxa" w:w="110"/>
              <w:bottom w:type="dxa" w:w="50"/>
              <w:right w:type="dxa" w:w="110"/>
            </w:tcMar>
          </w:tcPr>
          <w:p>
            <w:pPr>
              <w:spacing w:before="28" w:after="28"/>
            </w:pPr>
            <w:r>
              <w:rPr>
                <w:sz w:val="15"/>
                <w:szCs w:val="15"/>
              </w:rPr>
              <w:t xml:space="preserve">Total cost per liter</w:t>
            </w:r>
          </w:p>
        </w:tc>
        <w:tc>
          <w:tcPr>
            <w:tcW w:type="pct" w:w="1290"/>
            <w:tcMar>
              <w:top w:type="dxa" w:w="50"/>
              <w:left w:type="dxa" w:w="110"/>
              <w:bottom w:type="dxa" w:w="50"/>
              <w:right w:type="dxa" w:w="110"/>
            </w:tcMar>
          </w:tcPr>
          <w:p>
            <w:pPr>
              <w:spacing w:before="28" w:after="28"/>
            </w:pPr>
            <w:r>
              <w:rPr>
                <w:sz w:val="15"/>
                <w:szCs w:val="15"/>
              </w:rPr>
              <w:t xml:space="preserve">$14.65</w:t>
            </w:r>
          </w:p>
        </w:tc>
        <w:tc>
          <w:tcPr>
            <w:tcW w:type="pct" w:w="1510"/>
            <w:tcMar>
              <w:top w:type="dxa" w:w="50"/>
              <w:left w:type="dxa" w:w="110"/>
              <w:bottom w:type="dxa" w:w="50"/>
              <w:right w:type="dxa" w:w="110"/>
            </w:tcMar>
          </w:tcPr>
          <w:p>
            <w:pPr>
              <w:spacing w:before="28" w:after="28"/>
            </w:pPr>
            <w:r>
              <w:rPr>
                <w:sz w:val="15"/>
                <w:szCs w:val="15"/>
              </w:rPr>
              <w:t xml:space="preserve">$11.00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290"/>
            <w:shd w:fill="FBFAF6" w:val="clear"/>
            <w:tcMar>
              <w:top w:type="dxa" w:w="50"/>
              <w:left w:type="dxa" w:w="110"/>
              <w:bottom w:type="dxa" w:w="50"/>
              <w:right w:type="dxa" w:w="110"/>
            </w:tcMar>
          </w:tcPr>
          <w:p>
            <w:pPr>
              <w:spacing w:before="28" w:after="28"/>
            </w:pPr>
            <w:r>
              <w:rPr>
                <w:sz w:val="15"/>
                <w:szCs w:val="15"/>
              </w:rPr>
              <w:t xml:space="preserve">$16.00</w:t>
            </w:r>
          </w:p>
        </w:tc>
        <w:tc>
          <w:tcPr>
            <w:tcW w:type="pct" w:w="1510"/>
            <w:shd w:fill="FBFAF6" w:val="clear"/>
            <w:tcMar>
              <w:top w:type="dxa" w:w="50"/>
              <w:left w:type="dxa" w:w="110"/>
              <w:bottom w:type="dxa" w:w="50"/>
              <w:right w:type="dxa" w:w="110"/>
            </w:tcMar>
          </w:tcPr>
          <w:p>
            <w:pPr>
              <w:spacing w:before="28" w:after="28"/>
            </w:pPr>
            <w:r>
              <w:rPr>
                <w:sz w:val="15"/>
                <w:szCs w:val="15"/>
              </w:rPr>
              <w:t xml:space="preserve">$11.50</w:t>
            </w:r>
          </w:p>
        </w:tc>
      </w:tr>
      <w:tr>
        <w:tc>
          <w:tcPr>
            <w:tcW w:type="pct" w:w="2200"/>
            <w:tcMar>
              <w:top w:type="dxa" w:w="50"/>
              <w:left w:type="dxa" w:w="110"/>
              <w:bottom w:type="dxa" w:w="50"/>
              <w:right w:type="dxa" w:w="110"/>
            </w:tcMar>
          </w:tcPr>
          <w:p>
            <w:pPr>
              <w:spacing w:before="28" w:after="28"/>
            </w:pPr>
            <w:r>
              <w:rPr>
                <w:sz w:val="15"/>
                <w:szCs w:val="15"/>
              </w:rPr>
              <w:t xml:space="preserve">Margin per liter</w:t>
            </w:r>
          </w:p>
        </w:tc>
        <w:tc>
          <w:tcPr>
            <w:tcW w:type="pct" w:w="1290"/>
            <w:tcMar>
              <w:top w:type="dxa" w:w="50"/>
              <w:left w:type="dxa" w:w="110"/>
              <w:bottom w:type="dxa" w:w="50"/>
              <w:right w:type="dxa" w:w="110"/>
            </w:tcMar>
          </w:tcPr>
          <w:p>
            <w:pPr>
              <w:spacing w:before="28" w:after="28"/>
            </w:pPr>
            <w:r>
              <w:rPr>
                <w:sz w:val="15"/>
                <w:szCs w:val="15"/>
              </w:rPr>
              <w:t xml:space="preserve">$1.35</w:t>
            </w:r>
          </w:p>
        </w:tc>
        <w:tc>
          <w:tcPr>
            <w:tcW w:type="pct" w:w="1510"/>
            <w:tcMar>
              <w:top w:type="dxa" w:w="50"/>
              <w:left w:type="dxa" w:w="110"/>
              <w:bottom w:type="dxa" w:w="50"/>
              <w:right w:type="dxa" w:w="110"/>
            </w:tcMar>
          </w:tcPr>
          <w:p>
            <w:pPr>
              <w:spacing w:before="28" w:after="28"/>
            </w:pPr>
            <w:r>
              <w:rPr>
                <w:sz w:val="15"/>
                <w:szCs w:val="15"/>
              </w:rPr>
              <w:t xml:space="preserve">$0.50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Service   ·   Price per liter   ·   Support activities   ·   Operations   ·   value chain analysis   ·   Marketing and sales</w:t>
            </w:r>
          </w:p>
        </w:tc>
      </w:tr>
    </w:tbl>
    <w:p/>
    <w:p>
      <w:pPr>
        <w:spacing w:before="44" w:after="14"/>
      </w:pPr>
      <w:r>
        <w:rPr>
          <w:b/>
          <w:bCs/>
          <w:color w:val="353A7C"/>
          <w:sz w:val="18"/>
          <w:szCs w:val="18"/>
        </w:rPr>
        <w:t xml:space="preserve">Summary 2</w:t>
      </w:r>
      <w:r>
        <w:rPr>
          <w:color w:val="6B7280"/>
          <w:sz w:val="16"/>
          <w:szCs w:val="16"/>
        </w:rPr>
        <w:t xml:space="preserve">      gaps 12–13</w:t>
      </w:r>
    </w:p>
    <w:p>
      <w:pPr>
        <w:spacing w:before="20" w:after="20" w:line="360" w:lineRule="auto"/>
        <w:ind w:left="200"/>
      </w:pPr>
      <w:r>
        <w:rPr>
          <w:sz w:val="19"/>
          <w:szCs w:val="19"/>
        </w:rPr>
        <w:t xml:space="preserve">Placing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costs beside Orontes's shows where the two companies spend differently. </w:t>
      </w:r>
      <w:r>
        <w:rPr>
          <w:sz w:val="19"/>
          <w:szCs w:val="19"/>
        </w:rPr>
        <w:t xml:space="preserve">Orontes spends more on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and marketing; the competitor spends less almost everywhere.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Orontes   ·   operations   ·   competitor's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support activities   ·   value chain analysis   ·   cost leadership</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14.4  The steps in value chain analysis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activities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Service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opportunities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Support 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1. Identify the activities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Price per liter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delivery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competitor's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4. Study the links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operations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value chain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Operations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support 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Marketing and sales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Value chain analysis has five steps: identify the activities, assign costs and assets to them, find what drives each cost, study the links inside and outside the company, and look for opportunities.</w:t>
      </w:r>
    </w:p>
    <w:p>
      <w:pPr>
        <w:spacing w:before="20" w:after="20"/>
        <w:ind w:left="240" w:hanging="240"/>
      </w:pPr>
      <w:r>
        <w:rPr>
          <w:b/>
          <w:bCs/>
          <w:color w:val="353A7C"/>
          <w:sz w:val="15"/>
          <w:szCs w:val="15"/>
        </w:rPr>
        <w:t xml:space="preserve">Summary 2   </w:t>
      </w:r>
      <w:r>
        <w:rPr>
          <w:color w:val="6B7280"/>
          <w:sz w:val="15"/>
          <w:szCs w:val="15"/>
        </w:rPr>
        <w:t xml:space="preserve">Placing the competitor's costs beside Orontes's shows where the two companies spend differently. Orontes spends more on operations and marketing; the competitor spends less almost everywhere.</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14.5  Value chains and competitive advantage</w:t>
            </w:r>
          </w:p>
          <w:p>
            <w:pPr>
              <w:spacing w:before="0" w:after="46"/>
            </w:pPr>
            <w:r>
              <w:rPr>
                <w:color w:val="E8EAF6"/>
                <w:sz w:val="16"/>
                <w:szCs w:val="16"/>
              </w:rPr>
              <w:t xml:space="preserve">Chapter 14 · section 14.5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 company gains 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 one of two ways. </w:t>
      </w:r>
      <w:r>
        <w:rPr>
          <w:sz w:val="19"/>
          <w:szCs w:val="19"/>
        </w:rPr>
        <w:t xml:space="preserve">Cost leadership means doing the activities more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than rivals. </w:t>
      </w:r>
      <w:r>
        <w:rPr>
          <w:sz w:val="19"/>
          <w:szCs w:val="19"/>
        </w:rPr>
        <w:t xml:space="preserve">Differentiation means doing some activities in a way customers value and will pay more for. </w:t>
      </w:r>
      <w:r>
        <w:rPr>
          <w:sz w:val="19"/>
          <w:szCs w:val="19"/>
        </w:rPr>
        <w:t xml:space="preserve">The bulk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follows cost leadership: its cost per liter is $11.00. </w:t>
      </w:r>
      <w:r>
        <w:rPr>
          <w:sz w:val="19"/>
          <w:szCs w:val="19"/>
        </w:rPr>
        <w:t xml:space="preserve">Orontes follows differentiation: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traced oil costs more, but customers pay $4.50 more per liter. </w:t>
      </w:r>
      <w:r>
        <w:rPr>
          <w:sz w:val="19"/>
          <w:szCs w:val="19"/>
        </w:rPr>
        <w:t xml:space="preserve">Value chain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shows whether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working.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margin of $1.35 a liter survives only while the premium exceeds the extra cost of its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marketing.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Orontes's   ·   competitor   ·   strategy   ·   marketing   ·   operations   ·   cold-pressed   ·   cheaply   ·   analysis   ·   advantage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392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Cost leadership and differentiation compared</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Cost leadership</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Differentiation</w:t>
            </w:r>
          </w:p>
        </w:tc>
      </w:tr>
      <w:tr>
        <w:tc>
          <w:tcPr>
            <w:tcW w:type="pct" w:w="758"/>
            <w:tcMar>
              <w:top w:type="dxa" w:w="50"/>
              <w:left w:type="dxa" w:w="110"/>
              <w:bottom w:type="dxa" w:w="50"/>
              <w:right w:type="dxa" w:w="110"/>
            </w:tcMar>
          </w:tcPr>
          <w:p>
            <w:pPr>
              <w:spacing w:before="28" w:after="28"/>
            </w:pPr>
            <w:r>
              <w:rPr>
                <w:sz w:val="15"/>
                <w:szCs w:val="15"/>
              </w:rPr>
              <w:t xml:space="preserve">Aim</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200"/>
            <w:tcMar>
              <w:top w:type="dxa" w:w="50"/>
              <w:left w:type="dxa" w:w="110"/>
              <w:bottom w:type="dxa" w:w="50"/>
              <w:right w:type="dxa" w:w="110"/>
            </w:tcMar>
          </w:tcPr>
          <w:p>
            <w:pPr>
              <w:spacing w:before="28" w:after="28"/>
            </w:pPr>
            <w:r>
              <w:rPr>
                <w:sz w:val="15"/>
                <w:szCs w:val="15"/>
              </w:rPr>
              <w:t xml:space="preserve">Something customers value and pay more for</w:t>
            </w:r>
          </w:p>
        </w:tc>
      </w:tr>
      <w:tr>
        <w:tc>
          <w:tcPr>
            <w:tcW w:type="pct" w:w="758"/>
            <w:shd w:fill="FBFAF6" w:val="clear"/>
            <w:tcMar>
              <w:top w:type="dxa" w:w="50"/>
              <w:left w:type="dxa" w:w="110"/>
              <w:bottom w:type="dxa" w:w="50"/>
              <w:right w:type="dxa" w:w="110"/>
            </w:tcMar>
          </w:tcPr>
          <w:p>
            <w:pPr>
              <w:spacing w:before="28" w:after="28"/>
            </w:pPr>
            <w:r>
              <w:rPr>
                <w:sz w:val="15"/>
                <w:szCs w:val="15"/>
              </w:rPr>
              <w:t xml:space="preserve">Where to spend</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200"/>
            <w:shd w:fill="FBFAF6" w:val="clear"/>
            <w:tcMar>
              <w:top w:type="dxa" w:w="50"/>
              <w:left w:type="dxa" w:w="110"/>
              <w:bottom w:type="dxa" w:w="50"/>
              <w:right w:type="dxa" w:w="110"/>
            </w:tcMar>
          </w:tcPr>
          <w:p>
            <w:pPr>
              <w:spacing w:before="28" w:after="28"/>
            </w:pPr>
            <w:r>
              <w:rPr>
                <w:sz w:val="15"/>
                <w:szCs w:val="15"/>
              </w:rPr>
              <w:t xml:space="preserve">More in the activities customers value</w:t>
            </w:r>
          </w:p>
        </w:tc>
      </w:tr>
      <w:tr>
        <w:tc>
          <w:tcPr>
            <w:tcW w:type="pct" w:w="758"/>
            <w:tcMar>
              <w:top w:type="dxa" w:w="50"/>
              <w:left w:type="dxa" w:w="110"/>
              <w:bottom w:type="dxa" w:w="50"/>
              <w:right w:type="dxa" w:w="110"/>
            </w:tcMar>
          </w:tcPr>
          <w:p>
            <w:pPr>
              <w:spacing w:before="28" w:after="28"/>
            </w:pPr>
            <w:r>
              <w:rPr>
                <w:sz w:val="15"/>
                <w:szCs w:val="15"/>
              </w:rPr>
              <w:t xml:space="preserve">Oils example</w:t>
            </w:r>
          </w:p>
        </w:tc>
        <w:tc>
          <w:tcPr>
            <w:tcW w:type="pct" w:w="2042"/>
            <w:tcMar>
              <w:top w:type="dxa" w:w="50"/>
              <w:left w:type="dxa" w:w="110"/>
              <w:bottom w:type="dxa" w:w="50"/>
              <w:right w:type="dxa" w:w="110"/>
            </w:tcMar>
          </w:tcPr>
          <w:p>
            <w:pPr>
              <w:spacing w:before="28" w:after="28"/>
            </w:pPr>
            <w:r>
              <w:rPr>
                <w:sz w:val="15"/>
                <w:szCs w:val="15"/>
              </w:rPr>
              <w:t xml:space="preserve">Bulk competitor: low operations and marketing costs</w:t>
            </w:r>
          </w:p>
        </w:tc>
        <w:tc>
          <w:tcPr>
            <w:tcW w:type="pct" w:w="2200"/>
            <w:tcMar>
              <w:top w:type="dxa" w:w="50"/>
              <w:left w:type="dxa" w:w="110"/>
              <w:bottom w:type="dxa" w:w="50"/>
              <w:right w:type="dxa" w:w="110"/>
            </w:tcMar>
          </w:tcPr>
          <w:p>
            <w:pPr>
              <w:spacing w:before="28" w:after="28"/>
            </w:pPr>
            <w:r>
              <w:rPr>
                <w:sz w:val="15"/>
                <w:szCs w:val="15"/>
              </w:rPr>
              <w:t xml:space="preserve">Orontes: </w:t>
            </w:r>
            <w:r>
              <w:rPr>
                <w:b/>
                <w:bCs/>
                <w:color w:val="8186EF"/>
                <w:sz w:val="14"/>
                <w:szCs w:val="14"/>
              </w:rPr>
              <w:t xml:space="preserve"> (11) </w:t>
            </w:r>
            <w:r>
              <w:rPr>
                <w:u w:val="single"/>
                <w:sz w:val="15"/>
                <w:szCs w:val="15"/>
              </w:rPr>
              <w:t xml:space="preserve">              </w:t>
            </w:r>
            <w:r>
              <w:rPr>
                <w:sz w:val="15"/>
                <w:szCs w:val="15"/>
              </w:rPr>
              <w:t xml:space="preserve"> </w:t>
            </w:r>
            <w:r>
              <w:rPr>
                <w:sz w:val="15"/>
                <w:szCs w:val="15"/>
              </w:rPr>
              <w:t xml:space="preserve">, traced EVOO; price premium of $4.50 a liter</w:t>
            </w:r>
          </w:p>
        </w:tc>
      </w:tr>
      <w:tr>
        <w:tc>
          <w:tcPr>
            <w:tcW w:type="pct" w:w="758"/>
            <w:shd w:fill="FBFAF6" w:val="clear"/>
            <w:tcMar>
              <w:top w:type="dxa" w:w="50"/>
              <w:left w:type="dxa" w:w="110"/>
              <w:bottom w:type="dxa" w:w="50"/>
              <w:right w:type="dxa" w:w="110"/>
            </w:tcMar>
          </w:tcPr>
          <w:p>
            <w:pPr>
              <w:spacing w:before="28" w:after="28"/>
            </w:pPr>
            <w:r>
              <w:rPr>
                <w:sz w:val="15"/>
                <w:szCs w:val="15"/>
              </w:rPr>
              <w:t xml:space="preserve">Risk</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200"/>
            <w:shd w:fill="FBFAF6" w:val="clear"/>
            <w:tcMar>
              <w:top w:type="dxa" w:w="50"/>
              <w:left w:type="dxa" w:w="110"/>
              <w:bottom w:type="dxa" w:w="50"/>
              <w:right w:type="dxa" w:w="110"/>
            </w:tcMar>
          </w:tcPr>
          <w:p>
            <w:pPr>
              <w:spacing w:before="28" w:after="28"/>
            </w:pPr>
            <w:r>
              <w:rPr>
                <w:sz w:val="15"/>
                <w:szCs w:val="15"/>
              </w:rPr>
              <w:t xml:space="preserve">Customers stop paying the premium</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cold-pressed   ·   Lowest cost in the industry   ·   A rival with even lower cost   ·   Something customers value and pay more for   ·   As little as possible in every activity</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5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753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life-cycle costing   ·   value chain analysis   ·   cost leadership</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cost leadership</w:t>
            </w:r>
          </w:p>
        </w:tc>
        <w:tc>
          <w:tcPr>
            <w:tcW w:type="pct" w:w="2400"/>
            <w:tcMar>
              <w:top w:type="dxa" w:w="50"/>
              <w:left w:type="dxa" w:w="110"/>
              <w:bottom w:type="dxa" w:w="50"/>
              <w:right w:type="dxa" w:w="110"/>
            </w:tcMar>
          </w:tcPr>
          <w:p>
            <w:pPr>
              <w:spacing w:before="26" w:after="26"/>
            </w:pPr>
            <w:r>
              <w:rPr>
                <w:color w:val="232733"/>
                <w:sz w:val="16"/>
                <w:szCs w:val="16"/>
              </w:rPr>
              <w:t xml:space="preserve">ريادة التكلفة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differentiation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التمايز</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14.5  Value chains and competitive advantage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advantage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operations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cheaply</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Lowest cost in the industry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competitor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As little as possible in every activity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cold-pressed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cold-pressed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analysis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 rival with even lower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strategy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value chain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Orontes's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cost leadership</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company gains an advantage in one of two ways. Cost leadership means doing the activities more cheaply than rivals. Differentiation means doing some activities in a way customers value and will pay more for. The bulk competitor follows cost leadership: its cost per liter is $11.00. Orontes follows differentiation: cold-pressed, traced oil costs more, but customers pay $4.50 more per liter. Value chain analysis shows whether a strategy is working. Orontes's margin of $1.35 a liter survives only while the premium exceeds the extra cost of its operations and marketing.</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14.6  Value-added and non-value-added activities</w:t>
            </w:r>
          </w:p>
          <w:p>
            <w:pPr>
              <w:spacing w:before="0" w:after="46"/>
            </w:pPr>
            <w:r>
              <w:rPr>
                <w:color w:val="E8EAF6"/>
                <w:sz w:val="16"/>
                <w:szCs w:val="16"/>
              </w:rPr>
              <w:t xml:space="preserve">Chapter 14 · section 14.6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activity is one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would pay for, such as filling and labeling bottles. </w:t>
      </w:r>
      <w:r>
        <w:rPr>
          <w:sz w:val="19"/>
          <w:szCs w:val="19"/>
        </w:rPr>
        <w:t xml:space="preserve">A non-value-added activity adds cost but no value, such as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pallets or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errors. </w:t>
      </w:r>
      <w:r>
        <w:rPr>
          <w:sz w:val="19"/>
          <w:szCs w:val="19"/>
        </w:rPr>
        <w:t xml:space="preserve">Some activities, such as final inspection, add no value but are necessary for now.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moving   ·   value-added   ·   customers   ·   without   ·   reworking</w:t>
            </w:r>
          </w:p>
        </w:tc>
      </w:tr>
    </w:tbl>
    <w:p/>
    <w:p>
      <w:pPr>
        <w:spacing w:before="44" w:after="10"/>
      </w:pPr>
      <w:r>
        <w:rPr>
          <w:b/>
          <w:bCs/>
          <w:color w:val="353A7C"/>
          <w:sz w:val="18"/>
          <w:szCs w:val="18"/>
        </w:rPr>
        <w:t xml:space="preserve">Bottling-line activities classified</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271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7161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Waiting and storage before filling   ·   Filling and capping   ·   value chain analysis   ·   Reworking mislabeled bottles</w:t>
            </w:r>
          </w:p>
        </w:tc>
      </w:tr>
    </w:tbl>
    <w:p/>
    <w:p>
      <w:pPr>
        <w:spacing w:before="20" w:after="20" w:line="360" w:lineRule="auto"/>
        <w:ind w:left="200"/>
      </w:pPr>
      <w:r>
        <w:rPr>
          <w:sz w:val="19"/>
          <w:szCs w:val="19"/>
        </w:rPr>
        <w:t xml:space="preserve">Removing non-value-added activities improves performance without making customers worse off.</w:t>
      </w:r>
    </w:p>
    <w:p>
      <w:pPr>
        <w:spacing w:before="44" w:after="10"/>
      </w:pPr>
      <w:r>
        <w:rPr>
          <w:b/>
          <w:bCs/>
          <w:color w:val="353A7C"/>
          <w:sz w:val="18"/>
          <w:szCs w:val="18"/>
        </w:rPr>
        <w:t xml:space="preserve">Removing non-value-added activities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2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22483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Final inspection (kept: necessary)   ·   Annual cost removed   ·   value chain analysis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non-value-added activity</w:t>
            </w:r>
          </w:p>
        </w:tc>
        <w:tc>
          <w:tcPr>
            <w:tcW w:type="pct" w:w="2400"/>
            <w:tcMar>
              <w:top w:type="dxa" w:w="50"/>
              <w:left w:type="dxa" w:w="110"/>
              <w:bottom w:type="dxa" w:w="50"/>
              <w:right w:type="dxa" w:w="110"/>
            </w:tcMar>
          </w:tcPr>
          <w:p>
            <w:pPr>
              <w:spacing w:before="26" w:after="26"/>
            </w:pPr>
            <w:r>
              <w:rPr>
                <w:color w:val="232733"/>
                <w:sz w:val="16"/>
                <w:szCs w:val="16"/>
              </w:rPr>
              <w:t xml:space="preserve">نشاط غير مضيف للقيمة</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14.6  Value-added and non-value-added activities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value-added</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Waiting and storage before filling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Reworking mislabeled bottles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moving</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Annual cost removed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reworking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Final inspection (kept: necessary)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Filling and capping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value-added activity is one customers would pay for, such as filling and labeling bottles. A non-value-added activity adds cost but no value, such as moving pallets or reworking errors. Some activities, such as final inspection, add no value but are necessary for now.</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14.7  Extended Example 14A: should the sugar-free halva be launched?</w:t>
            </w:r>
          </w:p>
          <w:p>
            <w:pPr>
              <w:spacing w:before="0" w:after="46"/>
            </w:pPr>
            <w:r>
              <w:rPr>
                <w:color w:val="E8EAF6"/>
                <w:sz w:val="16"/>
                <w:szCs w:val="16"/>
              </w:rPr>
              <w:t xml:space="preserve">Chapter 14 · section 14.7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This example sets out the halva's budget year by year and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yearly view with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view. </w:t>
      </w:r>
      <w:r>
        <w:rPr>
          <w:sz w:val="19"/>
          <w:szCs w:val="19"/>
        </w:rPr>
        <w:t xml:space="preserve">Upstream (2027): research $150,000; design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$60,000; testing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$40,000. </w:t>
      </w:r>
      <w:r>
        <w:rPr>
          <w:sz w:val="19"/>
          <w:szCs w:val="19"/>
        </w:rPr>
        <w:t xml:space="preserve">Production: $3.20 a tray plus $90,000 a year; distribution $0.50 and service $0.10 a tray; exit costs $30,000 in 2032.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approvals   ·   life-cycle   ·   dropping   ·   packaging   ·   compares</w:t>
            </w:r>
          </w:p>
        </w:tc>
      </w:tr>
    </w:tbl>
    <w:p/>
    <w:p>
      <w:pPr>
        <w:spacing w:before="44" w:after="10"/>
      </w:pPr>
      <w:r>
        <w:rPr>
          <w:b/>
          <w:bCs/>
          <w:color w:val="353A7C"/>
          <w:sz w:val="18"/>
          <w:szCs w:val="18"/>
        </w:rPr>
        <w:t xml:space="preserve">Extended Example: the halva budget year by year</w:t>
      </w:r>
    </w:p>
    <w:p>
      <w:pPr>
        <w:spacing w:before="0" w:after="12"/>
      </w:pPr>
      <w:r>
        <w:rPr>
          <w:color w:val="6B7280"/>
          <w:sz w:val="15"/>
          <w:szCs w:val="15"/>
        </w:rPr>
        <w:t xml:space="preserve">Name each line from how it moves.</w:t>
      </w:r>
    </w:p>
    <w:p>
      <w:pPr>
        <w:spacing w:after="40" w:before="90"/>
        <w:jc w:val="center"/>
      </w:pPr>
      <w:r>
        <w:drawing>
          <wp:inline distT="0" distB="0" distL="0" distR="0">
            <wp:extent cx="5734050" cy="245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24520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Cumulative   ·   differentiation</w:t>
            </w:r>
          </w:p>
        </w:tc>
      </w:tr>
    </w:tbl>
    <w:p/>
    <w:p>
      <w:pPr>
        <w:spacing w:before="44" w:after="14"/>
      </w:pPr>
      <w:r>
        <w:rPr>
          <w:b/>
          <w:bCs/>
          <w:color w:val="353A7C"/>
          <w:sz w:val="18"/>
          <w:szCs w:val="18"/>
        </w:rPr>
        <w:t xml:space="preserve">Summary 2</w:t>
      </w:r>
      <w:r>
        <w:rPr>
          <w:color w:val="6B7280"/>
          <w:sz w:val="16"/>
          <w:szCs w:val="16"/>
        </w:rPr>
        <w:t xml:space="preserve">      gaps 6–8</w:t>
      </w:r>
    </w:p>
    <w:p>
      <w:pPr>
        <w:spacing w:before="20" w:after="20" w:line="360" w:lineRule="auto"/>
        <w:ind w:left="200"/>
      </w:pPr>
      <w:r>
        <w:rPr>
          <w:sz w:val="19"/>
          <w:szCs w:val="19"/>
        </w:rPr>
        <w:t xml:space="preserve">On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view, the first report after launch would suggest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product. </w:t>
      </w:r>
      <w:r>
        <w:rPr>
          <w:sz w:val="19"/>
          <w:szCs w:val="19"/>
        </w:rPr>
        <w:t xml:space="preserve">On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view, the halva earns $382,000, so the division launches it and watches whether volumes follow the plan.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dropping   ·   life-cycle   ·   launches   ·   yearly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9–10</w:t>
      </w:r>
    </w:p>
    <w:p>
      <w:pPr>
        <w:spacing w:before="20" w:after="20" w:line="360" w:lineRule="auto"/>
        <w:ind w:left="200"/>
      </w:pPr>
      <w:r>
        <w:rPr>
          <w:sz w:val="19"/>
          <w:szCs w:val="19"/>
        </w:rPr>
        <w:t xml:space="preserve">Upstream $250,000 +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$2,082,000 + downstream $856,000 = $3,188,000. </w:t>
      </w:r>
      <w:r>
        <w:rPr>
          <w:sz w:val="19"/>
          <w:szCs w:val="19"/>
        </w:rPr>
        <w:t xml:space="preserve">Revenue $3,570,000 −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cost $3,188,000 = $382,000, the last point on the cumulative line.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distribution   ·   life-cycle   ·   manufacturing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11–13</w:t>
      </w:r>
    </w:p>
    <w:p>
      <w:pPr>
        <w:spacing w:before="20" w:after="20" w:line="360" w:lineRule="auto"/>
        <w:ind w:left="200"/>
      </w:pPr>
      <w:r>
        <w:rPr>
          <w:sz w:val="19"/>
          <w:szCs w:val="19"/>
        </w:rPr>
        <w:t xml:space="preserve">Expect costs by stage and year. </w:t>
      </w:r>
      <w:r>
        <w:rPr>
          <w:sz w:val="19"/>
          <w:szCs w:val="19"/>
        </w:rPr>
        <w:t xml:space="preserve">Add all three stages for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cost, and do not judge a new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on its first year. </w:t>
      </w:r>
      <w:r>
        <w:rPr>
          <w:sz w:val="19"/>
          <w:szCs w:val="19"/>
        </w:rPr>
        <w:t xml:space="preserve">For value chains, expect to classify activities as primary or support, and as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or not.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value-added   ·   product   ·   classify   ·   life-cycle</w:t>
            </w:r>
          </w:p>
        </w:tc>
      </w:tr>
    </w:tbl>
    <w:p/>
    <w:p>
      <w:pPr>
        <w:spacing w:before="44" w:after="10"/>
      </w:pPr>
      <w:r>
        <w:rPr>
          <w:b/>
          <w:bCs/>
          <w:color w:val="353A7C"/>
          <w:sz w:val="18"/>
          <w:szCs w:val="18"/>
        </w:rPr>
        <w:t xml:space="preserve">Exam view</w:t>
      </w:r>
    </w:p>
    <w:p>
      <w:pPr>
        <w:spacing w:before="0" w:after="12"/>
      </w:pPr>
      <w:r>
        <w:rPr>
          <w:color w:val="6B7280"/>
          <w:sz w:val="15"/>
          <w:szCs w:val="15"/>
        </w:rPr>
        <w:t xml:space="preserve">Name each line from how it moves.</w:t>
      </w:r>
    </w:p>
    <w:p>
      <w:pPr>
        <w:spacing w:after="40" w:before="90"/>
        <w:jc w:val="center"/>
      </w:pPr>
      <w:r>
        <w:drawing>
          <wp:inline distT="0" distB="0" distL="0" distR="0">
            <wp:extent cx="5734050" cy="245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4520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differentiation   ·   Marketing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Distribution</w:t>
            </w:r>
          </w:p>
        </w:tc>
        <w:tc>
          <w:tcPr>
            <w:tcW w:type="pct" w:w="2600"/>
            <w:tcMar>
              <w:top w:type="dxa" w:w="50"/>
              <w:left w:type="dxa" w:w="110"/>
              <w:bottom w:type="dxa" w:w="50"/>
              <w:right w:type="dxa" w:w="110"/>
            </w:tcMar>
          </w:tcPr>
          <w:p>
            <w:pPr>
              <w:spacing w:before="28" w:after="28"/>
            </w:pPr>
            <w:r>
              <w:rPr>
                <w:sz w:val="15"/>
                <w:szCs w:val="15"/>
              </w:rPr>
              <w:t xml:space="preserve">510,000 trays × $0.50 = $255,000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Customer service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510,000 trays × $0.50 = $255,000   ·   510,000 trays × $0.10 = $51,000</w:t>
            </w:r>
          </w:p>
        </w:tc>
      </w:tr>
    </w:tbl>
    <w:p/>
    <w:p>
      <w:pPr>
        <w:pageBreakBefore w:val="true"/>
        <w:spacing w:after="0"/>
      </w:pPr>
      <w:r>
        <w:rPr>
          <w:sz w:val="2"/>
        </w:rPr>
        <w:t xml:space="preserve"> </w:t>
      </w:r>
    </w:p>
    <w:p>
      <w:pPr>
        <w:spacing w:before="44" w:after="10"/>
      </w:pPr>
      <w:r>
        <w:rPr>
          <w:b/>
          <w:bCs/>
          <w:color w:val="353A7C"/>
          <w:sz w:val="18"/>
          <w:szCs w:val="18"/>
        </w:rPr>
        <w:t xml:space="preserve">Cost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Taste testing before launch   ·   Launch advertising   ·   locked-in costs   ·   Depreciation of the filling line   ·   Delivery to hotels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life-cycle costing   ·   upstream costs   ·   locked-in costs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life-cycle costing</w:t>
            </w:r>
          </w:p>
        </w:tc>
        <w:tc>
          <w:tcPr>
            <w:tcW w:type="pct" w:w="2600"/>
            <w:tcMar>
              <w:top w:type="dxa" w:w="50"/>
              <w:left w:type="dxa" w:w="110"/>
              <w:bottom w:type="dxa" w:w="50"/>
              <w:right w:type="dxa" w:w="110"/>
            </w:tcMar>
          </w:tcPr>
          <w:p>
            <w:pPr>
              <w:spacing w:before="26" w:after="26"/>
            </w:pPr>
            <w:r>
              <w:rPr>
                <w:color w:val="232733"/>
                <w:sz w:val="16"/>
                <w:szCs w:val="16"/>
              </w:rPr>
              <w:t xml:space="preserve">تكاليف دورة حياة المنتج</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locked-in costs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التكاليف الملتزم بها</w:t>
            </w:r>
          </w:p>
        </w:tc>
      </w:tr>
      <w:tr>
        <w:tc>
          <w:tcPr>
            <w:tcW w:type="pct" w:w="2400"/>
            <w:tcMar>
              <w:top w:type="dxa" w:w="50"/>
              <w:left w:type="dxa" w:w="110"/>
              <w:bottom w:type="dxa" w:w="50"/>
              <w:right w:type="dxa" w:w="110"/>
            </w:tcMar>
          </w:tcPr>
          <w:p>
            <w:pPr>
              <w:spacing w:before="26" w:after="26"/>
            </w:pPr>
            <w:r>
              <w:rPr>
                <w:color w:val="232733"/>
                <w:sz w:val="16"/>
                <w:szCs w:val="16"/>
              </w:rPr>
              <w:t xml:space="preserve">value chain analysis</w:t>
            </w:r>
          </w:p>
        </w:tc>
        <w:tc>
          <w:tcPr>
            <w:tcW w:type="pct" w:w="2600"/>
            <w:tcMar>
              <w:top w:type="dxa" w:w="50"/>
              <w:left w:type="dxa" w:w="110"/>
              <w:bottom w:type="dxa" w:w="50"/>
              <w:right w:type="dxa" w:w="110"/>
            </w:tcMar>
          </w:tcPr>
          <w:p>
            <w:pPr>
              <w:spacing w:before="26" w:after="26"/>
            </w:pPr>
            <w:r>
              <w:rPr>
                <w:color w:val="232733"/>
                <w:sz w:val="16"/>
                <w:szCs w:val="16"/>
              </w:rPr>
              <w:t xml:space="preserve">تحليل سلسلة القيمة</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14.7  Extended Example 14A: should the sugar-free halva be launched?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compares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product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life-cycle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value-added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packaging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Marketing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approvals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510,000 trays × $0.10 = $51,000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Cumulative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Taste testing before launch</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yearly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Depreciation of the filling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dropping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Launch advertising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life-cycle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Delivery to hotels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manufacturing</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life-cycle costing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life-cycle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locked-in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life-cycle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sets out the halva's budget year by year and compares the yearly view with the life-cycle view. Upstream (2027): research $150,000; design and packaging $60,000; testing and approvals $40,000. Production: $3.20 a tray plus $90,000 a year; distribution $0.50 and service $0.10 a tray; exit costs $30,000 in 2032.</w:t>
      </w:r>
    </w:p>
    <w:p>
      <w:pPr>
        <w:spacing w:before="20" w:after="20"/>
        <w:ind w:left="240" w:hanging="240"/>
      </w:pPr>
      <w:r>
        <w:rPr>
          <w:b/>
          <w:bCs/>
          <w:color w:val="353A7C"/>
          <w:sz w:val="15"/>
          <w:szCs w:val="15"/>
        </w:rPr>
        <w:t xml:space="preserve">Summary 2   </w:t>
      </w:r>
      <w:r>
        <w:rPr>
          <w:color w:val="6B7280"/>
          <w:sz w:val="15"/>
          <w:szCs w:val="15"/>
        </w:rPr>
        <w:t xml:space="preserve">On a yearly view, the first report after launch would suggest dropping the product. On a life-cycle view, the halva earns $382,000, so the division launches it and watches whether volumes follow the plan.</w:t>
      </w:r>
    </w:p>
    <w:p>
      <w:pPr>
        <w:spacing w:before="20" w:after="20"/>
        <w:ind w:left="240" w:hanging="240"/>
      </w:pPr>
      <w:r>
        <w:rPr>
          <w:b/>
          <w:bCs/>
          <w:color w:val="353A7C"/>
          <w:sz w:val="15"/>
          <w:szCs w:val="15"/>
        </w:rPr>
        <w:t xml:space="preserve">Summary 3   </w:t>
      </w:r>
      <w:r>
        <w:rPr>
          <w:color w:val="6B7280"/>
          <w:sz w:val="15"/>
          <w:szCs w:val="15"/>
        </w:rPr>
        <w:t xml:space="preserve">Upstream $250,000 + manufacturing $2,082,000 + downstream $856,000 = $3,188,000. Revenue $3,570,000 − life-cycle cost $3,188,000 = $382,000, the last point on the cumulative line.</w:t>
      </w:r>
    </w:p>
    <w:p>
      <w:pPr>
        <w:spacing w:before="20" w:after="20"/>
        <w:ind w:left="240" w:hanging="240"/>
      </w:pPr>
      <w:r>
        <w:rPr>
          <w:b/>
          <w:bCs/>
          <w:color w:val="353A7C"/>
          <w:sz w:val="15"/>
          <w:szCs w:val="15"/>
        </w:rPr>
        <w:t xml:space="preserve">Summary 4   </w:t>
      </w:r>
      <w:r>
        <w:rPr>
          <w:color w:val="6B7280"/>
          <w:sz w:val="15"/>
          <w:szCs w:val="15"/>
        </w:rPr>
        <w:t xml:space="preserve">Expect costs by stage and year. Add all three stages for the life-cycle cost, and do not judge a new product on its first year. For value chains, expect to classify activities as primary or support, and as value-added or not.</w:t>
      </w:r>
    </w:p>
    <w:p>
      <w:pPr>
        <w:sectPr>
          <w:headerReference w:type="default" r:id="rIdHdr14"/>
          <w:pgSz w:w="11906" w:h="16838" w:orient="portrait"/>
          <w:pgMar w:top="1180" w:right="1000" w:bottom="900" w:left="1000" w:header="708" w:footer="708" w:gutter="0"/>
          <w:docGrid w:linePitch="360"/>
          <w:pgNumType w:start="1"/>
        </w:sectPr>
      </w:pPr>
    </w:p>
    <w:sectPr>
      <w:headerReference w:type="default" r:id="rIdHdr1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14.1 · Life-cycle costing</w:t>
          </w:r>
        </w:p>
      </w:tc>
      <w:tc>
        <w:tcPr>
          <w:tcW w:type="pct" w:w="1400"/>
          <w:tcMar>
            <w:top w:type="dxa" w:w="-30"/>
            <w:left w:type="dxa" w:w="30"/>
            <w:bottom w:type="dxa" w:w="-30"/>
            <w:right w:type="dxa" w:w="30"/>
          </w:tcMar>
        </w:tcPr>
        <w:p>
          <w:pPr>
            <w:jc w:val="right"/>
          </w:pPr>
          <w:r>
            <w:rPr>
              <w:color w:val="6B7280"/>
              <w:sz w:val="16"/>
              <w:szCs w:val="16"/>
            </w:rPr>
            <w:t xml:space="preserve">Handout 14.1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14.2 · Locked-in costs and the strategic value of the design stage</w:t>
          </w:r>
        </w:p>
      </w:tc>
      <w:tc>
        <w:tcPr>
          <w:tcW w:type="pct" w:w="1400"/>
          <w:tcMar>
            <w:top w:type="dxa" w:w="-30"/>
            <w:left w:type="dxa" w:w="30"/>
            <w:bottom w:type="dxa" w:w="-30"/>
            <w:right w:type="dxa" w:w="30"/>
          </w:tcMar>
        </w:tcPr>
        <w:p>
          <w:pPr>
            <w:jc w:val="right"/>
          </w:pPr>
          <w:r>
            <w:rPr>
              <w:color w:val="6B7280"/>
              <w:sz w:val="16"/>
              <w:szCs w:val="16"/>
            </w:rPr>
            <w:t xml:space="preserve">Handout 14.2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14.3 · The value chain</w:t>
          </w:r>
        </w:p>
      </w:tc>
      <w:tc>
        <w:tcPr>
          <w:tcW w:type="pct" w:w="1400"/>
          <w:tcMar>
            <w:top w:type="dxa" w:w="-30"/>
            <w:left w:type="dxa" w:w="30"/>
            <w:bottom w:type="dxa" w:w="-30"/>
            <w:right w:type="dxa" w:w="30"/>
          </w:tcMar>
        </w:tcPr>
        <w:p>
          <w:pPr>
            <w:jc w:val="right"/>
          </w:pPr>
          <w:r>
            <w:rPr>
              <w:color w:val="6B7280"/>
              <w:sz w:val="16"/>
              <w:szCs w:val="16"/>
            </w:rPr>
            <w:t xml:space="preserve">Handout 14.3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14.4 · The steps in value chain analysis</w:t>
          </w:r>
        </w:p>
      </w:tc>
      <w:tc>
        <w:tcPr>
          <w:tcW w:type="pct" w:w="1400"/>
          <w:tcMar>
            <w:top w:type="dxa" w:w="-30"/>
            <w:left w:type="dxa" w:w="30"/>
            <w:bottom w:type="dxa" w:w="-30"/>
            <w:right w:type="dxa" w:w="30"/>
          </w:tcMar>
        </w:tcPr>
        <w:p>
          <w:pPr>
            <w:jc w:val="right"/>
          </w:pPr>
          <w:r>
            <w:rPr>
              <w:color w:val="6B7280"/>
              <w:sz w:val="16"/>
              <w:szCs w:val="16"/>
            </w:rPr>
            <w:t xml:space="preserve">Handout 14.4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14.5 · Value chains and competitive advantage</w:t>
          </w:r>
        </w:p>
      </w:tc>
      <w:tc>
        <w:tcPr>
          <w:tcW w:type="pct" w:w="1400"/>
          <w:tcMar>
            <w:top w:type="dxa" w:w="-30"/>
            <w:left w:type="dxa" w:w="30"/>
            <w:bottom w:type="dxa" w:w="-30"/>
            <w:right w:type="dxa" w:w="30"/>
          </w:tcMar>
        </w:tcPr>
        <w:p>
          <w:pPr>
            <w:jc w:val="right"/>
          </w:pPr>
          <w:r>
            <w:rPr>
              <w:color w:val="6B7280"/>
              <w:sz w:val="16"/>
              <w:szCs w:val="16"/>
            </w:rPr>
            <w:t xml:space="preserve">Handout 14.5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14.6 · Value-added and non-value-added activities</w:t>
          </w:r>
        </w:p>
      </w:tc>
      <w:tc>
        <w:tcPr>
          <w:tcW w:type="pct" w:w="1400"/>
          <w:tcMar>
            <w:top w:type="dxa" w:w="-30"/>
            <w:left w:type="dxa" w:w="30"/>
            <w:bottom w:type="dxa" w:w="-30"/>
            <w:right w:type="dxa" w:w="30"/>
          </w:tcMar>
        </w:tcPr>
        <w:p>
          <w:pPr>
            <w:jc w:val="right"/>
          </w:pPr>
          <w:r>
            <w:rPr>
              <w:color w:val="6B7280"/>
              <w:sz w:val="16"/>
              <w:szCs w:val="16"/>
            </w:rPr>
            <w:t xml:space="preserve">Handout 14.6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14.7 · Extended Example 14A: should the sugar-free halva be launched?</w:t>
          </w:r>
        </w:p>
      </w:tc>
      <w:tc>
        <w:tcPr>
          <w:tcW w:type="pct" w:w="1400"/>
          <w:tcMar>
            <w:top w:type="dxa" w:w="-30"/>
            <w:left w:type="dxa" w:w="30"/>
            <w:bottom w:type="dxa" w:w="-30"/>
            <w:right w:type="dxa" w:w="30"/>
          </w:tcMar>
        </w:tcPr>
        <w:p>
          <w:pPr>
            <w:jc w:val="right"/>
          </w:pPr>
          <w:r>
            <w:rPr>
              <w:color w:val="6B7280"/>
              <w:sz w:val="16"/>
              <w:szCs w:val="16"/>
            </w:rPr>
            <w:t xml:space="preserve">Handout 14.7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a9fbb92ae3a7376ec966b46f5e4a6ef9e2e34a8e.png" Type="http://schemas.openxmlformats.org/officeDocument/2006/relationships/image"/><Relationship Id="rId102" Target="media/ec0f4af35e6cad9af12256c201b1ea2179330072.png" Type="http://schemas.openxmlformats.org/officeDocument/2006/relationships/image"/><Relationship Id="rId103" Target="media/bea0f47cea0866fd00183c18f4408ef09dc7a68c.png" Type="http://schemas.openxmlformats.org/officeDocument/2006/relationships/image"/><Relationship Id="rId104" Target="media/05bb76b6cdb3eb328282ec2fc33eab16db98a292.png" Type="http://schemas.openxmlformats.org/officeDocument/2006/relationships/image"/><Relationship Id="rId105" Target="media/49689851ac62b87af6f1987a88759b35ca90f3be.png" Type="http://schemas.openxmlformats.org/officeDocument/2006/relationships/image"/><Relationship Id="rId106" Target="media/f2be46fc9ef6bcef9458d643fff221360ac64f98.png" Type="http://schemas.openxmlformats.org/officeDocument/2006/relationships/image"/><Relationship Id="rId107" Target="media/18095430a3a3af977e5a36d6384998f075796ebd.png" Type="http://schemas.openxmlformats.org/officeDocument/2006/relationships/image"/><Relationship Id="rId108" Target="media/768f2644484e40d56aa9d49ee142f4c36089b67b.png" Type="http://schemas.openxmlformats.org/officeDocument/2006/relationships/image"/><Relationship Id="rId109" Target="media/b81ed7d6f411eb0152dfa4db6c90ee3d41f4c54d.png" Type="http://schemas.openxmlformats.org/officeDocument/2006/relationships/image"/><Relationship Id="rId110" Target="media/0980299cdfff71e6705bb0c1c2ef86497ec78cd2.png" Type="http://schemas.openxmlformats.org/officeDocument/2006/relationships/image"/><Relationship Id="rId111" Target="media/fffcda6473316a6c0cd269216df39ac6efb0874a.png" Type="http://schemas.openxmlformats.org/officeDocument/2006/relationships/image"/><Relationship Id="rId112" Target="media/84d448365cf804196e4f43b04542eb09c4c1ece5.png" Type="http://schemas.openxmlformats.org/officeDocument/2006/relationships/image"/><Relationship Id="rId113" Target="media/cc55a8680824b86a1df513dcc9acd8fff183a551.png" Type="http://schemas.openxmlformats.org/officeDocument/2006/relationships/image"/><Relationship Id="rId114" Target="media/9fd50de5eb501592a03e6adcac143ba06f513e6d.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2 · Chapter 14</dc:title>
  <dc:subject>Summary handouts</dc:subject>
  <cp:category>Student Book</cp:category>
</cp:coreProperties>
</file>