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16.1  Continuous improvement techniques and quality</w:t>
            </w:r>
          </w:p>
          <w:p>
            <w:pPr>
              <w:spacing w:before="0" w:after="46"/>
            </w:pPr>
            <w:r>
              <w:rPr>
                <w:color w:val="E8EAF6"/>
                <w:sz w:val="16"/>
                <w:szCs w:val="16"/>
              </w:rPr>
              <w:t xml:space="preserve">Chapter 16 · section 16.1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16,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26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263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Continuous improvement techniques and quality   ·   The financial impact of quality improvement   ·   Continuous improvement and ideal standards</w:t>
            </w:r>
          </w:p>
        </w:tc>
      </w:tr>
    </w:tbl>
    <w:p/>
    <w:p>
      <w:pPr>
        <w:spacing w:before="44" w:after="14"/>
      </w:pPr>
      <w:r>
        <w:rPr>
          <w:b/>
          <w:bCs/>
          <w:color w:val="353A7C"/>
          <w:sz w:val="18"/>
          <w:szCs w:val="18"/>
        </w:rPr>
        <w:t xml:space="preserve">Summary 1</w:t>
      </w:r>
      <w:r>
        <w:rPr>
          <w:color w:val="6B7280"/>
          <w:sz w:val="16"/>
          <w:szCs w:val="16"/>
        </w:rPr>
        <w:t xml:space="preserve">      gaps 3–10</w:t>
      </w:r>
    </w:p>
    <w:p>
      <w:pPr>
        <w:spacing w:before="20" w:after="20" w:line="360" w:lineRule="auto"/>
        <w:ind w:left="200"/>
      </w:pPr>
      <w:r>
        <w:rPr>
          <w:sz w:val="19"/>
          <w:szCs w:val="19"/>
        </w:rPr>
        <w:t xml:space="preserve">Continuous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means improving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in many small, regular steps instead of one big change. </w:t>
      </w:r>
      <w:r>
        <w:rPr>
          <w:sz w:val="19"/>
          <w:szCs w:val="19"/>
        </w:rPr>
        <w:t xml:space="preserve">Each step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 little waste or a cause of defects, and quality rises over time. </w:t>
      </w: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approach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 which the people who do the work suggest the improvements. </w:t>
      </w:r>
      <w:r>
        <w:rPr>
          <w:sz w:val="19"/>
          <w:szCs w:val="19"/>
        </w:rPr>
        <w:t xml:space="preserve">Each change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with the PDCA cycle: plan, do, check, act. </w:t>
      </w:r>
      <w:r>
        <w:rPr>
          <w:sz w:val="19"/>
          <w:szCs w:val="19"/>
        </w:rPr>
        <w:t xml:space="preserve">Two wider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support it. </w:t>
      </w:r>
      <w:r>
        <w:rPr>
          <w:sz w:val="19"/>
          <w:szCs w:val="19"/>
        </w:rPr>
        <w:t xml:space="preserve">Total quality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makes quality everyone's job and lets the customer define it. </w:t>
      </w:r>
      <w:r>
        <w:rPr>
          <w:sz w:val="19"/>
          <w:szCs w:val="19"/>
        </w:rPr>
        <w:t xml:space="preserve">Six Sigma uses data and statistics to cut defects to very low levels.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removes   ·   best-known   ·   approaches   ·   tested   ·   kaizen   ·   processes   ·   improvement   ·   management   ·   Continuous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74"/>
        <w:gridCol w:w="4110"/>
        <w:gridCol w:w="361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Continuous improvement techniques compared</w:t>
            </w:r>
          </w:p>
        </w:tc>
      </w:tr>
      <w:tr>
        <w:tc>
          <w:tcPr>
            <w:tcW w:type="pct" w:w="976"/>
            <w:shd w:fill="353A7C" w:val="clear"/>
            <w:tcMar>
              <w:top w:type="dxa" w:w="50"/>
              <w:left w:type="dxa" w:w="110"/>
              <w:bottom w:type="dxa" w:w="50"/>
              <w:right w:type="dxa" w:w="110"/>
            </w:tcMar>
          </w:tcPr>
          <w:p>
            <w:pPr>
              <w:spacing w:before="30" w:after="30"/>
            </w:pPr>
            <w:r>
              <w:rPr>
                <w:b/>
                <w:bCs/>
                <w:color w:val="FFFFFF"/>
                <w:sz w:val="15"/>
                <w:szCs w:val="15"/>
              </w:rPr>
              <w:t xml:space="preserve">Technique</w:t>
            </w:r>
          </w:p>
        </w:tc>
        <w:tc>
          <w:tcPr>
            <w:tcW w:type="pct" w:w="2141"/>
            <w:shd w:fill="353A7C" w:val="clear"/>
            <w:tcMar>
              <w:top w:type="dxa" w:w="50"/>
              <w:left w:type="dxa" w:w="110"/>
              <w:bottom w:type="dxa" w:w="50"/>
              <w:right w:type="dxa" w:w="110"/>
            </w:tcMar>
          </w:tcPr>
          <w:p>
            <w:pPr>
              <w:spacing w:before="30" w:after="30"/>
            </w:pPr>
            <w:r>
              <w:rPr>
                <w:b/>
                <w:bCs/>
                <w:color w:val="FFFFFF"/>
                <w:sz w:val="15"/>
                <w:szCs w:val="15"/>
              </w:rPr>
              <w:t xml:space="preserve">Idea</w:t>
            </w:r>
          </w:p>
        </w:tc>
        <w:tc>
          <w:tcPr>
            <w:tcW w:type="pct" w:w="1883"/>
            <w:shd w:fill="353A7C" w:val="clear"/>
            <w:tcMar>
              <w:top w:type="dxa" w:w="50"/>
              <w:left w:type="dxa" w:w="110"/>
              <w:bottom w:type="dxa" w:w="50"/>
              <w:right w:type="dxa" w:w="110"/>
            </w:tcMar>
          </w:tcPr>
          <w:p>
            <w:pPr>
              <w:spacing w:before="30" w:after="30"/>
            </w:pPr>
            <w:r>
              <w:rPr>
                <w:b/>
                <w:bCs/>
                <w:color w:val="FFFFFF"/>
                <w:sz w:val="15"/>
                <w:szCs w:val="15"/>
              </w:rPr>
              <w:t xml:space="preserve">Beverages example</w:t>
            </w:r>
          </w:p>
        </w:tc>
      </w:tr>
      <w:tr>
        <w:tc>
          <w:tcPr>
            <w:tcW w:type="pct" w:w="976"/>
            <w:tcMar>
              <w:top w:type="dxa" w:w="50"/>
              <w:left w:type="dxa" w:w="110"/>
              <w:bottom w:type="dxa" w:w="50"/>
              <w:right w:type="dxa" w:w="110"/>
            </w:tcMar>
          </w:tcPr>
          <w:p>
            <w:pPr>
              <w:spacing w:before="28" w:after="28"/>
            </w:pPr>
            <w:r>
              <w:rPr>
                <w:sz w:val="15"/>
                <w:szCs w:val="15"/>
              </w:rPr>
              <w:t xml:space="preserve">Kaizen</w:t>
            </w:r>
          </w:p>
        </w:tc>
        <w:tc>
          <w:tcPr>
            <w:tcW w:type="pct" w:w="2141"/>
            <w:tcMar>
              <w:top w:type="dxa" w:w="50"/>
              <w:left w:type="dxa" w:w="110"/>
              <w:bottom w:type="dxa" w:w="50"/>
              <w:right w:type="dxa" w:w="110"/>
            </w:tcMar>
          </w:tcPr>
          <w:p>
            <w:pPr>
              <w:spacing w:before="28" w:after="28"/>
            </w:pPr>
            <w:r>
              <w:rPr>
                <w:sz w:val="15"/>
                <w:szCs w:val="15"/>
              </w:rPr>
              <w:t xml:space="preserve">Many small </w:t>
            </w:r>
            <w:r>
              <w:rPr>
                <w:b/>
                <w:bCs/>
                <w:color w:val="8186EF"/>
                <w:sz w:val="14"/>
                <w:szCs w:val="14"/>
              </w:rPr>
              <w:t xml:space="preserve"> (11) </w:t>
            </w:r>
            <w:r>
              <w:rPr>
                <w:u w:val="single"/>
                <w:sz w:val="15"/>
                <w:szCs w:val="15"/>
              </w:rPr>
              <w:t xml:space="preserve">              </w:t>
            </w:r>
            <w:r>
              <w:rPr>
                <w:sz w:val="15"/>
                <w:szCs w:val="15"/>
              </w:rPr>
              <w:t xml:space="preserve"> </w:t>
            </w:r>
            <w:r>
              <w:rPr>
                <w:sz w:val="15"/>
                <w:szCs w:val="15"/>
              </w:rPr>
              <w:t xml:space="preserve">, suggested by the people who do the work</w:t>
            </w:r>
          </w:p>
        </w:tc>
        <w:tc>
          <w:tcPr>
            <w:tcW w:type="pct" w:w="1883"/>
            <w:tcMar>
              <w:top w:type="dxa" w:w="50"/>
              <w:left w:type="dxa" w:w="110"/>
              <w:bottom w:type="dxa" w:w="50"/>
              <w:right w:type="dxa" w:w="110"/>
            </w:tcMar>
          </w:tcPr>
          <w:p>
            <w:pPr>
              <w:spacing w:before="28" w:after="28"/>
            </w:pPr>
            <w:r>
              <w:rPr>
                <w:sz w:val="15"/>
                <w:szCs w:val="15"/>
              </w:rPr>
              <w:t xml:space="preserve">Shorter changeovers on the filling line</w:t>
            </w:r>
          </w:p>
        </w:tc>
      </w:tr>
      <w:tr>
        <w:tc>
          <w:tcPr>
            <w:tcW w:type="pct" w:w="976"/>
            <w:shd w:fill="FBFAF6" w:val="clear"/>
            <w:tcMar>
              <w:top w:type="dxa" w:w="50"/>
              <w:left w:type="dxa" w:w="110"/>
              <w:bottom w:type="dxa" w:w="50"/>
              <w:right w:type="dxa" w:w="110"/>
            </w:tcMar>
          </w:tcPr>
          <w:p>
            <w:pPr>
              <w:spacing w:before="28" w:after="28"/>
            </w:pPr>
            <w:r>
              <w:rPr>
                <w:sz w:val="15"/>
                <w:szCs w:val="15"/>
              </w:rPr>
              <w:t xml:space="preserve">PDCA cycle</w:t>
            </w:r>
          </w:p>
        </w:tc>
        <w:tc>
          <w:tcPr>
            <w:tcW w:type="pct" w:w="2141"/>
            <w:shd w:fill="FBFAF6" w:val="clear"/>
            <w:tcMar>
              <w:top w:type="dxa" w:w="50"/>
              <w:left w:type="dxa" w:w="110"/>
              <w:bottom w:type="dxa" w:w="50"/>
              <w:right w:type="dxa" w:w="110"/>
            </w:tcMar>
          </w:tcPr>
          <w:p>
            <w:pPr>
              <w:spacing w:before="28" w:after="28"/>
            </w:pPr>
            <w:r>
              <w:rPr>
                <w:sz w:val="15"/>
                <w:szCs w:val="15"/>
              </w:rPr>
              <w:t xml:space="preserve">Plan, do, check, act: test a change before adopting it</w:t>
            </w:r>
          </w:p>
        </w:tc>
        <w:tc>
          <w:tcPr>
            <w:tcW w:type="pct" w:w="1883"/>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976"/>
            <w:tcMar>
              <w:top w:type="dxa" w:w="50"/>
              <w:left w:type="dxa" w:w="110"/>
              <w:bottom w:type="dxa" w:w="50"/>
              <w:right w:type="dxa" w:w="110"/>
            </w:tcMar>
          </w:tcPr>
          <w:p>
            <w:pPr>
              <w:spacing w:before="28" w:after="28"/>
            </w:pPr>
            <w:r>
              <w:rPr>
                <w:sz w:val="15"/>
                <w:szCs w:val="15"/>
              </w:rPr>
              <w:t xml:space="preserve">Total quality management</w:t>
            </w:r>
          </w:p>
        </w:tc>
        <w:tc>
          <w:tcPr>
            <w:tcW w:type="pct" w:w="2141"/>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883"/>
            <w:tcMar>
              <w:top w:type="dxa" w:w="50"/>
              <w:left w:type="dxa" w:w="110"/>
              <w:bottom w:type="dxa" w:w="50"/>
              <w:right w:type="dxa" w:w="110"/>
            </w:tcMar>
          </w:tcPr>
          <w:p>
            <w:pPr>
              <w:spacing w:before="28" w:after="28"/>
            </w:pPr>
            <w:r>
              <w:rPr>
                <w:sz w:val="15"/>
                <w:szCs w:val="15"/>
              </w:rPr>
              <w:t xml:space="preserve">Drivers report damaged cases at delivery</w:t>
            </w:r>
          </w:p>
        </w:tc>
      </w:tr>
      <w:tr>
        <w:tc>
          <w:tcPr>
            <w:tcW w:type="pct" w:w="976"/>
            <w:shd w:fill="FBFAF6" w:val="clear"/>
            <w:tcMar>
              <w:top w:type="dxa" w:w="50"/>
              <w:left w:type="dxa" w:w="110"/>
              <w:bottom w:type="dxa" w:w="50"/>
              <w:right w:type="dxa" w:w="110"/>
            </w:tcMar>
          </w:tcPr>
          <w:p>
            <w:pPr>
              <w:spacing w:before="28" w:after="28"/>
            </w:pPr>
            <w:r>
              <w:rPr>
                <w:sz w:val="15"/>
                <w:szCs w:val="15"/>
              </w:rPr>
              <w:t xml:space="preserve">Six Sigma</w:t>
            </w:r>
          </w:p>
        </w:tc>
        <w:tc>
          <w:tcPr>
            <w:tcW w:type="pct" w:w="2141"/>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883"/>
            <w:shd w:fill="FBFAF6" w:val="clear"/>
            <w:tcMar>
              <w:top w:type="dxa" w:w="50"/>
              <w:left w:type="dxa" w:w="110"/>
              <w:bottom w:type="dxa" w:w="50"/>
              <w:right w:type="dxa" w:w="110"/>
            </w:tcMar>
          </w:tcPr>
          <w:p>
            <w:pPr>
              <w:spacing w:before="28" w:after="28"/>
            </w:pPr>
            <w:r>
              <w:rPr>
                <w:sz w:val="15"/>
                <w:szCs w:val="15"/>
              </w:rPr>
              <w:t xml:space="preserve">Measuring fill-volume variation per bottle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Trying a new cleaning routine on one line first   ·   ideal standard   ·   Data and statistics to cut defects to very low levels   ·   Quality is everyone's job; the customer defines quality   ·   improvements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a kaizen event on the filling line</w:t>
            </w:r>
          </w:p>
        </w:tc>
      </w:tr>
    </w:tbl>
    <w:p/>
    <w:p>
      <w:pPr>
        <w:spacing w:before="20" w:after="20" w:line="360" w:lineRule="auto"/>
        <w:ind w:left="200"/>
      </w:pPr>
      <w:r>
        <w:rPr>
          <w:sz w:val="19"/>
          <w:szCs w:val="19"/>
        </w:rPr>
        <w:t xml:space="preserve">The line team cut each changeover from 60 to 35 minutes.</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Worked example: the kaizen changeover saving</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Kaizen event on the filling line</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400"/>
            <w:tcMar>
              <w:top w:type="dxa" w:w="50"/>
              <w:left w:type="dxa" w:w="110"/>
              <w:bottom w:type="dxa" w:w="50"/>
              <w:right w:type="dxa" w:w="110"/>
            </w:tcMar>
          </w:tcPr>
          <w:p>
            <w:pPr>
              <w:spacing w:before="28" w:after="28"/>
            </w:pPr>
            <w:r>
              <w:rPr>
                <w:sz w:val="15"/>
                <w:szCs w:val="15"/>
              </w:rPr>
              <w:t xml:space="preserve">400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Minutes per changeover: before → after</w:t>
            </w:r>
          </w:p>
        </w:tc>
        <w:tc>
          <w:tcPr>
            <w:tcW w:type="pct" w:w="2400"/>
            <w:shd w:fill="FBFAF6" w:val="clear"/>
            <w:tcMar>
              <w:top w:type="dxa" w:w="50"/>
              <w:left w:type="dxa" w:w="110"/>
              <w:bottom w:type="dxa" w:w="50"/>
              <w:right w:type="dxa" w:w="110"/>
            </w:tcMar>
          </w:tcPr>
          <w:p>
            <w:pPr>
              <w:spacing w:before="28" w:after="28"/>
            </w:pPr>
            <w:r>
              <w:rPr>
                <w:sz w:val="15"/>
                <w:szCs w:val="15"/>
              </w:rPr>
              <w:t xml:space="preserve">60 → 35</w:t>
            </w:r>
          </w:p>
        </w:tc>
      </w:tr>
      <w:tr>
        <w:tc>
          <w:tcPr>
            <w:tcW w:type="pct" w:w="2600"/>
            <w:tcMar>
              <w:top w:type="dxa" w:w="50"/>
              <w:left w:type="dxa" w:w="110"/>
              <w:bottom w:type="dxa" w:w="50"/>
              <w:right w:type="dxa" w:w="110"/>
            </w:tcMar>
          </w:tcPr>
          <w:p>
            <w:pPr>
              <w:spacing w:before="28" w:after="28"/>
            </w:pPr>
            <w:r>
              <w:rPr>
                <w:sz w:val="15"/>
                <w:szCs w:val="15"/>
              </w:rPr>
              <w:t xml:space="preserve">Hours of line time freed a year</w:t>
            </w:r>
          </w:p>
        </w:tc>
        <w:tc>
          <w:tcPr>
            <w:tcW w:type="pct" w:w="2400"/>
            <w:tcMar>
              <w:top w:type="dxa" w:w="50"/>
              <w:left w:type="dxa" w:w="110"/>
              <w:bottom w:type="dxa" w:w="50"/>
              <w:right w:type="dxa" w:w="110"/>
            </w:tcMar>
          </w:tcPr>
          <w:p>
            <w:pPr>
              <w:spacing w:before="28" w:after="28"/>
            </w:pPr>
            <w:r>
              <w:rPr>
                <w:sz w:val="15"/>
                <w:szCs w:val="15"/>
              </w:rPr>
              <w:t xml:space="preserve">167</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2400"/>
            <w:shd w:fill="FBFAF6" w:val="clear"/>
            <w:tcMar>
              <w:top w:type="dxa" w:w="50"/>
              <w:left w:type="dxa" w:w="110"/>
              <w:bottom w:type="dxa" w:w="50"/>
              <w:right w:type="dxa" w:w="110"/>
            </w:tcMar>
          </w:tcPr>
          <w:p>
            <w:pPr>
              <w:spacing w:before="28" w:after="28"/>
            </w:pPr>
            <w:r>
              <w:rPr>
                <w:sz w:val="15"/>
                <w:szCs w:val="15"/>
              </w:rPr>
              <w:t xml:space="preserve">$600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2400"/>
            <w:tcMar>
              <w:top w:type="dxa" w:w="50"/>
              <w:left w:type="dxa" w:w="110"/>
              <w:bottom w:type="dxa" w:w="50"/>
              <w:right w:type="dxa" w:w="110"/>
            </w:tcMar>
          </w:tcPr>
          <w:p>
            <w:pPr>
              <w:spacing w:before="28" w:after="28"/>
            </w:pPr>
            <w:r>
              <w:rPr>
                <w:sz w:val="15"/>
                <w:szCs w:val="15"/>
              </w:rPr>
              <w:t xml:space="preserve">100,000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prevention costs   ·   Yearly saving   ·   Changeovers a year   ·   Cost of one hour of line time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1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912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ستة سيجما   ·   PDCA cycle   ·   Six Sigma</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77"/>
        <w:gridCol w:w="492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36"/>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64"/>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36"/>
            <w:tcMar>
              <w:top w:type="dxa" w:w="50"/>
              <w:left w:type="dxa" w:w="110"/>
              <w:bottom w:type="dxa" w:w="50"/>
              <w:right w:type="dxa" w:w="110"/>
            </w:tcMar>
          </w:tcPr>
          <w:p>
            <w:pPr>
              <w:spacing w:before="26" w:after="26"/>
            </w:pPr>
            <w:r>
              <w:rPr>
                <w:color w:val="232733"/>
                <w:sz w:val="16"/>
                <w:szCs w:val="16"/>
              </w:rPr>
              <w:t xml:space="preserve">continuous improvement</w:t>
            </w:r>
          </w:p>
        </w:tc>
        <w:tc>
          <w:tcPr>
            <w:tcW w:type="pct" w:w="2564"/>
            <w:tcMar>
              <w:top w:type="dxa" w:w="50"/>
              <w:left w:type="dxa" w:w="110"/>
              <w:bottom w:type="dxa" w:w="50"/>
              <w:right w:type="dxa" w:w="110"/>
            </w:tcMar>
          </w:tcPr>
          <w:p>
            <w:pPr>
              <w:spacing w:before="26" w:after="26"/>
            </w:pPr>
            <w:r>
              <w:rPr>
                <w:color w:val="232733"/>
                <w:sz w:val="16"/>
                <w:szCs w:val="16"/>
              </w:rPr>
              <w:t xml:space="preserve">التحسين المستمر</w:t>
            </w:r>
          </w:p>
        </w:tc>
      </w:tr>
      <w:tr>
        <w:tc>
          <w:tcPr>
            <w:tcW w:type="pct" w:w="2436"/>
            <w:shd w:fill="FBFAF6" w:val="clear"/>
            <w:tcMar>
              <w:top w:type="dxa" w:w="50"/>
              <w:left w:type="dxa" w:w="110"/>
              <w:bottom w:type="dxa" w:w="50"/>
              <w:right w:type="dxa" w:w="110"/>
            </w:tcMar>
          </w:tcPr>
          <w:p>
            <w:pPr>
              <w:spacing w:before="26" w:after="26"/>
            </w:pPr>
            <w:r>
              <w:rPr>
                <w:color w:val="232733"/>
                <w:sz w:val="16"/>
                <w:szCs w:val="16"/>
              </w:rPr>
              <w:t xml:space="preserve">kaizen</w:t>
            </w:r>
          </w:p>
        </w:tc>
        <w:tc>
          <w:tcPr>
            <w:tcW w:type="pct" w:w="2564"/>
            <w:shd w:fill="FBFAF6" w:val="clear"/>
            <w:tcMar>
              <w:top w:type="dxa" w:w="50"/>
              <w:left w:type="dxa" w:w="110"/>
              <w:bottom w:type="dxa" w:w="50"/>
              <w:right w:type="dxa" w:w="110"/>
            </w:tcMar>
          </w:tcPr>
          <w:p>
            <w:pPr>
              <w:spacing w:before="26" w:after="26"/>
            </w:pPr>
            <w:r>
              <w:rPr>
                <w:color w:val="232733"/>
                <w:sz w:val="16"/>
                <w:szCs w:val="16"/>
              </w:rPr>
              <w:t xml:space="preserve">كايزن (التحسين المستمر)</w:t>
            </w:r>
          </w:p>
        </w:tc>
      </w:tr>
      <w:tr>
        <w:tc>
          <w:tcPr>
            <w:tcW w:type="pct" w:w="2436"/>
            <w:tcMar>
              <w:top w:type="dxa" w:w="50"/>
              <w:left w:type="dxa" w:w="110"/>
              <w:bottom w:type="dxa" w:w="50"/>
              <w:right w:type="dxa" w:w="110"/>
            </w:tcMar>
          </w:tcPr>
          <w:p>
            <w:pPr>
              <w:spacing w:before="26" w:after="26"/>
            </w:pPr>
            <w:r>
              <w:rPr>
                <w:color w:val="232733"/>
                <w:sz w:val="16"/>
                <w:szCs w:val="16"/>
              </w:rPr>
              <w:t xml:space="preserve">PDCA cycle</w:t>
            </w:r>
          </w:p>
        </w:tc>
        <w:tc>
          <w:tcPr>
            <w:tcW w:type="pct" w:w="2564"/>
            <w:tcMar>
              <w:top w:type="dxa" w:w="50"/>
              <w:left w:type="dxa" w:w="110"/>
              <w:bottom w:type="dxa" w:w="50"/>
              <w:right w:type="dxa" w:w="110"/>
            </w:tcMar>
          </w:tcPr>
          <w:p>
            <w:pPr>
              <w:spacing w:before="26" w:after="26"/>
            </w:pPr>
            <w:r>
              <w:rPr>
                <w:color w:val="232733"/>
                <w:sz w:val="16"/>
                <w:szCs w:val="16"/>
              </w:rPr>
              <w:t xml:space="preserve">دورة خطط-نفّذ-افحص-تصرّف</w:t>
            </w:r>
          </w:p>
        </w:tc>
      </w:tr>
      <w:tr>
        <w:tc>
          <w:tcPr>
            <w:tcW w:type="pct" w:w="2436"/>
            <w:shd w:fill="FBFAF6" w:val="clear"/>
            <w:tcMar>
              <w:top w:type="dxa" w:w="50"/>
              <w:left w:type="dxa" w:w="110"/>
              <w:bottom w:type="dxa" w:w="50"/>
              <w:right w:type="dxa" w:w="110"/>
            </w:tcMar>
          </w:tcPr>
          <w:p>
            <w:pPr>
              <w:spacing w:before="26" w:after="26"/>
            </w:pPr>
            <w:r>
              <w:rPr>
                <w:color w:val="232733"/>
                <w:sz w:val="16"/>
                <w:szCs w:val="16"/>
              </w:rPr>
              <w:t xml:space="preserve">total quality management</w:t>
            </w:r>
          </w:p>
        </w:tc>
        <w:tc>
          <w:tcPr>
            <w:tcW w:type="pct" w:w="2564"/>
            <w:shd w:fill="FBFAF6" w:val="clear"/>
            <w:tcMar>
              <w:top w:type="dxa" w:w="50"/>
              <w:left w:type="dxa" w:w="110"/>
              <w:bottom w:type="dxa" w:w="50"/>
              <w:right w:type="dxa" w:w="110"/>
            </w:tcMar>
          </w:tcPr>
          <w:p>
            <w:pPr>
              <w:spacing w:before="26" w:after="26"/>
            </w:pPr>
            <w:r>
              <w:rPr>
                <w:color w:val="232733"/>
                <w:sz w:val="16"/>
                <w:szCs w:val="16"/>
              </w:rPr>
              <w:t xml:space="preserve">إدارة الجودة الشاملة</w:t>
            </w:r>
          </w:p>
        </w:tc>
      </w:tr>
      <w:tr>
        <w:tc>
          <w:tcPr>
            <w:tcW w:type="pct" w:w="2436"/>
            <w:tcMar>
              <w:top w:type="dxa" w:w="50"/>
              <w:left w:type="dxa" w:w="110"/>
              <w:bottom w:type="dxa" w:w="50"/>
              <w:right w:type="dxa" w:w="110"/>
            </w:tcMar>
          </w:tcPr>
          <w:p>
            <w:pPr>
              <w:spacing w:before="26" w:after="26"/>
            </w:pPr>
            <w:r>
              <w:rPr>
                <w:color w:val="232733"/>
                <w:sz w:val="16"/>
                <w:szCs w:val="16"/>
              </w:rPr>
              <w:t xml:space="preserve">Six Sigma</w:t>
            </w:r>
          </w:p>
        </w:tc>
        <w:tc>
          <w:tcPr>
            <w:tcW w:type="pct" w:w="2564"/>
            <w:tcMar>
              <w:top w:type="dxa" w:w="50"/>
              <w:left w:type="dxa" w:w="110"/>
              <w:bottom w:type="dxa" w:w="50"/>
              <w:right w:type="dxa" w:w="110"/>
            </w:tcMar>
          </w:tcPr>
          <w:p>
            <w:pPr>
              <w:spacing w:before="26" w:after="26"/>
            </w:pPr>
            <w:r>
              <w:rPr>
                <w:color w:val="232733"/>
                <w:sz w:val="16"/>
                <w:szCs w:val="16"/>
              </w:rPr>
              <w:t xml:space="preserve">ستة سيجما</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16.1  Continuous improvement techniques and quality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Continuous improvement techniques and quality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improvements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financial impact of quality improvement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Trying a new cleaning routine on one line first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improvement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Quality is everyone's job; the customer defines quality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processes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Data and statistics to cut defects to very low levels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removes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Changeovers a 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best-known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Cost of one hour of line time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kaizen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Yearly saving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tested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PDCA cycle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approaches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Six Sigma</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management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Continuous improvement means improving processes in many small, regular steps instead of one big change. Each step removes a little waste or a cause of defects, and quality rises over time. The best-known approach is kaizen, in which the people who do the work suggest the improvements. Each change is tested with the PDCA cycle: plan, do, check, act. Two wider approaches support it. Total quality management makes quality everyone's job and lets the customer define it. Six Sigma uses data and statistics to cut defects to very low levels.</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16.2  Continuous improvement and ideal standards</w:t>
            </w:r>
          </w:p>
          <w:p>
            <w:pPr>
              <w:spacing w:before="0" w:after="46"/>
            </w:pPr>
            <w:r>
              <w:rPr>
                <w:color w:val="E8EAF6"/>
                <w:sz w:val="16"/>
                <w:szCs w:val="16"/>
              </w:rPr>
              <w:t xml:space="preserve">Chapter 16 · section 16.2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An ideal standard assumes perfect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no waste, no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no idle time. </w:t>
      </w:r>
      <w:r>
        <w:rPr>
          <w:sz w:val="19"/>
          <w:szCs w:val="19"/>
        </w:rPr>
        <w:t xml:space="preserve">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attainable standard allows for normal waste and is hard but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ideal shows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the size of the waste still in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Each year the attainable standard moves closer to it. </w:t>
      </w:r>
      <w:r>
        <w:rPr>
          <w:sz w:val="19"/>
          <w:szCs w:val="19"/>
        </w:rPr>
        <w:t xml:space="preserve">Beverages allows 2.0% normal spoilage this year, aims for 1.2% after its kaizen program, and treats 0.0% as the ideal.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possible   ·   process   ·   breakdowns   ·   kaizen   ·   direction   ·   currently   ·   conditions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17"/>
        <w:gridCol w:w="3223"/>
        <w:gridCol w:w="376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Ideal and currently attainable standards</w:t>
            </w:r>
          </w:p>
        </w:tc>
      </w:tr>
      <w:tr>
        <w:tc>
          <w:tcPr>
            <w:tcW w:type="pct" w:w="1363"/>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1679"/>
            <w:shd w:fill="353A7C" w:val="clear"/>
            <w:tcMar>
              <w:top w:type="dxa" w:w="50"/>
              <w:left w:type="dxa" w:w="110"/>
              <w:bottom w:type="dxa" w:w="50"/>
              <w:right w:type="dxa" w:w="110"/>
            </w:tcMar>
          </w:tcPr>
          <w:p>
            <w:pPr>
              <w:spacing w:before="30" w:after="30"/>
            </w:pPr>
            <w:r>
              <w:rPr>
                <w:b/>
                <w:bCs/>
                <w:color w:val="FFFFFF"/>
                <w:sz w:val="15"/>
                <w:szCs w:val="15"/>
              </w:rPr>
              <w:t xml:space="preserve">Ideal standard</w:t>
            </w:r>
          </w:p>
        </w:tc>
        <w:tc>
          <w:tcPr>
            <w:tcW w:type="pct" w:w="1958"/>
            <w:shd w:fill="353A7C" w:val="clear"/>
            <w:tcMar>
              <w:top w:type="dxa" w:w="50"/>
              <w:left w:type="dxa" w:w="110"/>
              <w:bottom w:type="dxa" w:w="50"/>
              <w:right w:type="dxa" w:w="110"/>
            </w:tcMar>
          </w:tcPr>
          <w:p>
            <w:pPr>
              <w:spacing w:before="30" w:after="30"/>
            </w:pPr>
            <w:r>
              <w:rPr>
                <w:b/>
                <w:bCs/>
                <w:color w:val="FFFFFF"/>
                <w:sz w:val="15"/>
                <w:szCs w:val="15"/>
              </w:rPr>
              <w:t xml:space="preserve">Currently attainable standard</w:t>
            </w:r>
          </w:p>
        </w:tc>
      </w:tr>
      <w:tr>
        <w:tc>
          <w:tcPr>
            <w:tcW w:type="pct" w:w="1363"/>
            <w:tcMar>
              <w:top w:type="dxa" w:w="50"/>
              <w:left w:type="dxa" w:w="110"/>
              <w:bottom w:type="dxa" w:w="50"/>
              <w:right w:type="dxa" w:w="110"/>
            </w:tcMar>
          </w:tcPr>
          <w:p>
            <w:pPr>
              <w:spacing w:before="28" w:after="28"/>
            </w:pPr>
            <w:r>
              <w:rPr>
                <w:sz w:val="15"/>
                <w:szCs w:val="15"/>
              </w:rPr>
              <w:t xml:space="preserve">Assumes</w:t>
            </w:r>
          </w:p>
        </w:tc>
        <w:tc>
          <w:tcPr>
            <w:tcW w:type="pct" w:w="1679"/>
            <w:tcMar>
              <w:top w:type="dxa" w:w="50"/>
              <w:left w:type="dxa" w:w="110"/>
              <w:bottom w:type="dxa" w:w="50"/>
              <w:right w:type="dxa" w:w="110"/>
            </w:tcMar>
          </w:tcPr>
          <w:p>
            <w:pPr>
              <w:spacing w:before="28" w:after="28"/>
            </w:pPr>
            <w:r>
              <w:rPr>
                <w:sz w:val="15"/>
                <w:szCs w:val="15"/>
              </w:rPr>
              <w:t xml:space="preserve">Perfect conditions: no waste, no breakdowns</w:t>
            </w:r>
          </w:p>
        </w:tc>
        <w:tc>
          <w:tcPr>
            <w:tcW w:type="pct" w:w="1958"/>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1363"/>
            <w:shd w:fill="FBFAF6" w:val="clear"/>
            <w:tcMar>
              <w:top w:type="dxa" w:w="50"/>
              <w:left w:type="dxa" w:w="110"/>
              <w:bottom w:type="dxa" w:w="50"/>
              <w:right w:type="dxa" w:w="110"/>
            </w:tcMar>
          </w:tcPr>
          <w:p>
            <w:pPr>
              <w:spacing w:before="28" w:after="28"/>
            </w:pPr>
            <w:r>
              <w:rPr>
                <w:sz w:val="15"/>
                <w:szCs w:val="15"/>
              </w:rPr>
              <w:t xml:space="preserve">Use in continuous improvement</w:t>
            </w:r>
          </w:p>
        </w:tc>
        <w:tc>
          <w:tcPr>
            <w:tcW w:type="pct" w:w="1679"/>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958"/>
            <w:shd w:fill="FBFAF6" w:val="clear"/>
            <w:tcMar>
              <w:top w:type="dxa" w:w="50"/>
              <w:left w:type="dxa" w:w="110"/>
              <w:bottom w:type="dxa" w:w="50"/>
              <w:right w:type="dxa" w:w="110"/>
            </w:tcMar>
          </w:tcPr>
          <w:p>
            <w:pPr>
              <w:spacing w:before="28" w:after="28"/>
            </w:pPr>
            <w:r>
              <w:rPr>
                <w:sz w:val="15"/>
                <w:szCs w:val="15"/>
              </w:rPr>
              <w:t xml:space="preserve">Sets this year's target and judges performance</w:t>
            </w:r>
          </w:p>
        </w:tc>
      </w:tr>
      <w:tr>
        <w:tc>
          <w:tcPr>
            <w:tcW w:type="pct" w:w="1363"/>
            <w:tcMar>
              <w:top w:type="dxa" w:w="50"/>
              <w:left w:type="dxa" w:w="110"/>
              <w:bottom w:type="dxa" w:w="50"/>
              <w:right w:type="dxa" w:w="110"/>
            </w:tcMar>
          </w:tcPr>
          <w:p>
            <w:pPr>
              <w:spacing w:before="28" w:after="28"/>
            </w:pPr>
            <w:r>
              <w:rPr>
                <w:sz w:val="15"/>
                <w:szCs w:val="15"/>
              </w:rPr>
              <w:t xml:space="preserve">Effect on people</w:t>
            </w:r>
          </w:p>
        </w:tc>
        <w:tc>
          <w:tcPr>
            <w:tcW w:type="pct" w:w="1679"/>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958"/>
            <w:tcMar>
              <w:top w:type="dxa" w:w="50"/>
              <w:left w:type="dxa" w:w="110"/>
              <w:bottom w:type="dxa" w:w="50"/>
              <w:right w:type="dxa" w:w="110"/>
            </w:tcMar>
          </w:tcPr>
          <w:p>
            <w:pPr>
              <w:spacing w:before="28" w:after="28"/>
            </w:pPr>
            <w:r>
              <w:rPr>
                <w:sz w:val="15"/>
                <w:szCs w:val="15"/>
              </w:rPr>
              <w:t xml:space="preserve">Motivates: hard but possible</w:t>
            </w:r>
          </w:p>
        </w:tc>
      </w:tr>
      <w:tr>
        <w:tc>
          <w:tcPr>
            <w:tcW w:type="pct" w:w="1363"/>
            <w:shd w:fill="FBFAF6" w:val="clear"/>
            <w:tcMar>
              <w:top w:type="dxa" w:w="50"/>
              <w:left w:type="dxa" w:w="110"/>
              <w:bottom w:type="dxa" w:w="50"/>
              <w:right w:type="dxa" w:w="110"/>
            </w:tcMar>
          </w:tcPr>
          <w:p>
            <w:pPr>
              <w:spacing w:before="28" w:after="28"/>
            </w:pPr>
            <w:r>
              <w:rPr>
                <w:sz w:val="15"/>
                <w:szCs w:val="15"/>
              </w:rPr>
              <w:t xml:space="preserve">Beverages spoilage allowance</w:t>
            </w:r>
          </w:p>
        </w:tc>
        <w:tc>
          <w:tcPr>
            <w:tcW w:type="pct" w:w="1679"/>
            <w:shd w:fill="FBFAF6" w:val="clear"/>
            <w:tcMar>
              <w:top w:type="dxa" w:w="50"/>
              <w:left w:type="dxa" w:w="110"/>
              <w:bottom w:type="dxa" w:w="50"/>
              <w:right w:type="dxa" w:w="110"/>
            </w:tcMar>
          </w:tcPr>
          <w:p>
            <w:pPr>
              <w:spacing w:before="28" w:after="28"/>
            </w:pPr>
            <w:r>
              <w:rPr>
                <w:sz w:val="15"/>
                <w:szCs w:val="15"/>
              </w:rPr>
              <w:t xml:space="preserve">0.0%</w:t>
            </w:r>
          </w:p>
        </w:tc>
        <w:tc>
          <w:tcPr>
            <w:tcW w:type="pct" w:w="1958"/>
            <w:shd w:fill="FFFFFF" w:val="clear"/>
            <w:tcMar>
              <w:top w:type="dxa" w:w="50"/>
              <w:left w:type="dxa" w:w="110"/>
              <w:bottom w:type="dxa" w:w="50"/>
              <w:right w:type="dxa" w:w="110"/>
            </w:tcMar>
          </w:tcPr>
          <w:p>
            <w:pPr>
              <w:spacing w:before="46" w:after="46"/>
            </w:pPr>
            <w:r>
              <w:rPr>
                <w:b/>
                <w:bCs/>
                <w:color w:val="8186EF"/>
                <w:sz w:val="14"/>
                <w:szCs w:val="14"/>
              </w:rPr>
              <w:t xml:space="preserve">(10)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Can demotivate if used to judge them   ·   Shows the direction and the size of the remaining waste   ·   Efficient work with normal waste and breaks   ·   2.0% this year; 1.2% after kaizen   ·   Perfect conditions: no waste, no breakdowns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Six Sigma   ·   continuous improvement   ·   kaizen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30"/>
        <w:gridCol w:w="467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68"/>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32"/>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68"/>
            <w:tcMar>
              <w:top w:type="dxa" w:w="50"/>
              <w:left w:type="dxa" w:w="110"/>
              <w:bottom w:type="dxa" w:w="50"/>
              <w:right w:type="dxa" w:w="110"/>
            </w:tcMar>
          </w:tcPr>
          <w:p>
            <w:pPr>
              <w:spacing w:before="26" w:after="26"/>
            </w:pPr>
            <w:r>
              <w:rPr>
                <w:color w:val="232733"/>
                <w:sz w:val="16"/>
                <w:szCs w:val="16"/>
              </w:rPr>
              <w:t xml:space="preserve">ideal standard</w:t>
            </w:r>
          </w:p>
        </w:tc>
        <w:tc>
          <w:tcPr>
            <w:tcW w:type="pct" w:w="2432"/>
            <w:tcMar>
              <w:top w:type="dxa" w:w="50"/>
              <w:left w:type="dxa" w:w="110"/>
              <w:bottom w:type="dxa" w:w="50"/>
              <w:right w:type="dxa" w:w="110"/>
            </w:tcMar>
          </w:tcPr>
          <w:p>
            <w:pPr>
              <w:spacing w:before="26" w:after="26"/>
            </w:pPr>
            <w:r>
              <w:rPr>
                <w:color w:val="232733"/>
                <w:sz w:val="16"/>
                <w:szCs w:val="16"/>
              </w:rPr>
              <w:t xml:space="preserve">المعيار المثالي</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16.2  Continuous improvement and ideal standards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conditions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Efficient work with normal waste and breaks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breakdowns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Shows the direction and the size of the remaining waste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currently</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Can demotivate if used to judge them</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possible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2.0% this year; 1.2% after kaizen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direction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continuous improvement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process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kaizen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An ideal standard assumes perfect conditions: no waste, no breakdowns, no idle time. A currently attainable standard allows for normal waste and is hard but possible. The ideal shows the direction and the size of the waste still in the process. Each year the attainable standard moves closer to it. Beverages allows 2.0% normal spoilage this year, aims for 1.2% after its kaizen program, and treats 0.0% as the ideal.</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16.3  The four costs of quality</w:t>
            </w:r>
          </w:p>
          <w:p>
            <w:pPr>
              <w:spacing w:before="0" w:after="46"/>
            </w:pPr>
            <w:r>
              <w:rPr>
                <w:color w:val="E8EAF6"/>
                <w:sz w:val="16"/>
                <w:szCs w:val="16"/>
              </w:rPr>
              <w:t xml:space="preserve">Chapter 16 · section 16.3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The cost of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has four parts.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costs stop defects before they happen. </w:t>
      </w:r>
      <w:r>
        <w:rPr>
          <w:sz w:val="19"/>
          <w:szCs w:val="19"/>
        </w:rPr>
        <w:t xml:space="preserve">Appraisal costs find defects by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testing. </w:t>
      </w:r>
      <w:r>
        <w:rPr>
          <w:sz w:val="19"/>
          <w:szCs w:val="19"/>
        </w:rPr>
        <w:t xml:space="preserve">Together they are the costs of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failure costs arise from defects found before the product reaches the customer, such as scrap and rework. </w:t>
      </w:r>
      <w:r>
        <w:rPr>
          <w:sz w:val="19"/>
          <w:szCs w:val="19"/>
        </w:rPr>
        <w:t xml:space="preserve">External failure costs arise from defects the customer finds, such as returns, complaints and lost sales.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Internal   ·   kaizen   ·   conformance   ·   inspection   ·   quality   ·   Prevention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671"/>
        <w:gridCol w:w="370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Beverages cost-of-quality report, 2027</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Beverages cost-of-quality report, 2027</w:t>
            </w:r>
          </w:p>
        </w:tc>
        <w:tc>
          <w:tcPr>
            <w:tcW w:type="pct" w:w="87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193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870"/>
            <w:tcMar>
              <w:top w:type="dxa" w:w="50"/>
              <w:left w:type="dxa" w:w="110"/>
              <w:bottom w:type="dxa" w:w="50"/>
              <w:right w:type="dxa" w:w="110"/>
            </w:tcMar>
          </w:tcPr>
          <w:p>
            <w:pPr>
              <w:spacing w:before="28" w:after="28"/>
            </w:pPr>
            <w:r>
              <w:rPr>
                <w:sz w:val="15"/>
                <w:szCs w:val="15"/>
              </w:rPr>
              <w:t xml:space="preserve">30,000</w:t>
            </w:r>
          </w:p>
        </w:tc>
        <w:tc>
          <w:tcPr>
            <w:tcW w:type="pct" w:w="193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Quality training for staff</w:t>
            </w:r>
          </w:p>
        </w:tc>
        <w:tc>
          <w:tcPr>
            <w:tcW w:type="pct" w:w="870"/>
            <w:shd w:fill="FBFAF6" w:val="clear"/>
            <w:tcMar>
              <w:top w:type="dxa" w:w="50"/>
              <w:left w:type="dxa" w:w="110"/>
              <w:bottom w:type="dxa" w:w="50"/>
              <w:right w:type="dxa" w:w="110"/>
            </w:tcMar>
          </w:tcPr>
          <w:p>
            <w:pPr>
              <w:spacing w:before="28" w:after="28"/>
            </w:pPr>
            <w:r>
              <w:rPr>
                <w:sz w:val="15"/>
                <w:szCs w:val="15"/>
              </w:rPr>
              <w:t xml:space="preserve">40,000</w:t>
            </w:r>
          </w:p>
        </w:tc>
        <w:tc>
          <w:tcPr>
            <w:tcW w:type="pct" w:w="193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870"/>
            <w:tcMar>
              <w:top w:type="dxa" w:w="50"/>
              <w:left w:type="dxa" w:w="110"/>
              <w:bottom w:type="dxa" w:w="50"/>
              <w:right w:type="dxa" w:w="110"/>
            </w:tcMar>
          </w:tcPr>
          <w:p>
            <w:pPr>
              <w:spacing w:before="28" w:after="28"/>
            </w:pPr>
            <w:r>
              <w:rPr>
                <w:sz w:val="15"/>
                <w:szCs w:val="15"/>
              </w:rPr>
              <w:t xml:space="preserve">50,000</w:t>
            </w:r>
          </w:p>
        </w:tc>
        <w:tc>
          <w:tcPr>
            <w:tcW w:type="pct" w:w="1930"/>
            <w:tcMar>
              <w:top w:type="dxa" w:w="50"/>
              <w:left w:type="dxa" w:w="110"/>
              <w:bottom w:type="dxa" w:w="50"/>
              <w:right w:type="dxa" w:w="110"/>
            </w:tcMar>
          </w:tcPr>
          <w:p>
            <w:pPr>
              <w:spacing w:before="28" w:after="28"/>
            </w:pPr>
            <w:r>
              <w:rPr>
                <w:sz w:val="15"/>
                <w:szCs w:val="15"/>
              </w:rPr>
              <w:t xml:space="preserve"> </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870"/>
            <w:shd w:fill="FBFAF6" w:val="clear"/>
            <w:tcMar>
              <w:top w:type="dxa" w:w="50"/>
              <w:left w:type="dxa" w:w="110"/>
              <w:bottom w:type="dxa" w:w="50"/>
              <w:right w:type="dxa" w:w="110"/>
            </w:tcMar>
          </w:tcPr>
          <w:p>
            <w:pPr>
              <w:spacing w:before="28" w:after="28"/>
            </w:pPr>
            <w:r>
              <w:rPr>
                <w:sz w:val="15"/>
                <w:szCs w:val="15"/>
              </w:rPr>
              <w:t xml:space="preserve"> </w:t>
            </w:r>
          </w:p>
        </w:tc>
        <w:tc>
          <w:tcPr>
            <w:tcW w:type="pct" w:w="1930"/>
            <w:shd w:fill="FBFAF6" w:val="clear"/>
            <w:tcMar>
              <w:top w:type="dxa" w:w="50"/>
              <w:left w:type="dxa" w:w="110"/>
              <w:bottom w:type="dxa" w:w="50"/>
              <w:right w:type="dxa" w:w="110"/>
            </w:tcMar>
          </w:tcPr>
          <w:p>
            <w:pPr>
              <w:spacing w:before="28" w:after="28"/>
            </w:pPr>
            <w:r>
              <w:rPr>
                <w:sz w:val="15"/>
                <w:szCs w:val="15"/>
              </w:rPr>
              <w:t xml:space="preserve">120,000 (13%)</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870"/>
            <w:tcMar>
              <w:top w:type="dxa" w:w="50"/>
              <w:left w:type="dxa" w:w="110"/>
              <w:bottom w:type="dxa" w:w="50"/>
              <w:right w:type="dxa" w:w="110"/>
            </w:tcMar>
          </w:tcPr>
          <w:p>
            <w:pPr>
              <w:spacing w:before="28" w:after="28"/>
            </w:pPr>
            <w:r>
              <w:rPr>
                <w:sz w:val="15"/>
                <w:szCs w:val="15"/>
              </w:rPr>
              <w:t xml:space="preserve">45,000</w:t>
            </w:r>
          </w:p>
        </w:tc>
        <w:tc>
          <w:tcPr>
            <w:tcW w:type="pct" w:w="1930"/>
            <w:tcMar>
              <w:top w:type="dxa" w:w="50"/>
              <w:left w:type="dxa" w:w="110"/>
              <w:bottom w:type="dxa" w:w="50"/>
              <w:right w:type="dxa" w:w="110"/>
            </w:tcMar>
          </w:tcPr>
          <w:p>
            <w:pPr>
              <w:spacing w:before="28" w:after="28"/>
            </w:pPr>
            <w:r>
              <w:rPr>
                <w:sz w:val="15"/>
                <w:szCs w:val="15"/>
              </w:rPr>
              <w:t xml:space="preserve"> </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870"/>
            <w:shd w:fill="FBFAF6" w:val="clear"/>
            <w:tcMar>
              <w:top w:type="dxa" w:w="50"/>
              <w:left w:type="dxa" w:w="110"/>
              <w:bottom w:type="dxa" w:w="50"/>
              <w:right w:type="dxa" w:w="110"/>
            </w:tcMar>
          </w:tcPr>
          <w:p>
            <w:pPr>
              <w:spacing w:before="28" w:after="28"/>
            </w:pPr>
            <w:r>
              <w:rPr>
                <w:sz w:val="15"/>
                <w:szCs w:val="15"/>
              </w:rPr>
              <w:t xml:space="preserve">80,000</w:t>
            </w:r>
          </w:p>
        </w:tc>
        <w:tc>
          <w:tcPr>
            <w:tcW w:type="pct" w:w="193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Lab tests of finished juice</w:t>
            </w:r>
          </w:p>
        </w:tc>
        <w:tc>
          <w:tcPr>
            <w:tcW w:type="pct" w:w="870"/>
            <w:tcMar>
              <w:top w:type="dxa" w:w="50"/>
              <w:left w:type="dxa" w:w="110"/>
              <w:bottom w:type="dxa" w:w="50"/>
              <w:right w:type="dxa" w:w="110"/>
            </w:tcMar>
          </w:tcPr>
          <w:p>
            <w:pPr>
              <w:spacing w:before="28" w:after="28"/>
            </w:pPr>
            <w:r>
              <w:rPr>
                <w:sz w:val="15"/>
                <w:szCs w:val="15"/>
              </w:rPr>
              <w:t xml:space="preserve">55,000</w:t>
            </w:r>
          </w:p>
        </w:tc>
        <w:tc>
          <w:tcPr>
            <w:tcW w:type="pct" w:w="193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Appraisal costs</w:t>
            </w:r>
          </w:p>
        </w:tc>
        <w:tc>
          <w:tcPr>
            <w:tcW w:type="pct" w:w="870"/>
            <w:shd w:fill="FBFAF6" w:val="clear"/>
            <w:tcMar>
              <w:top w:type="dxa" w:w="50"/>
              <w:left w:type="dxa" w:w="110"/>
              <w:bottom w:type="dxa" w:w="50"/>
              <w:right w:type="dxa" w:w="110"/>
            </w:tcMar>
          </w:tcPr>
          <w:p>
            <w:pPr>
              <w:spacing w:before="28" w:after="28"/>
            </w:pPr>
            <w:r>
              <w:rPr>
                <w:sz w:val="15"/>
                <w:szCs w:val="15"/>
              </w:rPr>
              <w:t xml:space="preserve"> </w:t>
            </w:r>
          </w:p>
        </w:tc>
        <w:tc>
          <w:tcPr>
            <w:tcW w:type="pct" w:w="1930"/>
            <w:shd w:fill="FBFAF6" w:val="clear"/>
            <w:tcMar>
              <w:top w:type="dxa" w:w="50"/>
              <w:left w:type="dxa" w:w="110"/>
              <w:bottom w:type="dxa" w:w="50"/>
              <w:right w:type="dxa" w:w="110"/>
            </w:tcMar>
          </w:tcPr>
          <w:p>
            <w:pPr>
              <w:spacing w:before="28" w:after="28"/>
            </w:pPr>
            <w:r>
              <w:rPr>
                <w:sz w:val="15"/>
                <w:szCs w:val="15"/>
              </w:rPr>
              <w:t xml:space="preserve">180,000 (19%)</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870"/>
            <w:tcMar>
              <w:top w:type="dxa" w:w="50"/>
              <w:left w:type="dxa" w:w="110"/>
              <w:bottom w:type="dxa" w:w="50"/>
              <w:right w:type="dxa" w:w="110"/>
            </w:tcMar>
          </w:tcPr>
          <w:p>
            <w:pPr>
              <w:spacing w:before="28" w:after="28"/>
            </w:pPr>
            <w:r>
              <w:rPr>
                <w:sz w:val="15"/>
                <w:szCs w:val="15"/>
              </w:rPr>
              <w:t xml:space="preserve">150,000</w:t>
            </w:r>
          </w:p>
        </w:tc>
        <w:tc>
          <w:tcPr>
            <w:tcW w:type="pct" w:w="193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Re-filtering (rework)</w:t>
            </w:r>
          </w:p>
        </w:tc>
        <w:tc>
          <w:tcPr>
            <w:tcW w:type="pct" w:w="870"/>
            <w:shd w:fill="FBFAF6" w:val="clear"/>
            <w:tcMar>
              <w:top w:type="dxa" w:w="50"/>
              <w:left w:type="dxa" w:w="110"/>
              <w:bottom w:type="dxa" w:w="50"/>
              <w:right w:type="dxa" w:w="110"/>
            </w:tcMar>
          </w:tcPr>
          <w:p>
            <w:pPr>
              <w:spacing w:before="28" w:after="28"/>
            </w:pPr>
            <w:r>
              <w:rPr>
                <w:sz w:val="15"/>
                <w:szCs w:val="15"/>
              </w:rPr>
              <w:t xml:space="preserve">60,000</w:t>
            </w:r>
          </w:p>
        </w:tc>
        <w:tc>
          <w:tcPr>
            <w:tcW w:type="pct" w:w="193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870"/>
            <w:tcMar>
              <w:top w:type="dxa" w:w="50"/>
              <w:left w:type="dxa" w:w="110"/>
              <w:bottom w:type="dxa" w:w="50"/>
              <w:right w:type="dxa" w:w="110"/>
            </w:tcMar>
          </w:tcPr>
          <w:p>
            <w:pPr>
              <w:spacing w:before="28" w:after="28"/>
            </w:pPr>
            <w:r>
              <w:rPr>
                <w:sz w:val="15"/>
                <w:szCs w:val="15"/>
              </w:rPr>
              <w:t xml:space="preserve">40,000</w:t>
            </w:r>
          </w:p>
        </w:tc>
        <w:tc>
          <w:tcPr>
            <w:tcW w:type="pct" w:w="193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Internal failure costs</w:t>
            </w:r>
          </w:p>
        </w:tc>
        <w:tc>
          <w:tcPr>
            <w:tcW w:type="pct" w:w="870"/>
            <w:shd w:fill="FBFAF6" w:val="clear"/>
            <w:tcMar>
              <w:top w:type="dxa" w:w="50"/>
              <w:left w:type="dxa" w:w="110"/>
              <w:bottom w:type="dxa" w:w="50"/>
              <w:right w:type="dxa" w:w="110"/>
            </w:tcMar>
          </w:tcPr>
          <w:p>
            <w:pPr>
              <w:spacing w:before="28" w:after="28"/>
            </w:pPr>
            <w:r>
              <w:rPr>
                <w:sz w:val="15"/>
                <w:szCs w:val="15"/>
              </w:rPr>
              <w:t xml:space="preserve"> </w:t>
            </w:r>
          </w:p>
        </w:tc>
        <w:tc>
          <w:tcPr>
            <w:tcW w:type="pct" w:w="1930"/>
            <w:shd w:fill="FBFAF6" w:val="clear"/>
            <w:tcMar>
              <w:top w:type="dxa" w:w="50"/>
              <w:left w:type="dxa" w:w="110"/>
              <w:bottom w:type="dxa" w:w="50"/>
              <w:right w:type="dxa" w:w="110"/>
            </w:tcMar>
          </w:tcPr>
          <w:p>
            <w:pPr>
              <w:spacing w:before="28" w:after="28"/>
            </w:pPr>
            <w:r>
              <w:rPr>
                <w:sz w:val="15"/>
                <w:szCs w:val="15"/>
              </w:rPr>
              <w:t xml:space="preserve">250,000 (26%)</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870"/>
            <w:tcMar>
              <w:top w:type="dxa" w:w="50"/>
              <w:left w:type="dxa" w:w="110"/>
              <w:bottom w:type="dxa" w:w="50"/>
              <w:right w:type="dxa" w:w="110"/>
            </w:tcMar>
          </w:tcPr>
          <w:p>
            <w:pPr>
              <w:spacing w:before="28" w:after="28"/>
            </w:pPr>
            <w:r>
              <w:rPr>
                <w:sz w:val="15"/>
                <w:szCs w:val="15"/>
              </w:rPr>
              <w:t xml:space="preserve">200,000</w:t>
            </w:r>
          </w:p>
        </w:tc>
        <w:tc>
          <w:tcPr>
            <w:tcW w:type="pct" w:w="193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Handling complaints</w:t>
            </w:r>
          </w:p>
        </w:tc>
        <w:tc>
          <w:tcPr>
            <w:tcW w:type="pct" w:w="870"/>
            <w:shd w:fill="FBFAF6" w:val="clear"/>
            <w:tcMar>
              <w:top w:type="dxa" w:w="50"/>
              <w:left w:type="dxa" w:w="110"/>
              <w:bottom w:type="dxa" w:w="50"/>
              <w:right w:type="dxa" w:w="110"/>
            </w:tcMar>
          </w:tcPr>
          <w:p>
            <w:pPr>
              <w:spacing w:before="28" w:after="28"/>
            </w:pPr>
            <w:r>
              <w:rPr>
                <w:sz w:val="15"/>
                <w:szCs w:val="15"/>
              </w:rPr>
              <w:t xml:space="preserve">50,000</w:t>
            </w:r>
          </w:p>
        </w:tc>
        <w:tc>
          <w:tcPr>
            <w:tcW w:type="pct" w:w="193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Lost contribution from lost customers (estimate)</w:t>
            </w:r>
          </w:p>
        </w:tc>
        <w:tc>
          <w:tcPr>
            <w:tcW w:type="pct" w:w="870"/>
            <w:tcMar>
              <w:top w:type="dxa" w:w="50"/>
              <w:left w:type="dxa" w:w="110"/>
              <w:bottom w:type="dxa" w:w="50"/>
              <w:right w:type="dxa" w:w="110"/>
            </w:tcMar>
          </w:tcPr>
          <w:p>
            <w:pPr>
              <w:spacing w:before="28" w:after="28"/>
            </w:pPr>
            <w:r>
              <w:rPr>
                <w:sz w:val="15"/>
                <w:szCs w:val="15"/>
              </w:rPr>
              <w:t xml:space="preserve">150,000</w:t>
            </w:r>
          </w:p>
        </w:tc>
        <w:tc>
          <w:tcPr>
            <w:tcW w:type="pct" w:w="193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External failure costs</w:t>
            </w:r>
          </w:p>
        </w:tc>
        <w:tc>
          <w:tcPr>
            <w:tcW w:type="pct" w:w="870"/>
            <w:shd w:fill="FBFAF6" w:val="clear"/>
            <w:tcMar>
              <w:top w:type="dxa" w:w="50"/>
              <w:left w:type="dxa" w:w="110"/>
              <w:bottom w:type="dxa" w:w="50"/>
              <w:right w:type="dxa" w:w="110"/>
            </w:tcMar>
          </w:tcPr>
          <w:p>
            <w:pPr>
              <w:spacing w:before="28" w:after="28"/>
            </w:pPr>
            <w:r>
              <w:rPr>
                <w:sz w:val="15"/>
                <w:szCs w:val="15"/>
              </w:rPr>
              <w:t xml:space="preserve"> </w:t>
            </w:r>
          </w:p>
        </w:tc>
        <w:tc>
          <w:tcPr>
            <w:tcW w:type="pct" w:w="1930"/>
            <w:shd w:fill="FBFAF6" w:val="clear"/>
            <w:tcMar>
              <w:top w:type="dxa" w:w="50"/>
              <w:left w:type="dxa" w:w="110"/>
              <w:bottom w:type="dxa" w:w="50"/>
              <w:right w:type="dxa" w:w="110"/>
            </w:tcMar>
          </w:tcPr>
          <w:p>
            <w:pPr>
              <w:spacing w:before="28" w:after="28"/>
            </w:pPr>
            <w:r>
              <w:rPr>
                <w:sz w:val="15"/>
                <w:szCs w:val="15"/>
              </w:rPr>
              <w:t xml:space="preserve">400,000 (42%)</w:t>
            </w:r>
          </w:p>
        </w:tc>
      </w:tr>
      <w:tr>
        <w:tc>
          <w:tcPr>
            <w:tcW w:type="pct" w:w="2200"/>
            <w:tcMar>
              <w:top w:type="dxa" w:w="50"/>
              <w:left w:type="dxa" w:w="110"/>
              <w:bottom w:type="dxa" w:w="50"/>
              <w:right w:type="dxa" w:w="110"/>
            </w:tcMar>
          </w:tcPr>
          <w:p>
            <w:pPr>
              <w:spacing w:before="28" w:after="28"/>
            </w:pPr>
            <w:r>
              <w:rPr>
                <w:sz w:val="15"/>
                <w:szCs w:val="15"/>
              </w:rPr>
              <w:t xml:space="preserve">Total cost of quality</w:t>
            </w:r>
          </w:p>
        </w:tc>
        <w:tc>
          <w:tcPr>
            <w:tcW w:type="pct" w:w="870"/>
            <w:tcMar>
              <w:top w:type="dxa" w:w="50"/>
              <w:left w:type="dxa" w:w="110"/>
              <w:bottom w:type="dxa" w:w="50"/>
              <w:right w:type="dxa" w:w="110"/>
            </w:tcMar>
          </w:tcPr>
          <w:p>
            <w:pPr>
              <w:spacing w:before="28" w:after="28"/>
            </w:pPr>
            <w:r>
              <w:rPr>
                <w:sz w:val="15"/>
                <w:szCs w:val="15"/>
              </w:rPr>
              <w:t xml:space="preserve"> </w:t>
            </w:r>
          </w:p>
        </w:tc>
        <w:tc>
          <w:tcPr>
            <w:tcW w:type="pct" w:w="1930"/>
            <w:tcMar>
              <w:top w:type="dxa" w:w="50"/>
              <w:left w:type="dxa" w:w="110"/>
              <w:bottom w:type="dxa" w:w="50"/>
              <w:right w:type="dxa" w:w="110"/>
            </w:tcMar>
          </w:tcPr>
          <w:p>
            <w:pPr>
              <w:spacing w:before="28" w:after="28"/>
            </w:pPr>
            <w:r>
              <w:rPr>
                <w:sz w:val="15"/>
                <w:szCs w:val="15"/>
              </w:rPr>
              <w:t xml:space="preserve">950,000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Line stops after failures   ·   Prevention costs   ·   Supplier audits   ·   Testing incoming concentrate   ·   Lab tests of finished juice   ·   Preventive maintenance of the fillers   ·   Spoiled batches   ·   In-line checks of fill and seal   ·   Returns and replacements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Hidden external failure costs</w:t>
            </w:r>
          </w:p>
        </w:tc>
      </w:tr>
    </w:tbl>
    <w:p/>
    <w:p>
      <w:pPr>
        <w:spacing w:before="44" w:after="14"/>
      </w:pPr>
      <w:r>
        <w:rPr>
          <w:b/>
          <w:bCs/>
          <w:color w:val="353A7C"/>
          <w:sz w:val="18"/>
          <w:szCs w:val="18"/>
        </w:rPr>
        <w:t xml:space="preserve">Summary 2</w:t>
      </w:r>
      <w:r>
        <w:rPr>
          <w:color w:val="6B7280"/>
          <w:sz w:val="16"/>
          <w:szCs w:val="16"/>
        </w:rPr>
        <w:t xml:space="preserve">      gaps 14–16</w:t>
      </w:r>
    </w:p>
    <w:p>
      <w:pPr>
        <w:spacing w:before="20" w:after="20" w:line="360" w:lineRule="auto"/>
        <w:ind w:left="200"/>
      </w:pPr>
      <w:r>
        <w:rPr>
          <w:sz w:val="19"/>
          <w:szCs w:val="19"/>
        </w:rPr>
        <w:t xml:space="preserve">Lost sales and lost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do not appear in the ledger, but they are external failure costs. </w:t>
      </w:r>
      <w:r>
        <w:rPr>
          <w:sz w:val="19"/>
          <w:szCs w:val="19"/>
        </w:rPr>
        <w:t xml:space="preserve">An exam answer that leaves them out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the cost of quality. </w:t>
      </w:r>
      <w:r>
        <w:rPr>
          <w:sz w:val="19"/>
          <w:szCs w:val="19"/>
        </w:rPr>
        <w:t xml:space="preserve">Both mean the four categories, not the price of a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product.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customers   ·   Appraisal   ·   understates   ·   high-quality</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1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912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prevention costs   ·   PDCA cycle   ·   appraisal costs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70"/>
        <w:gridCol w:w="473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36"/>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64"/>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36"/>
            <w:tcMar>
              <w:top w:type="dxa" w:w="50"/>
              <w:left w:type="dxa" w:w="110"/>
              <w:bottom w:type="dxa" w:w="50"/>
              <w:right w:type="dxa" w:w="110"/>
            </w:tcMar>
          </w:tcPr>
          <w:p>
            <w:pPr>
              <w:spacing w:before="26" w:after="26"/>
            </w:pPr>
            <w:r>
              <w:rPr>
                <w:color w:val="232733"/>
                <w:sz w:val="16"/>
                <w:szCs w:val="16"/>
              </w:rPr>
              <w:t xml:space="preserve">cost of quality</w:t>
            </w:r>
          </w:p>
        </w:tc>
        <w:tc>
          <w:tcPr>
            <w:tcW w:type="pct" w:w="2464"/>
            <w:tcMar>
              <w:top w:type="dxa" w:w="50"/>
              <w:left w:type="dxa" w:w="110"/>
              <w:bottom w:type="dxa" w:w="50"/>
              <w:right w:type="dxa" w:w="110"/>
            </w:tcMar>
          </w:tcPr>
          <w:p>
            <w:pPr>
              <w:spacing w:before="26" w:after="26"/>
            </w:pPr>
            <w:r>
              <w:rPr>
                <w:color w:val="232733"/>
                <w:sz w:val="16"/>
                <w:szCs w:val="16"/>
              </w:rPr>
              <w:t xml:space="preserve">تكاليف الجودة</w:t>
            </w:r>
          </w:p>
        </w:tc>
      </w:tr>
      <w:tr>
        <w:tc>
          <w:tcPr>
            <w:tcW w:type="pct" w:w="2536"/>
            <w:shd w:fill="FBFAF6" w:val="clear"/>
            <w:tcMar>
              <w:top w:type="dxa" w:w="50"/>
              <w:left w:type="dxa" w:w="110"/>
              <w:bottom w:type="dxa" w:w="50"/>
              <w:right w:type="dxa" w:w="110"/>
            </w:tcMar>
          </w:tcPr>
          <w:p>
            <w:pPr>
              <w:spacing w:before="26" w:after="26"/>
            </w:pPr>
            <w:r>
              <w:rPr>
                <w:color w:val="232733"/>
                <w:sz w:val="16"/>
                <w:szCs w:val="16"/>
              </w:rPr>
              <w:t xml:space="preserve">prevention costs</w:t>
            </w:r>
          </w:p>
        </w:tc>
        <w:tc>
          <w:tcPr>
            <w:tcW w:type="pct" w:w="2464"/>
            <w:shd w:fill="FBFAF6" w:val="clear"/>
            <w:tcMar>
              <w:top w:type="dxa" w:w="50"/>
              <w:left w:type="dxa" w:w="110"/>
              <w:bottom w:type="dxa" w:w="50"/>
              <w:right w:type="dxa" w:w="110"/>
            </w:tcMar>
          </w:tcPr>
          <w:p>
            <w:pPr>
              <w:spacing w:before="26" w:after="26"/>
            </w:pPr>
            <w:r>
              <w:rPr>
                <w:color w:val="232733"/>
                <w:sz w:val="16"/>
                <w:szCs w:val="16"/>
              </w:rPr>
              <w:t xml:space="preserve">تكاليف الوقاية</w:t>
            </w:r>
          </w:p>
        </w:tc>
      </w:tr>
      <w:tr>
        <w:tc>
          <w:tcPr>
            <w:tcW w:type="pct" w:w="2536"/>
            <w:tcMar>
              <w:top w:type="dxa" w:w="50"/>
              <w:left w:type="dxa" w:w="110"/>
              <w:bottom w:type="dxa" w:w="50"/>
              <w:right w:type="dxa" w:w="110"/>
            </w:tcMar>
          </w:tcPr>
          <w:p>
            <w:pPr>
              <w:spacing w:before="26" w:after="26"/>
            </w:pPr>
            <w:r>
              <w:rPr>
                <w:color w:val="232733"/>
                <w:sz w:val="16"/>
                <w:szCs w:val="16"/>
              </w:rPr>
              <w:t xml:space="preserve">appraisal costs</w:t>
            </w:r>
          </w:p>
        </w:tc>
        <w:tc>
          <w:tcPr>
            <w:tcW w:type="pct" w:w="2464"/>
            <w:tcMar>
              <w:top w:type="dxa" w:w="50"/>
              <w:left w:type="dxa" w:w="110"/>
              <w:bottom w:type="dxa" w:w="50"/>
              <w:right w:type="dxa" w:w="110"/>
            </w:tcMar>
          </w:tcPr>
          <w:p>
            <w:pPr>
              <w:spacing w:before="26" w:after="26"/>
            </w:pPr>
            <w:r>
              <w:rPr>
                <w:color w:val="232733"/>
                <w:sz w:val="16"/>
                <w:szCs w:val="16"/>
              </w:rPr>
              <w:t xml:space="preserve">تكاليف التقييم (الفحص)</w:t>
            </w:r>
          </w:p>
        </w:tc>
      </w:tr>
      <w:tr>
        <w:tc>
          <w:tcPr>
            <w:tcW w:type="pct" w:w="2536"/>
            <w:shd w:fill="FBFAF6" w:val="clear"/>
            <w:tcMar>
              <w:top w:type="dxa" w:w="50"/>
              <w:left w:type="dxa" w:w="110"/>
              <w:bottom w:type="dxa" w:w="50"/>
              <w:right w:type="dxa" w:w="110"/>
            </w:tcMar>
          </w:tcPr>
          <w:p>
            <w:pPr>
              <w:spacing w:before="26" w:after="26"/>
            </w:pPr>
            <w:r>
              <w:rPr>
                <w:color w:val="232733"/>
                <w:sz w:val="16"/>
                <w:szCs w:val="16"/>
              </w:rPr>
              <w:t xml:space="preserve">internal failure costs</w:t>
            </w:r>
          </w:p>
        </w:tc>
        <w:tc>
          <w:tcPr>
            <w:tcW w:type="pct" w:w="2464"/>
            <w:shd w:fill="FBFAF6" w:val="clear"/>
            <w:tcMar>
              <w:top w:type="dxa" w:w="50"/>
              <w:left w:type="dxa" w:w="110"/>
              <w:bottom w:type="dxa" w:w="50"/>
              <w:right w:type="dxa" w:w="110"/>
            </w:tcMar>
          </w:tcPr>
          <w:p>
            <w:pPr>
              <w:spacing w:before="26" w:after="26"/>
            </w:pPr>
            <w:r>
              <w:rPr>
                <w:color w:val="232733"/>
                <w:sz w:val="16"/>
                <w:szCs w:val="16"/>
              </w:rPr>
              <w:t xml:space="preserve">تكاليف الفشل الداخلي</w:t>
            </w:r>
          </w:p>
        </w:tc>
      </w:tr>
      <w:tr>
        <w:tc>
          <w:tcPr>
            <w:tcW w:type="pct" w:w="2536"/>
            <w:tcMar>
              <w:top w:type="dxa" w:w="50"/>
              <w:left w:type="dxa" w:w="110"/>
              <w:bottom w:type="dxa" w:w="50"/>
              <w:right w:type="dxa" w:w="110"/>
            </w:tcMar>
          </w:tcPr>
          <w:p>
            <w:pPr>
              <w:spacing w:before="26" w:after="26"/>
            </w:pPr>
            <w:r>
              <w:rPr>
                <w:color w:val="232733"/>
                <w:sz w:val="16"/>
                <w:szCs w:val="16"/>
              </w:rPr>
              <w:t xml:space="preserve">external failure costs</w:t>
            </w:r>
          </w:p>
        </w:tc>
        <w:tc>
          <w:tcPr>
            <w:tcW w:type="pct" w:w="2464"/>
            <w:tcMar>
              <w:top w:type="dxa" w:w="50"/>
              <w:left w:type="dxa" w:w="110"/>
              <w:bottom w:type="dxa" w:w="50"/>
              <w:right w:type="dxa" w:w="110"/>
            </w:tcMar>
          </w:tcPr>
          <w:p>
            <w:pPr>
              <w:spacing w:before="26" w:after="26"/>
            </w:pPr>
            <w:r>
              <w:rPr>
                <w:color w:val="232733"/>
                <w:sz w:val="16"/>
                <w:szCs w:val="16"/>
              </w:rPr>
              <w:t xml:space="preserve">تكاليف الفشل الخارجي</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16.3  The four costs of quality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quality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In-line checks of fill and seal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Prevention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Spoiled batches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inspection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Line stops after failures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conformance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Returns and replacements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Internal</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customers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Supplier audits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understates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Preventive maintenance of the fillers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high-quality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Prevention costs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prevention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Testing incoming concentrate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appraisal costs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cost of quality has four parts. Prevention costs stop defects before they happen. Appraisal costs find defects by inspection and testing. Together they are the costs of conformance. Internal failure costs arise from defects found before the product reaches the customer, such as scrap and rework. External failure costs arise from defects the customer finds, such as returns, complaints and lost sales.</w:t>
      </w:r>
    </w:p>
    <w:p>
      <w:pPr>
        <w:spacing w:before="20" w:after="20"/>
        <w:ind w:left="240" w:hanging="240"/>
      </w:pPr>
      <w:r>
        <w:rPr>
          <w:b/>
          <w:bCs/>
          <w:color w:val="353A7C"/>
          <w:sz w:val="15"/>
          <w:szCs w:val="15"/>
        </w:rPr>
        <w:t xml:space="preserve">Summary 2   </w:t>
      </w:r>
      <w:r>
        <w:rPr>
          <w:color w:val="6B7280"/>
          <w:sz w:val="15"/>
          <w:szCs w:val="15"/>
        </w:rPr>
        <w:t xml:space="preserve">Lost sales and lost customers do not appear in the ledger, but they are external failure costs. An exam answer that leaves them out understates the cost of quality. Both mean the four categories, not the price of a high-quality product.</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16.4  The financial impact of quality improvement</w:t>
            </w:r>
          </w:p>
          <w:p>
            <w:pPr>
              <w:spacing w:before="0" w:after="46"/>
            </w:pPr>
            <w:r>
              <w:rPr>
                <w:color w:val="E8EAF6"/>
                <w:sz w:val="16"/>
                <w:szCs w:val="16"/>
              </w:rPr>
              <w:t xml:space="preserve">Chapter 16 · section 16.4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Beverages plans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process-control program. </w:t>
      </w:r>
      <w:r>
        <w:rPr>
          <w:sz w:val="19"/>
          <w:szCs w:val="19"/>
        </w:rPr>
        <w:t xml:space="preserve">It adds $110,000 a year of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cuts appraisal by $40,000, and is expected to cut internal failure by 45% and external failure by 60%.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supplier-certification   ·   program   ·   prevention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program's effect</w:t>
            </w:r>
          </w:p>
        </w:tc>
      </w:tr>
    </w:tbl>
    <w:p/>
    <w:p>
      <w:pPr>
        <w:spacing w:before="44" w:after="10"/>
      </w:pPr>
      <w:r>
        <w:rPr>
          <w:b/>
          <w:bCs/>
          <w:color w:val="353A7C"/>
          <w:sz w:val="18"/>
          <w:szCs w:val="18"/>
        </w:rPr>
        <w:t xml:space="preserve">Worked example: the quality program's effect on each category</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212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120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Prevention   ·   Internal failure   ·   Appraisal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failure costs after the program</w:t>
            </w:r>
          </w:p>
        </w:tc>
      </w:tr>
    </w:tbl>
    <w:p/>
    <w:p>
      <w:pPr>
        <w:spacing w:before="20" w:after="20" w:line="360" w:lineRule="auto"/>
        <w:ind w:left="200"/>
      </w:pPr>
      <w:r>
        <w:rPr>
          <w:sz w:val="19"/>
          <w:szCs w:val="19"/>
        </w:rPr>
        <w:t xml:space="preserve">Complete the two blank rows.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Your turn: the cost of quality after the program (complete the blanks)</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Cost of quality after the program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Whole USD</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400"/>
            <w:tcMar>
              <w:top w:type="dxa" w:w="50"/>
              <w:left w:type="dxa" w:w="110"/>
              <w:bottom w:type="dxa" w:w="50"/>
              <w:right w:type="dxa" w:w="110"/>
            </w:tcMar>
          </w:tcPr>
          <w:p>
            <w:pPr>
              <w:spacing w:before="28" w:after="28"/>
            </w:pPr>
            <w:r>
              <w:rPr>
                <w:sz w:val="15"/>
                <w:szCs w:val="15"/>
              </w:rPr>
              <w:t xml:space="preserve">230,000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Appraisal</w:t>
            </w:r>
          </w:p>
        </w:tc>
        <w:tc>
          <w:tcPr>
            <w:tcW w:type="pct" w:w="2400"/>
            <w:shd w:fill="FBFAF6" w:val="clear"/>
            <w:tcMar>
              <w:top w:type="dxa" w:w="50"/>
              <w:left w:type="dxa" w:w="110"/>
              <w:bottom w:type="dxa" w:w="50"/>
              <w:right w:type="dxa" w:w="110"/>
            </w:tcMar>
          </w:tcPr>
          <w:p>
            <w:pPr>
              <w:spacing w:before="28" w:after="28"/>
            </w:pPr>
            <w:r>
              <w:rPr>
                <w:sz w:val="15"/>
                <w:szCs w:val="15"/>
              </w:rPr>
              <w:t xml:space="preserve">140,000</w:t>
            </w:r>
          </w:p>
        </w:tc>
      </w:tr>
      <w:tr>
        <w:tc>
          <w:tcPr>
            <w:tcW w:type="pct" w:w="2600"/>
            <w:tcMar>
              <w:top w:type="dxa" w:w="50"/>
              <w:left w:type="dxa" w:w="110"/>
              <w:bottom w:type="dxa" w:w="50"/>
              <w:right w:type="dxa" w:w="110"/>
            </w:tcMar>
          </w:tcPr>
          <w:p>
            <w:pPr>
              <w:spacing w:before="28" w:after="28"/>
            </w:pPr>
            <w:r>
              <w:rPr>
                <w:sz w:val="15"/>
                <w:szCs w:val="15"/>
              </w:rPr>
              <w:t xml:space="preserve">Internal failure (cut by 45%)</w:t>
            </w:r>
          </w:p>
        </w:tc>
        <w:tc>
          <w:tcPr>
            <w:tcW w:type="pct" w:w="2400"/>
            <w:tcMar>
              <w:top w:type="dxa" w:w="50"/>
              <w:left w:type="dxa" w:w="110"/>
              <w:bottom w:type="dxa" w:w="50"/>
              <w:right w:type="dxa" w:w="110"/>
            </w:tcMar>
          </w:tcPr>
          <w:p>
            <w:pPr>
              <w:spacing w:before="28" w:after="28"/>
            </w:pPr>
            <w:r>
              <w:rPr>
                <w:sz w:val="15"/>
                <w:szCs w:val="15"/>
              </w:rPr>
              <w:t xml:space="preserve">________</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400"/>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400"/>
            <w:tcMar>
              <w:top w:type="dxa" w:w="50"/>
              <w:left w:type="dxa" w:w="110"/>
              <w:bottom w:type="dxa" w:w="50"/>
              <w:right w:type="dxa" w:w="110"/>
            </w:tcMar>
          </w:tcPr>
          <w:p>
            <w:pPr>
              <w:spacing w:before="28" w:after="28"/>
            </w:pPr>
            <w:r>
              <w:rPr>
                <w:sz w:val="15"/>
                <w:szCs w:val="15"/>
              </w:rPr>
              <w:t xml:space="preserve">667,500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External failure (cut by 60%)   ·   Prevention   ·   Internal failure (cut by 45%)   ·   Total after the program</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16.4  The financial impact of quality improvement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supplier-certification</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Prevention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prevention</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External failure (cut by 60%)</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Prevention</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Total after the program</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Internal failure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Beverages plans a supplier-certification and process-control program. It adds $110,000 a year of prevention, cuts appraisal by $40,000, and is expected to cut internal failure by 45% and external failure by 60%.</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16.5  Extended Example 16A: the total impact on Beverages</w:t>
            </w:r>
          </w:p>
          <w:p>
            <w:pPr>
              <w:spacing w:before="0" w:after="46"/>
            </w:pPr>
            <w:r>
              <w:rPr>
                <w:color w:val="E8EAF6"/>
                <w:sz w:val="16"/>
                <w:szCs w:val="16"/>
              </w:rPr>
              <w:t xml:space="preserve">Chapter 16 · section 16.5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This example adds the quality program and the kaizen event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as the division manager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them to the board. </w:t>
      </w:r>
      <w:r>
        <w:rPr>
          <w:sz w:val="19"/>
          <w:szCs w:val="19"/>
        </w:rPr>
        <w:t xml:space="preserve">Cost of quality 2027: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$120,000, appraisal $180,000,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failure $250,000, external failure $400,000. </w:t>
      </w:r>
      <w:r>
        <w:rPr>
          <w:sz w:val="19"/>
          <w:szCs w:val="19"/>
        </w:rPr>
        <w:t xml:space="preserve">Improvements: the quality program (Section 16.4) and the changeover kaizen (Section 16.1).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presented   ·   prevention   ·   together   ·   internal   ·   compute</w:t>
            </w:r>
          </w:p>
        </w:tc>
      </w:tr>
    </w:tbl>
    <w:p/>
    <w:p>
      <w:pPr>
        <w:spacing w:before="44" w:after="10"/>
      </w:pPr>
      <w:r>
        <w:rPr>
          <w:b/>
          <w:bCs/>
          <w:color w:val="353A7C"/>
          <w:sz w:val="18"/>
          <w:szCs w:val="18"/>
        </w:rPr>
        <w:t xml:space="preserve">Extended Example: the total yearly financial impact</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Kaizen saving on changeovers   ·   Fall in failure costs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2</w:t>
      </w:r>
      <w:r>
        <w:rPr>
          <w:color w:val="6B7280"/>
          <w:sz w:val="16"/>
          <w:szCs w:val="16"/>
        </w:rPr>
        <w:t xml:space="preserve">      gaps 6–7</w:t>
      </w:r>
    </w:p>
    <w:p>
      <w:pPr>
        <w:spacing w:before="20" w:after="20" w:line="360" w:lineRule="auto"/>
        <w:ind w:left="200"/>
      </w:pPr>
      <w:r>
        <w:rPr>
          <w:sz w:val="19"/>
          <w:szCs w:val="19"/>
        </w:rPr>
        <w:t xml:space="preserve">Fall in failure costs $352,500 + fall in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$40,000 − extra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$110,000 = $282,500.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prevention   ·   quality   ·   appraisal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3</w:t>
      </w:r>
      <w:r>
        <w:rPr>
          <w:color w:val="6B7280"/>
          <w:sz w:val="16"/>
          <w:szCs w:val="16"/>
        </w:rPr>
        <w:t xml:space="preserve">      gaps 8–10</w:t>
      </w:r>
    </w:p>
    <w:p>
      <w:pPr>
        <w:spacing w:before="20" w:after="20" w:line="360" w:lineRule="auto"/>
        <w:ind w:left="200"/>
      </w:pPr>
      <w:r>
        <w:rPr>
          <w:sz w:val="19"/>
          <w:szCs w:val="19"/>
        </w:rPr>
        <w:t xml:space="preserve">Expect a list of quality costs to classify, then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that raises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or appraisal and lowers failure costs. </w:t>
      </w:r>
      <w:r>
        <w:rPr>
          <w:sz w:val="19"/>
          <w:szCs w:val="19"/>
        </w:rPr>
        <w:t xml:space="preserve">Classify first, then compute the new total; the answer is the net change, after the extra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together   ·   prevention   ·   spending   ·   proposal</w:t>
            </w:r>
          </w:p>
        </w:tc>
      </w:tr>
    </w:tbl>
    <w:p/>
    <w:p>
      <w:pPr>
        <w:pageBreakBefore w:val="true"/>
        <w:spacing w:after="0"/>
      </w:pPr>
      <w:r>
        <w:rPr>
          <w:sz w:val="2"/>
        </w:rPr>
        <w:t xml:space="preserve"> </w:t>
      </w:r>
    </w:p>
    <w:p>
      <w:pPr>
        <w:spacing w:before="44" w:after="10"/>
      </w:pPr>
      <w:r>
        <w:rPr>
          <w:b/>
          <w:bCs/>
          <w:color w:val="353A7C"/>
          <w:sz w:val="18"/>
          <w:szCs w:val="18"/>
        </w:rPr>
        <w:t xml:space="preserve">Exam view</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315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153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Scrapped batches   ·   Supplier audits   ·   Staff training in hygiene   ·   Handling customer complaints   ·   Returns from Barada</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Internal failure after the program</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(15)</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External failure after the program</w:t>
            </w:r>
          </w:p>
        </w:tc>
        <w:tc>
          <w:tcPr>
            <w:tcW w:type="pct" w:w="2400"/>
            <w:shd w:fill="FBFAF6" w:val="clear"/>
            <w:tcMar>
              <w:top w:type="dxa" w:w="50"/>
              <w:left w:type="dxa" w:w="110"/>
              <w:bottom w:type="dxa" w:w="50"/>
              <w:right w:type="dxa" w:w="110"/>
            </w:tcMar>
          </w:tcPr>
          <w:p>
            <w:pPr>
              <w:spacing w:before="28" w:after="28"/>
            </w:pPr>
            <w:r>
              <w:rPr>
                <w:sz w:val="15"/>
                <w:szCs w:val="15"/>
              </w:rPr>
              <w:t xml:space="preserve">$400,000 × (100% − 60%) = $160,000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$250,000 × (100% − 45%) = $137,500   ·   $400,000 × (100% − 60%) = $160,000</w:t>
            </w:r>
          </w:p>
        </w:tc>
      </w:tr>
    </w:tbl>
    <w:p/>
    <w:p>
      <w:pPr>
        <w:spacing w:before="44" w:after="10"/>
      </w:pPr>
      <w:r>
        <w:rPr>
          <w:b/>
          <w:bCs/>
          <w:color w:val="353A7C"/>
          <w:sz w:val="18"/>
          <w:szCs w:val="18"/>
        </w:rPr>
        <w:t xml:space="preserve">Quality cost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9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976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Lost sales after a recall (estimate)   ·   appraisal costs   ·   Final inspection of jars   ·   Returns from Barada   ·   Scrapped batches   ·   Supplier audits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of quality   ·   continuous improvement   ·   prevention costs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cost of quality</w:t>
            </w:r>
          </w:p>
        </w:tc>
        <w:tc>
          <w:tcPr>
            <w:tcW w:type="pct" w:w="2400"/>
            <w:tcMar>
              <w:top w:type="dxa" w:w="50"/>
              <w:left w:type="dxa" w:w="110"/>
              <w:bottom w:type="dxa" w:w="50"/>
              <w:right w:type="dxa" w:w="110"/>
            </w:tcMar>
          </w:tcPr>
          <w:p>
            <w:pPr>
              <w:spacing w:before="26" w:after="26"/>
            </w:pPr>
            <w:r>
              <w:rPr>
                <w:color w:val="232733"/>
                <w:sz w:val="16"/>
                <w:szCs w:val="16"/>
              </w:rPr>
              <w:t xml:space="preserve">تكاليف الجودة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prevention costs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تكاليف الوقاية</w:t>
            </w:r>
          </w:p>
        </w:tc>
      </w:tr>
      <w:tr>
        <w:tc>
          <w:tcPr>
            <w:tcW w:type="pct" w:w="2600"/>
            <w:tcMar>
              <w:top w:type="dxa" w:w="50"/>
              <w:left w:type="dxa" w:w="110"/>
              <w:bottom w:type="dxa" w:w="50"/>
              <w:right w:type="dxa" w:w="110"/>
            </w:tcMar>
          </w:tcPr>
          <w:p>
            <w:pPr>
              <w:spacing w:before="26" w:after="26"/>
            </w:pPr>
            <w:r>
              <w:rPr>
                <w:color w:val="232733"/>
                <w:sz w:val="16"/>
                <w:szCs w:val="16"/>
              </w:rPr>
              <w:t xml:space="preserve">external failure costs</w:t>
            </w:r>
          </w:p>
        </w:tc>
        <w:tc>
          <w:tcPr>
            <w:tcW w:type="pct" w:w="2400"/>
            <w:tcMar>
              <w:top w:type="dxa" w:w="50"/>
              <w:left w:type="dxa" w:w="110"/>
              <w:bottom w:type="dxa" w:w="50"/>
              <w:right w:type="dxa" w:w="110"/>
            </w:tcMar>
          </w:tcPr>
          <w:p>
            <w:pPr>
              <w:spacing w:before="26" w:after="26"/>
            </w:pPr>
            <w:r>
              <w:rPr>
                <w:color w:val="232733"/>
                <w:sz w:val="16"/>
                <w:szCs w:val="16"/>
              </w:rPr>
              <w:t xml:space="preserve">تكاليف الفشل الخارجي</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16.5  Extended Example 16A: the total impact on Beverages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together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Staff training in hygiene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presented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Returns from Barada</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prevention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Handling customer complaints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internal</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$250,000 × (100% − 45%) = $137,500</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Fall in failure costs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Supplier audits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appraisal</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Final inspection of jars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prevention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Scrapped batches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proposal</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Returns from Barada</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prevention</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Lost sales after a recall (estimate)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spending</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cost of quality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Supplier audits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prevention costs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adds the quality program and the kaizen event together, as the division manager presented them to the board. Cost of quality 2027: prevention $120,000, appraisal $180,000, internal failure $250,000, external failure $400,000. Improvements: the quality program (Section 16.4) and the changeover kaizen (Section 16.1).</w:t>
      </w:r>
    </w:p>
    <w:p>
      <w:pPr>
        <w:spacing w:before="20" w:after="20"/>
        <w:ind w:left="240" w:hanging="240"/>
      </w:pPr>
      <w:r>
        <w:rPr>
          <w:b/>
          <w:bCs/>
          <w:color w:val="353A7C"/>
          <w:sz w:val="15"/>
          <w:szCs w:val="15"/>
        </w:rPr>
        <w:t xml:space="preserve">Summary 2   </w:t>
      </w:r>
      <w:r>
        <w:rPr>
          <w:color w:val="6B7280"/>
          <w:sz w:val="15"/>
          <w:szCs w:val="15"/>
        </w:rPr>
        <w:t xml:space="preserve">Fall in failure costs $352,500 + fall in appraisal $40,000 − extra prevention $110,000 = $282,500.</w:t>
      </w:r>
    </w:p>
    <w:p>
      <w:pPr>
        <w:spacing w:before="20" w:after="20"/>
        <w:ind w:left="240" w:hanging="240"/>
      </w:pPr>
      <w:r>
        <w:rPr>
          <w:b/>
          <w:bCs/>
          <w:color w:val="353A7C"/>
          <w:sz w:val="15"/>
          <w:szCs w:val="15"/>
        </w:rPr>
        <w:t xml:space="preserve">Summary 3   </w:t>
      </w:r>
      <w:r>
        <w:rPr>
          <w:color w:val="6B7280"/>
          <w:sz w:val="15"/>
          <w:szCs w:val="15"/>
        </w:rPr>
        <w:t xml:space="preserve">Expect a list of quality costs to classify, then a proposal that raises prevention or appraisal and lowers failure costs. Classify first, then compute the new total; the answer is the net change, after the extra spending.</w:t>
      </w:r>
    </w:p>
    <w:p>
      <w:pPr>
        <w:sectPr>
          <w:headerReference w:type="default" r:id="rIdHdr10"/>
          <w:pgSz w:w="11906" w:h="16838" w:orient="portrait"/>
          <w:pgMar w:top="1180" w:right="1000" w:bottom="900" w:left="1000" w:header="708" w:footer="708" w:gutter="0"/>
          <w:docGrid w:linePitch="360"/>
          <w:pgNumType w:start="1"/>
        </w:sectPr>
      </w:pPr>
    </w:p>
    <w:sectPr>
      <w:headerReference w:type="default" r:id="rIdHdr10"/>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16.1 · Continuous improvement techniques and quality</w:t>
          </w:r>
        </w:p>
      </w:tc>
      <w:tc>
        <w:tcPr>
          <w:tcW w:type="pct" w:w="1400"/>
          <w:tcMar>
            <w:top w:type="dxa" w:w="-30"/>
            <w:left w:type="dxa" w:w="30"/>
            <w:bottom w:type="dxa" w:w="-30"/>
            <w:right w:type="dxa" w:w="30"/>
          </w:tcMar>
        </w:tcPr>
        <w:p>
          <w:pPr>
            <w:jc w:val="right"/>
          </w:pPr>
          <w:r>
            <w:rPr>
              <w:color w:val="6B7280"/>
              <w:sz w:val="16"/>
              <w:szCs w:val="16"/>
            </w:rPr>
            <w:t xml:space="preserve">Handout 16.1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16.2 · Continuous improvement and ideal standards</w:t>
          </w:r>
        </w:p>
      </w:tc>
      <w:tc>
        <w:tcPr>
          <w:tcW w:type="pct" w:w="1400"/>
          <w:tcMar>
            <w:top w:type="dxa" w:w="-30"/>
            <w:left w:type="dxa" w:w="30"/>
            <w:bottom w:type="dxa" w:w="-30"/>
            <w:right w:type="dxa" w:w="30"/>
          </w:tcMar>
        </w:tcPr>
        <w:p>
          <w:pPr>
            <w:jc w:val="right"/>
          </w:pPr>
          <w:r>
            <w:rPr>
              <w:color w:val="6B7280"/>
              <w:sz w:val="16"/>
              <w:szCs w:val="16"/>
            </w:rPr>
            <w:t xml:space="preserve">Handout 16.2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16.3 · The four costs of quality</w:t>
          </w:r>
        </w:p>
      </w:tc>
      <w:tc>
        <w:tcPr>
          <w:tcW w:type="pct" w:w="1400"/>
          <w:tcMar>
            <w:top w:type="dxa" w:w="-30"/>
            <w:left w:type="dxa" w:w="30"/>
            <w:bottom w:type="dxa" w:w="-30"/>
            <w:right w:type="dxa" w:w="30"/>
          </w:tcMar>
        </w:tcPr>
        <w:p>
          <w:pPr>
            <w:jc w:val="right"/>
          </w:pPr>
          <w:r>
            <w:rPr>
              <w:color w:val="6B7280"/>
              <w:sz w:val="16"/>
              <w:szCs w:val="16"/>
            </w:rPr>
            <w:t xml:space="preserve">Handout 16.3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16.4 · The financial impact of quality improvement</w:t>
          </w:r>
        </w:p>
      </w:tc>
      <w:tc>
        <w:tcPr>
          <w:tcW w:type="pct" w:w="1400"/>
          <w:tcMar>
            <w:top w:type="dxa" w:w="-30"/>
            <w:left w:type="dxa" w:w="30"/>
            <w:bottom w:type="dxa" w:w="-30"/>
            <w:right w:type="dxa" w:w="30"/>
          </w:tcMar>
        </w:tcPr>
        <w:p>
          <w:pPr>
            <w:jc w:val="right"/>
          </w:pPr>
          <w:r>
            <w:rPr>
              <w:color w:val="6B7280"/>
              <w:sz w:val="16"/>
              <w:szCs w:val="16"/>
            </w:rPr>
            <w:t xml:space="preserve">Handout 16.4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16.5 · Extended Example 16A: the total impact on Beverages</w:t>
          </w:r>
        </w:p>
      </w:tc>
      <w:tc>
        <w:tcPr>
          <w:tcW w:type="pct" w:w="1400"/>
          <w:tcMar>
            <w:top w:type="dxa" w:w="-30"/>
            <w:left w:type="dxa" w:w="30"/>
            <w:bottom w:type="dxa" w:w="-30"/>
            <w:right w:type="dxa" w:w="30"/>
          </w:tcMar>
        </w:tcPr>
        <w:p>
          <w:pPr>
            <w:jc w:val="right"/>
          </w:pPr>
          <w:r>
            <w:rPr>
              <w:color w:val="6B7280"/>
              <w:sz w:val="16"/>
              <w:szCs w:val="16"/>
            </w:rPr>
            <w:t xml:space="preserve">Handout 16.5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832668cfca813dd2a21685f2486c83ef38408253.png" Type="http://schemas.openxmlformats.org/officeDocument/2006/relationships/image"/><Relationship Id="rId102" Target="media/f44dd53fbd2d9c252c4682aafff8ed0bed83ffcc.png" Type="http://schemas.openxmlformats.org/officeDocument/2006/relationships/image"/><Relationship Id="rId103" Target="media/6cdba917315aeb92a742432c24a0860254e14a83.png" Type="http://schemas.openxmlformats.org/officeDocument/2006/relationships/image"/><Relationship Id="rId104" Target="media/586cfea8417d29aa966e139c7056db9ec51d0435.png" Type="http://schemas.openxmlformats.org/officeDocument/2006/relationships/image"/><Relationship Id="rId105" Target="media/29d65267108205737b9d443ac41467d4c19b5aa9.png" Type="http://schemas.openxmlformats.org/officeDocument/2006/relationships/image"/><Relationship Id="rId106" Target="media/de1636e5bac4c00ae70ae84b3b122d7cbc1af527.png" Type="http://schemas.openxmlformats.org/officeDocument/2006/relationships/image"/><Relationship Id="rId107" Target="media/fa0916789b701c69fb42f292738f3bbaca599075.png" Type="http://schemas.openxmlformats.org/officeDocument/2006/relationships/image"/><Relationship Id="rId108" Target="media/16c66a19cb8b007416dd4b4fa98ada0a42f7594e.png" Type="http://schemas.openxmlformats.org/officeDocument/2006/relationships/image"/><Relationship Id="rId109" Target="media/372e7231d438468f32aa4466123d3a405ca4bb15.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2 · Chapter 16</dc:title>
  <dc:subject>Summary handouts</dc:subject>
  <cp:category>Student Book</cp:category>
</cp:coreProperties>
</file>