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the standard price of every input.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efficient   ·   Budgets   ·   conditions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same standards later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currently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allows for normal loss, rest, setups and normal downtime. </w:t>
      </w:r>
      <w:r>
        <w:rPr>
          <w:sz w:val="19"/>
          <w:szCs w:val="19"/>
        </w:rPr>
        <w:t xml:space="preserve">It is hard but possible for a trained team working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efficiently   ·   breakdowns   ·   working   ·   attainable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67"/>
        <w:gridCol w:w="2809"/>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337"/>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337"/>
            <w:tcMar>
              <w:top w:type="dxa" w:w="50"/>
              <w:left w:type="dxa" w:w="110"/>
              <w:bottom w:type="dxa" w:w="50"/>
              <w:right w:type="dxa" w:w="110"/>
            </w:tcMar>
          </w:tcPr>
          <w:p>
            <w:pPr>
              <w:spacing w:before="28" w:after="28"/>
            </w:pPr>
            <w:r>
              <w:rPr>
                <w:sz w:val="15"/>
                <w:szCs w:val="15"/>
              </w:rPr>
              <w:t xml:space="preserve">Allowances</w:t>
            </w:r>
          </w:p>
        </w:tc>
        <w:tc>
          <w:tcPr>
            <w:tcW w:type="pct" w:w="1463"/>
            <w:tcMar>
              <w:top w:type="dxa" w:w="50"/>
              <w:left w:type="dxa" w:w="110"/>
              <w:bottom w:type="dxa" w:w="50"/>
              <w:right w:type="dxa" w:w="110"/>
            </w:tcMar>
          </w:tcPr>
          <w:p>
            <w:pPr>
              <w:spacing w:before="28" w:after="28"/>
            </w:pPr>
            <w:r>
              <w:rPr>
                <w:sz w:val="15"/>
                <w:szCs w:val="15"/>
              </w:rPr>
              <w:t xml:space="preserve">None: perfect conditions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1463"/>
            <w:shd w:fill="FBFAF6" w:val="clear"/>
            <w:tcMar>
              <w:top w:type="dxa" w:w="50"/>
              <w:left w:type="dxa" w:w="110"/>
              <w:bottom w:type="dxa" w:w="50"/>
              <w:right w:type="dxa" w:w="110"/>
            </w:tcMar>
          </w:tcPr>
          <w:p>
            <w:pPr>
              <w:spacing w:before="28" w:after="28"/>
            </w:pPr>
            <w:r>
              <w:rPr>
                <w:sz w:val="15"/>
                <w:szCs w:val="15"/>
              </w:rPr>
              <w:t xml:space="preserve">0.040 hours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37"/>
            <w:tcMar>
              <w:top w:type="dxa" w:w="50"/>
              <w:left w:type="dxa" w:w="110"/>
              <w:bottom w:type="dxa" w:w="50"/>
              <w:right w:type="dxa" w:w="110"/>
            </w:tcMar>
          </w:tcPr>
          <w:p>
            <w:pPr>
              <w:spacing w:before="28" w:after="28"/>
            </w:pPr>
            <w:r>
              <w:rPr>
                <w:sz w:val="15"/>
                <w:szCs w:val="15"/>
              </w:rPr>
              <w:t xml:space="preserve">Labor cost per case</w:t>
            </w:r>
          </w:p>
        </w:tc>
        <w:tc>
          <w:tcPr>
            <w:tcW w:type="pct" w:w="1463"/>
            <w:tcMar>
              <w:top w:type="dxa" w:w="50"/>
              <w:left w:type="dxa" w:w="110"/>
              <w:bottom w:type="dxa" w:w="50"/>
              <w:right w:type="dxa" w:w="110"/>
            </w:tcMar>
          </w:tcPr>
          <w:p>
            <w:pPr>
              <w:spacing w:before="28" w:after="28"/>
            </w:pPr>
            <w:r>
              <w:rPr>
                <w:sz w:val="15"/>
                <w:szCs w:val="15"/>
              </w:rPr>
              <w:t xml:space="preserve">$0.48</w:t>
            </w:r>
          </w:p>
        </w:tc>
        <w:tc>
          <w:tcPr>
            <w:tcW w:type="pct" w:w="2200"/>
            <w:tcMar>
              <w:top w:type="dxa" w:w="50"/>
              <w:left w:type="dxa" w:w="110"/>
              <w:bottom w:type="dxa" w:w="50"/>
              <w:right w:type="dxa" w:w="110"/>
            </w:tcMar>
          </w:tcPr>
          <w:p>
            <w:pPr>
              <w:spacing w:before="28" w:after="28"/>
            </w:pPr>
            <w:r>
              <w:rPr>
                <w:sz w:val="15"/>
                <w:szCs w:val="15"/>
              </w:rPr>
              <w:t xml:space="preserve">$0.60</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Best use</w:t>
            </w:r>
          </w:p>
        </w:tc>
        <w:tc>
          <w:tcPr>
            <w:tcW w:type="pct" w:w="1463"/>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Budgets, product costs and judging performance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Shows the direction of improvement (Chapter 16)   ·   0.040 hours   ·   0.050 hours   ·   Normal loss, rest, setups, normal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Normal loss, rest, setups, normal downtime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0.050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attainable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Shows the direction of improvement (Chapter 16)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standard is set by management or engineers alone.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standard is set with the people who must meet it. </w:t>
      </w:r>
      <w:r>
        <w:rPr>
          <w:sz w:val="19"/>
          <w:szCs w:val="19"/>
        </w:rPr>
        <w:t xml:space="preserve">The juice labor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pointed out that the proposal had no time for cleaning between runs. </w:t>
      </w:r>
      <w:r>
        <w:rPr>
          <w:sz w:val="19"/>
          <w:szCs w:val="19"/>
        </w:rPr>
        <w:t xml:space="preserve">After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builds acceptance, because people help set the target. </w:t>
      </w:r>
      <w:r>
        <w:rPr>
          <w:sz w:val="19"/>
          <w:szCs w:val="19"/>
        </w:rPr>
        <w:t xml:space="preserve">The risk is padding: people may ask for easy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supervisors   ·   standards   ·   authoritative   ·   against   ·   decision   ·   participative   ·   started   ·   discussion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02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2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224"/>
            <w:tcMar>
              <w:top w:type="dxa" w:w="50"/>
              <w:left w:type="dxa" w:w="110"/>
              <w:bottom w:type="dxa" w:w="50"/>
              <w:right w:type="dxa" w:w="110"/>
            </w:tcMar>
          </w:tcPr>
          <w:p>
            <w:pPr>
              <w:spacing w:before="28" w:after="28"/>
            </w:pPr>
            <w:r>
              <w:rPr>
                <w:sz w:val="15"/>
                <w:szCs w:val="15"/>
              </w:rPr>
              <w:t xml:space="preserve">Who sets it</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Managers with the people who must meet it</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224"/>
            <w:tcMar>
              <w:top w:type="dxa" w:w="50"/>
              <w:left w:type="dxa" w:w="110"/>
              <w:bottom w:type="dxa" w:w="50"/>
              <w:right w:type="dxa" w:w="110"/>
            </w:tcMar>
          </w:tcPr>
          <w:p>
            <w:pPr>
              <w:spacing w:before="28" w:after="28"/>
            </w:pPr>
            <w:r>
              <w:rPr>
                <w:sz w:val="15"/>
                <w:szCs w:val="15"/>
              </w:rPr>
              <w:t xml:space="preserve">Strength</w:t>
            </w:r>
          </w:p>
        </w:tc>
        <w:tc>
          <w:tcPr>
            <w:tcW w:type="pct" w:w="1576"/>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Risk</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or engineers   ·   Realistic; people accept and own the standard   ·   Engineers proposed 0.045 hours   ·   Loose standards if people pad them; slower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authoritative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 or engineers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price standard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List price per liter</w:t>
            </w:r>
          </w:p>
        </w:tc>
        <w:tc>
          <w:tcPr>
            <w:tcW w:type="pct" w:w="2400"/>
            <w:tcMar>
              <w:top w:type="dxa" w:w="50"/>
              <w:left w:type="dxa" w:w="110"/>
              <w:bottom w:type="dxa" w:w="50"/>
              <w:right w:type="dxa" w:w="110"/>
            </w:tcMar>
          </w:tcPr>
          <w:p>
            <w:pPr>
              <w:spacing w:before="28" w:after="28"/>
            </w:pPr>
            <w:r>
              <w:rPr>
                <w:sz w:val="15"/>
                <w:szCs w:val="15"/>
              </w:rPr>
              <w:t xml:space="preserve">$0.88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$(0.04)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$0.05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receiving and testing</w:t>
            </w:r>
          </w:p>
        </w:tc>
        <w:tc>
          <w:tcPr>
            <w:tcW w:type="pct" w:w="2400"/>
            <w:shd w:fill="FBFAF6" w:val="clear"/>
            <w:tcMar>
              <w:top w:type="dxa" w:w="50"/>
              <w:left w:type="dxa" w:w="110"/>
              <w:bottom w:type="dxa" w:w="50"/>
              <w:right w:type="dxa" w:w="110"/>
            </w:tcMar>
          </w:tcPr>
          <w:p>
            <w:pPr>
              <w:spacing w:before="28" w:after="28"/>
            </w:pPr>
            <w:r>
              <w:rPr>
                <w:sz w:val="15"/>
                <w:szCs w:val="15"/>
              </w:rPr>
              <w:t xml:space="preserve">$0.01</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$0.90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 freight to Amman   ·   Add: receiving and testing   ·   Price standard per liter   ·   Less: quantity discount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standard starts from the net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one case and allows for normal loss, such as tank residue and spillage on the line.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follows   ·   Abnormal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activity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15–17</w:t>
      </w:r>
    </w:p>
    <w:p>
      <w:pPr>
        <w:spacing w:before="20" w:after="20" w:line="360" w:lineRule="auto"/>
        <w:ind w:left="200"/>
      </w:pPr>
      <w:r>
        <w:rPr>
          <w:sz w:val="19"/>
          <w:szCs w:val="19"/>
        </w:rPr>
        <w:t xml:space="preserve">Exam options often use the list price, or the 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without normal loss, or the wage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correct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includes all normal costs of getting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standard   ·   supplier's   ·   benefits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price standard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Less: quantity discount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 freight to Amman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standard per liter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quantity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price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sets a standard by studying how the work should be done: time and motion studies, recipes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w:t>
      </w:r>
      <w:r>
        <w:rPr>
          <w:sz w:val="19"/>
          <w:szCs w:val="19"/>
        </w:rPr>
        <w:t xml:space="preserve">The juice time study found a basic time of 0.040 hours a case.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uses past results. </w:t>
      </w:r>
      <w:r>
        <w:rPr>
          <w:sz w:val="19"/>
          <w:szCs w:val="19"/>
        </w:rPr>
        <w:t xml:space="preserve">Over the last twelve months, labor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0.056 hours a case, and the best month reached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Historical   ·   techniques   ·   engineering   ·   practice   ·   averaged   ·   analysis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puts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one card and shows where each number came.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5.4 liters net ÷ 90% yield = 6.0 liters, at $0.90 a liter. </w:t>
      </w:r>
      <w:r>
        <w:rPr>
          <w:sz w:val="19"/>
          <w:szCs w:val="19"/>
        </w:rPr>
        <w:t xml:space="preserve">Bottles, caps and carton: from the Jordan Glass and supplier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0.050 hours at $12.00 an hour.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0.02 machine hours at the variable and fixed rates from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Concentrate   ·   contracts   ·   Direct   ·   Bottles   ·   Overhead   ·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43"/>
        <w:gridCol w:w="1292"/>
        <w:gridCol w:w="1055"/>
        <w:gridCol w:w="963"/>
        <w:gridCol w:w="314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637"/>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73"/>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50"/>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501"/>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639"/>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637"/>
            <w:tcMar>
              <w:top w:type="dxa" w:w="50"/>
              <w:left w:type="dxa" w:w="110"/>
              <w:bottom w:type="dxa" w:w="50"/>
              <w:right w:type="dxa" w:w="110"/>
            </w:tcMar>
          </w:tcPr>
          <w:p>
            <w:pPr>
              <w:spacing w:before="28" w:after="28"/>
            </w:pPr>
            <w:r>
              <w:rPr>
                <w:sz w:val="15"/>
                <w:szCs w:val="15"/>
              </w:rPr>
              <w:t xml:space="preserve">Concentrate</w:t>
            </w:r>
          </w:p>
        </w:tc>
        <w:tc>
          <w:tcPr>
            <w:tcW w:type="pct" w:w="673"/>
            <w:tcMar>
              <w:top w:type="dxa" w:w="50"/>
              <w:left w:type="dxa" w:w="110"/>
              <w:bottom w:type="dxa" w:w="50"/>
              <w:right w:type="dxa" w:w="110"/>
            </w:tcMar>
          </w:tcPr>
          <w:p>
            <w:pPr>
              <w:spacing w:before="28" w:after="28"/>
            </w:pPr>
            <w:r>
              <w:rPr>
                <w:sz w:val="15"/>
                <w:szCs w:val="15"/>
              </w:rPr>
              <w:t xml:space="preserve">6.0 liters</w:t>
            </w:r>
          </w:p>
        </w:tc>
        <w:tc>
          <w:tcPr>
            <w:tcW w:type="pct" w:w="550"/>
            <w:tcMar>
              <w:top w:type="dxa" w:w="50"/>
              <w:left w:type="dxa" w:w="110"/>
              <w:bottom w:type="dxa" w:w="50"/>
              <w:right w:type="dxa" w:w="110"/>
            </w:tcMar>
          </w:tcPr>
          <w:p>
            <w:pPr>
              <w:spacing w:before="28" w:after="28"/>
            </w:pPr>
            <w:r>
              <w:rPr>
                <w:sz w:val="15"/>
                <w:szCs w:val="15"/>
              </w:rPr>
              <w:t xml:space="preserve">$0.90</w:t>
            </w:r>
          </w:p>
        </w:tc>
        <w:tc>
          <w:tcPr>
            <w:tcW w:type="pct" w:w="501"/>
            <w:tcMar>
              <w:top w:type="dxa" w:w="50"/>
              <w:left w:type="dxa" w:w="110"/>
              <w:bottom w:type="dxa" w:w="50"/>
              <w:right w:type="dxa" w:w="110"/>
            </w:tcMar>
          </w:tcPr>
          <w:p>
            <w:pPr>
              <w:spacing w:before="28" w:after="28"/>
            </w:pPr>
            <w:r>
              <w:rPr>
                <w:sz w:val="15"/>
                <w:szCs w:val="15"/>
              </w:rPr>
              <w:t xml:space="preserve">$5.40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Bottles</w:t>
            </w:r>
          </w:p>
        </w:tc>
        <w:tc>
          <w:tcPr>
            <w:tcW w:type="pct" w:w="673"/>
            <w:shd w:fill="FBFAF6" w:val="clear"/>
            <w:tcMar>
              <w:top w:type="dxa" w:w="50"/>
              <w:left w:type="dxa" w:w="110"/>
              <w:bottom w:type="dxa" w:w="50"/>
              <w:right w:type="dxa" w:w="110"/>
            </w:tcMar>
          </w:tcPr>
          <w:p>
            <w:pPr>
              <w:spacing w:before="28" w:after="28"/>
            </w:pPr>
            <w:r>
              <w:rPr>
                <w:sz w:val="15"/>
                <w:szCs w:val="15"/>
              </w:rPr>
              <w:t xml:space="preserve">12</w:t>
            </w:r>
          </w:p>
        </w:tc>
        <w:tc>
          <w:tcPr>
            <w:tcW w:type="pct" w:w="550"/>
            <w:shd w:fill="FBFAF6" w:val="clear"/>
            <w:tcMar>
              <w:top w:type="dxa" w:w="50"/>
              <w:left w:type="dxa" w:w="110"/>
              <w:bottom w:type="dxa" w:w="50"/>
              <w:right w:type="dxa" w:w="110"/>
            </w:tcMar>
          </w:tcPr>
          <w:p>
            <w:pPr>
              <w:spacing w:before="28" w:after="28"/>
            </w:pPr>
            <w:r>
              <w:rPr>
                <w:sz w:val="15"/>
                <w:szCs w:val="15"/>
              </w:rPr>
              <w:t xml:space="preserve">$0.25</w:t>
            </w:r>
          </w:p>
        </w:tc>
        <w:tc>
          <w:tcPr>
            <w:tcW w:type="pct" w:w="501"/>
            <w:shd w:fill="FBFAF6" w:val="clear"/>
            <w:tcMar>
              <w:top w:type="dxa" w:w="50"/>
              <w:left w:type="dxa" w:w="110"/>
              <w:bottom w:type="dxa" w:w="50"/>
              <w:right w:type="dxa" w:w="110"/>
            </w:tcMar>
          </w:tcPr>
          <w:p>
            <w:pPr>
              <w:spacing w:before="28" w:after="28"/>
            </w:pPr>
            <w:r>
              <w:rPr>
                <w:sz w:val="15"/>
                <w:szCs w:val="15"/>
              </w:rPr>
              <w:t xml:space="preserve">$3.00</w:t>
            </w:r>
          </w:p>
        </w:tc>
        <w:tc>
          <w:tcPr>
            <w:tcW w:type="pct" w:w="1639"/>
            <w:shd w:fill="FBFAF6" w:val="clear"/>
            <w:tcMar>
              <w:top w:type="dxa" w:w="50"/>
              <w:left w:type="dxa" w:w="110"/>
              <w:bottom w:type="dxa" w:w="50"/>
              <w:right w:type="dxa" w:w="110"/>
            </w:tcMar>
          </w:tcPr>
          <w:p>
            <w:pPr>
              <w:spacing w:before="28" w:after="28"/>
            </w:pPr>
            <w:r>
              <w:rPr>
                <w:sz w:val="15"/>
                <w:szCs w:val="15"/>
              </w:rPr>
              <w:t xml:space="preserve">Jordan Glass contract</w:t>
            </w:r>
          </w:p>
        </w:tc>
      </w:tr>
      <w:tr>
        <w:tc>
          <w:tcPr>
            <w:tcW w:type="pct" w:w="1637"/>
            <w:tcMar>
              <w:top w:type="dxa" w:w="50"/>
              <w:left w:type="dxa" w:w="110"/>
              <w:bottom w:type="dxa" w:w="50"/>
              <w:right w:type="dxa" w:w="110"/>
            </w:tcMar>
          </w:tcPr>
          <w:p>
            <w:pPr>
              <w:spacing w:before="28" w:after="28"/>
            </w:pPr>
            <w:r>
              <w:rPr>
                <w:sz w:val="15"/>
                <w:szCs w:val="15"/>
              </w:rPr>
              <w:t xml:space="preserve">Caps and carton</w:t>
            </w:r>
          </w:p>
        </w:tc>
        <w:tc>
          <w:tcPr>
            <w:tcW w:type="pct" w:w="673"/>
            <w:tcMar>
              <w:top w:type="dxa" w:w="50"/>
              <w:left w:type="dxa" w:w="110"/>
              <w:bottom w:type="dxa" w:w="50"/>
              <w:right w:type="dxa" w:w="110"/>
            </w:tcMar>
          </w:tcPr>
          <w:p>
            <w:pPr>
              <w:spacing w:before="28" w:after="28"/>
            </w:pPr>
            <w:r>
              <w:rPr>
                <w:sz w:val="15"/>
                <w:szCs w:val="15"/>
              </w:rPr>
              <w:t xml:space="preserve">1</w:t>
            </w:r>
          </w:p>
        </w:tc>
        <w:tc>
          <w:tcPr>
            <w:tcW w:type="pct" w:w="550"/>
            <w:tcMar>
              <w:top w:type="dxa" w:w="50"/>
              <w:left w:type="dxa" w:w="110"/>
              <w:bottom w:type="dxa" w:w="50"/>
              <w:right w:type="dxa" w:w="110"/>
            </w:tcMar>
          </w:tcPr>
          <w:p>
            <w:pPr>
              <w:spacing w:before="28" w:after="28"/>
            </w:pPr>
            <w:r>
              <w:rPr>
                <w:sz w:val="15"/>
                <w:szCs w:val="15"/>
              </w:rPr>
              <w:t xml:space="preserve">$0.60</w:t>
            </w:r>
          </w:p>
        </w:tc>
        <w:tc>
          <w:tcPr>
            <w:tcW w:type="pct" w:w="501"/>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73"/>
            <w:shd w:fill="FBFAF6" w:val="clear"/>
            <w:tcMar>
              <w:top w:type="dxa" w:w="50"/>
              <w:left w:type="dxa" w:w="110"/>
              <w:bottom w:type="dxa" w:w="50"/>
              <w:right w:type="dxa" w:w="110"/>
            </w:tcMar>
          </w:tcPr>
          <w:p>
            <w:pPr>
              <w:spacing w:before="28" w:after="28"/>
            </w:pPr>
            <w:r>
              <w:rPr>
                <w:sz w:val="15"/>
                <w:szCs w:val="15"/>
              </w:rPr>
              <w:t xml:space="preserve">0.050 h</w:t>
            </w:r>
          </w:p>
        </w:tc>
        <w:tc>
          <w:tcPr>
            <w:tcW w:type="pct" w:w="550"/>
            <w:shd w:fill="FBFAF6" w:val="clear"/>
            <w:tcMar>
              <w:top w:type="dxa" w:w="50"/>
              <w:left w:type="dxa" w:w="110"/>
              <w:bottom w:type="dxa" w:w="50"/>
              <w:right w:type="dxa" w:w="110"/>
            </w:tcMar>
          </w:tcPr>
          <w:p>
            <w:pPr>
              <w:spacing w:before="28" w:after="28"/>
            </w:pPr>
            <w:r>
              <w:rPr>
                <w:sz w:val="15"/>
                <w:szCs w:val="15"/>
              </w:rPr>
              <w:t xml:space="preserve">$12.00</w:t>
            </w:r>
          </w:p>
        </w:tc>
        <w:tc>
          <w:tcPr>
            <w:tcW w:type="pct" w:w="501"/>
            <w:shd w:fill="FBFAF6" w:val="clear"/>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637"/>
            <w:tcMar>
              <w:top w:type="dxa" w:w="50"/>
              <w:left w:type="dxa" w:w="110"/>
              <w:bottom w:type="dxa" w:w="50"/>
              <w:right w:type="dxa" w:w="110"/>
            </w:tcMar>
          </w:tcPr>
          <w:p>
            <w:pPr>
              <w:spacing w:before="28" w:after="28"/>
            </w:pPr>
            <w:r>
              <w:rPr>
                <w:sz w:val="15"/>
                <w:szCs w:val="15"/>
              </w:rPr>
              <w:t xml:space="preserve">Variable overhead</w:t>
            </w:r>
          </w:p>
        </w:tc>
        <w:tc>
          <w:tcPr>
            <w:tcW w:type="pct" w:w="67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50"/>
            <w:tcMar>
              <w:top w:type="dxa" w:w="50"/>
              <w:left w:type="dxa" w:w="110"/>
              <w:bottom w:type="dxa" w:w="50"/>
              <w:right w:type="dxa" w:w="110"/>
            </w:tcMar>
          </w:tcPr>
          <w:p>
            <w:pPr>
              <w:spacing w:before="28" w:after="28"/>
            </w:pPr>
            <w:r>
              <w:rPr>
                <w:sz w:val="15"/>
                <w:szCs w:val="15"/>
              </w:rPr>
              <w:t xml:space="preserve">$50.00</w:t>
            </w:r>
          </w:p>
        </w:tc>
        <w:tc>
          <w:tcPr>
            <w:tcW w:type="pct" w:w="501"/>
            <w:tcMar>
              <w:top w:type="dxa" w:w="50"/>
              <w:left w:type="dxa" w:w="110"/>
              <w:bottom w:type="dxa" w:w="50"/>
              <w:right w:type="dxa" w:w="110"/>
            </w:tcMar>
          </w:tcPr>
          <w:p>
            <w:pPr>
              <w:spacing w:before="28" w:after="28"/>
            </w:pPr>
            <w:r>
              <w:rPr>
                <w:sz w:val="15"/>
                <w:szCs w:val="15"/>
              </w:rPr>
              <w:t xml:space="preserve">$1.00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73"/>
            <w:shd w:fill="FBFAF6" w:val="clear"/>
            <w:tcMar>
              <w:top w:type="dxa" w:w="50"/>
              <w:left w:type="dxa" w:w="110"/>
              <w:bottom w:type="dxa" w:w="50"/>
              <w:right w:type="dxa" w:w="110"/>
            </w:tcMar>
          </w:tcPr>
          <w:p>
            <w:pPr>
              <w:spacing w:before="28" w:after="28"/>
            </w:pPr>
            <w:r>
              <w:rPr>
                <w:sz w:val="15"/>
                <w:szCs w:val="15"/>
              </w:rPr>
              <w:t xml:space="preserve">0.02 MH</w:t>
            </w:r>
          </w:p>
        </w:tc>
        <w:tc>
          <w:tcPr>
            <w:tcW w:type="pct" w:w="550"/>
            <w:shd w:fill="FBFAF6" w:val="clear"/>
            <w:tcMar>
              <w:top w:type="dxa" w:w="50"/>
              <w:left w:type="dxa" w:w="110"/>
              <w:bottom w:type="dxa" w:w="50"/>
              <w:right w:type="dxa" w:w="110"/>
            </w:tcMar>
          </w:tcPr>
          <w:p>
            <w:pPr>
              <w:spacing w:before="28" w:after="28"/>
            </w:pPr>
            <w:r>
              <w:rPr>
                <w:sz w:val="15"/>
                <w:szCs w:val="15"/>
              </w:rPr>
              <w:t xml:space="preserve">$100.00</w:t>
            </w:r>
          </w:p>
        </w:tc>
        <w:tc>
          <w:tcPr>
            <w:tcW w:type="pct" w:w="501"/>
            <w:shd w:fill="FBFAF6" w:val="clear"/>
            <w:tcMar>
              <w:top w:type="dxa" w:w="50"/>
              <w:left w:type="dxa" w:w="110"/>
              <w:bottom w:type="dxa" w:w="50"/>
              <w:right w:type="dxa" w:w="110"/>
            </w:tcMar>
          </w:tcPr>
          <w:p>
            <w:pPr>
              <w:spacing w:before="28" w:after="28"/>
            </w:pPr>
            <w:r>
              <w:rPr>
                <w:sz w:val="15"/>
                <w:szCs w:val="15"/>
              </w:rPr>
              <w:t xml:space="preserve">$2.00</w:t>
            </w:r>
          </w:p>
        </w:tc>
        <w:tc>
          <w:tcPr>
            <w:tcW w:type="pct" w:w="1639"/>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637"/>
            <w:tcMar>
              <w:top w:type="dxa" w:w="50"/>
              <w:left w:type="dxa" w:w="110"/>
              <w:bottom w:type="dxa" w:w="50"/>
              <w:right w:type="dxa" w:w="110"/>
            </w:tcMar>
          </w:tcPr>
          <w:p>
            <w:pPr>
              <w:spacing w:before="28" w:after="28"/>
            </w:pPr>
            <w:r>
              <w:rPr>
                <w:sz w:val="15"/>
                <w:szCs w:val="15"/>
              </w:rPr>
              <w:t xml:space="preserve">Standard cost per case</w:t>
            </w:r>
          </w:p>
        </w:tc>
        <w:tc>
          <w:tcPr>
            <w:tcW w:type="pct" w:w="673"/>
            <w:tcMar>
              <w:top w:type="dxa" w:w="50"/>
              <w:left w:type="dxa" w:w="110"/>
              <w:bottom w:type="dxa" w:w="50"/>
              <w:right w:type="dxa" w:w="110"/>
            </w:tcMar>
          </w:tcPr>
          <w:p>
            <w:pPr>
              <w:spacing w:before="28" w:after="28"/>
            </w:pPr>
            <w:r>
              <w:rPr>
                <w:sz w:val="15"/>
                <w:szCs w:val="15"/>
              </w:rPr>
              <w:t xml:space="preserve"> </w:t>
            </w:r>
          </w:p>
        </w:tc>
        <w:tc>
          <w:tcPr>
            <w:tcW w:type="pct" w:w="550"/>
            <w:tcMar>
              <w:top w:type="dxa" w:w="50"/>
              <w:left w:type="dxa" w:w="110"/>
              <w:bottom w:type="dxa" w:w="50"/>
              <w:right w:type="dxa" w:w="110"/>
            </w:tcMar>
          </w:tcPr>
          <w:p>
            <w:pPr>
              <w:spacing w:before="28" w:after="28"/>
            </w:pPr>
            <w:r>
              <w:rPr>
                <w:sz w:val="15"/>
                <w:szCs w:val="15"/>
              </w:rPr>
              <w:t xml:space="preserve"> </w:t>
            </w:r>
          </w:p>
        </w:tc>
        <w:tc>
          <w:tcPr>
            <w:tcW w:type="pct" w:w="501"/>
            <w:tcMar>
              <w:top w:type="dxa" w:w="50"/>
              <w:left w:type="dxa" w:w="110"/>
              <w:bottom w:type="dxa" w:w="50"/>
              <w:right w:type="dxa" w:w="110"/>
            </w:tcMar>
          </w:tcPr>
          <w:p>
            <w:pPr>
              <w:spacing w:before="28" w:after="28"/>
            </w:pPr>
            <w:r>
              <w:rPr>
                <w:sz w:val="15"/>
                <w:szCs w:val="15"/>
              </w:rPr>
              <w:t xml:space="preserve">$12.60</w:t>
            </w:r>
          </w:p>
        </w:tc>
        <w:tc>
          <w:tcPr>
            <w:tcW w:type="pct" w:w="163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0.02 MH   ·   Supplier quote + yield study   ·   Supplier contract   ·   Time study + payroll   ·   Overhead budget (Chapter 8)   ·   standard cost card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Expect a list price,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standard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0.001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Assumes no waste, breaks or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Fixed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standard cost card   ·   currently attainable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Supplier quote + yield study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contract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currently attainable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activity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fc9c521bc9aa61c26e6c12b7a747aab53fcf003.png" Type="http://schemas.openxmlformats.org/officeDocument/2006/relationships/image"/><Relationship Id="rId102" Target="media/09c8a4274c833427430f61a3d9d93d43208b0e25.png" Type="http://schemas.openxmlformats.org/officeDocument/2006/relationships/image"/><Relationship Id="rId103" Target="media/0eb1af8a6d9489ff1d934521ff55e2dc39ba4781.png" Type="http://schemas.openxmlformats.org/officeDocument/2006/relationships/image"/><Relationship Id="rId104" Target="media/2a960d2c09d5673c5e578de7a3621b21e9afeaa0.png" Type="http://schemas.openxmlformats.org/officeDocument/2006/relationships/image"/><Relationship Id="rId105" Target="media/ce6ea2365adab2e85ec1a183fc27db6af46d2d5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18</dc:title>
  <dc:subject>Summary handouts</dc:subject>
  <cp:category>Student Book</cp:category>
</cp:coreProperties>
</file>