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officedocument.wordprocessingml.numbering+xml" PartName="/word/numbering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package.core-properties+xml" PartName="/docProps/cor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  <Override ContentType="application/vnd.openxmlformats-officedocument.wordprocessingml.header+xml" PartName="/word/header5.xml"/>
  <Override ContentType="application/vnd.openxmlformats-officedocument.wordprocessingml.header+xml" PartName="/word/header6.xml"/>
  <Override ContentType="application/vnd.openxmlformats-officedocument.wordprocessingml.header+xml" PartName="/word/header7.xml"/>
  <Override ContentType="application/vnd.openxmlformats-officedocument.wordprocessingml.header+xml" PartName="/word/header8.xml"/>
  <Override ContentType="application/vnd.openxmlformats-officedocument.wordprocessingml.header+xml" PartName="/word/header9.xml"/>
  <Override ContentType="application/vnd.openxmlformats-officedocument.wordprocessingml.header+xml" PartName="/word/header10.xml"/>
  <Override ContentType="application/vnd.openxmlformats-officedocument.wordprocessingml.header+xml" PartName="/word/header11.xml"/>
  <Override ContentType="application/vnd.openxmlformats-officedocument.wordprocessingml.header+xml" PartName="/word/header12.xml"/>
  <Override ContentType="application/vnd.openxmlformats-officedocument.wordprocessingml.header+xml" PartName="/word/header13.xml"/>
  <Override ContentType="application/vnd.openxmlformats-officedocument.wordprocessingml.header+xml" PartName="/word/header14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4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2.1  Analysing the external environment</w:t>
            </w:r>
          </w:p>
          <w:p>
            <w:pPr>
              <w:spacing w:before="0" w:after="46"/>
            </w:pPr>
            <w:r>
              <w:rPr>
                <w:color w:val="E8EAF6"/>
                <w:sz w:val="16"/>
                <w:szCs w:val="16"/>
              </w:rPr>
              <w:t xml:space="preserve">Chapter 2 · section 2.1</w:t>
            </w:r>
          </w:p>
        </w:tc>
      </w:tr>
    </w:tbl>
    <w:p/>
    <w:p>
      <w:pPr>
        <w:spacing w:before="10" w:after="40"/>
      </w:pPr>
      <w:r>
        <w:rPr>
          <w:color w:val="6B7280"/>
          <w:sz w:val="17"/>
          <w:szCs w:val="17"/>
        </w:rPr>
        <w:t xml:space="preserve">Fill every gap. Each word list holds one word more than there are gaps.</w:t>
      </w:r>
    </w:p>
    <w:p>
      <w:pPr>
        <w:spacing w:before="44" w:after="10"/>
      </w:pPr>
      <w:r>
        <w:rPr>
          <w:b/>
          <w:bCs/>
          <w:color w:val="353A7C"/>
          <w:sz w:val="18"/>
          <w:szCs w:val="18"/>
        </w:rPr>
        <w:t xml:space="preserve">Chapter 2, section by section</w:t>
      </w:r>
    </w:p>
    <w:p>
      <w:pPr>
        <w:spacing w:before="0" w:after="12"/>
      </w:pPr>
      <w:r>
        <w:rPr>
          <w:color w:val="6B7280"/>
          <w:sz w:val="15"/>
          <w:szCs w:val="15"/>
        </w:rPr>
        <w:t xml:space="preserve">Each stage leads to the next.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2927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92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Analysing the external environment   ·   SWOT and situational analysis   ·   Scenario planning and contingency planning   ·   Analysing the internal environment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1</w:t>
      </w:r>
      <w:r>
        <w:rPr>
          <w:color w:val="6B7280"/>
          <w:sz w:val="16"/>
          <w:szCs w:val="16"/>
        </w:rPr>
        <w:t xml:space="preserve">      gaps 4–12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External factors are outside the </w:t>
      </w:r>
      <w:r>
        <w:rPr>
          <w:b/>
          <w:bCs/>
          <w:color w:val="8186EF"/>
          <w:sz w:val="15"/>
          <w:szCs w:val="15"/>
        </w:rPr>
        <w:t xml:space="preserve"> (4)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control. </w:t>
      </w:r>
      <w:r>
        <w:rPr>
          <w:sz w:val="19"/>
          <w:szCs w:val="19"/>
        </w:rPr>
        <w:t xml:space="preserve">They create </w:t>
      </w:r>
      <w:r>
        <w:rPr>
          <w:b/>
          <w:bCs/>
          <w:color w:val="8186EF"/>
          <w:sz w:val="15"/>
          <w:szCs w:val="15"/>
        </w:rPr>
        <w:t xml:space="preserve"> (5)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to use and </w:t>
      </w:r>
      <w:r>
        <w:rPr>
          <w:b/>
          <w:bCs/>
          <w:color w:val="8186EF"/>
          <w:sz w:val="15"/>
          <w:szCs w:val="15"/>
        </w:rPr>
        <w:t xml:space="preserve"> (6)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to defend against. </w:t>
      </w:r>
      <w:r>
        <w:rPr>
          <w:sz w:val="19"/>
          <w:szCs w:val="19"/>
        </w:rPr>
        <w:t xml:space="preserve">A PEST analysis reviews four groups of them: </w:t>
      </w:r>
      <w:r>
        <w:rPr>
          <w:b/>
          <w:bCs/>
          <w:color w:val="8186EF"/>
          <w:sz w:val="15"/>
          <w:szCs w:val="15"/>
        </w:rPr>
        <w:t xml:space="preserve"> (7)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, economic, social and </w:t>
      </w:r>
      <w:r>
        <w:rPr>
          <w:b/>
          <w:bCs/>
          <w:color w:val="8186EF"/>
          <w:sz w:val="15"/>
          <w:szCs w:val="15"/>
        </w:rPr>
        <w:t xml:space="preserve"> (8)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factors. </w:t>
      </w:r>
      <w:r>
        <w:rPr>
          <w:sz w:val="19"/>
          <w:szCs w:val="19"/>
        </w:rPr>
        <w:t xml:space="preserve"/>
      </w:r>
      <w:r>
        <w:rPr>
          <w:b/>
          <w:bCs/>
          <w:color w:val="8186EF"/>
          <w:sz w:val="15"/>
          <w:szCs w:val="15"/>
        </w:rPr>
        <w:t xml:space="preserve"> (9)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five forces describe the industry itself: new entrants, </w:t>
      </w:r>
      <w:r>
        <w:rPr>
          <w:b/>
          <w:bCs/>
          <w:color w:val="8186EF"/>
          <w:sz w:val="15"/>
          <w:szCs w:val="15"/>
        </w:rPr>
        <w:t xml:space="preserve"> (10)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, buyers, substitutes and rivalry. </w:t>
      </w:r>
      <w:r>
        <w:rPr>
          <w:sz w:val="19"/>
          <w:szCs w:val="19"/>
        </w:rPr>
        <w:t xml:space="preserve">The </w:t>
      </w:r>
      <w:r>
        <w:rPr>
          <w:b/>
          <w:bCs/>
          <w:color w:val="8186EF"/>
          <w:sz w:val="15"/>
          <w:szCs w:val="15"/>
        </w:rPr>
        <w:t xml:space="preserve"> (11)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the forces, the </w:t>
      </w:r>
      <w:r>
        <w:rPr>
          <w:b/>
          <w:bCs/>
          <w:color w:val="8186EF"/>
          <w:sz w:val="15"/>
          <w:szCs w:val="15"/>
        </w:rPr>
        <w:t xml:space="preserve"> (12)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it is to earn a good profit. </w:t>
      </w:r>
      <w:r>
        <w:rPr>
          <w:sz w:val="19"/>
          <w:szCs w:val="19"/>
        </w:rPr>
        <w:t xml:space="preserve">In the juice market, rivalry is the strongest force and supplier power the weakest, partly because Jordan Glass, which supplies the bottles, is a company Orontes partly owns. </w:t>
      </w:r>
      <w:r>
        <w:rPr>
          <w:sz w:val="19"/>
          <w:szCs w:val="19"/>
        </w:rPr>
        <w:t xml:space="preserve">The external analysis therefore points to a threat from rivals and substitutes, and an opportunity in stable supply.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threats   ·   company's   ·   suppliers   ·   opportunities   ·   harder   ·   political   ·   Porter's   ·   weakest   ·   technological   ·   stronger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4"/>
          <w:left w:val="single" w:color="353A7C" w:sz="4"/>
          <w:bottom w:val="single" w:color="353A7C" w:sz="4"/>
          <w:right w:val="single" w:color="353A7C" w:sz="4"/>
          <w:insideH w:val="single" w:color="353A7C" w:sz="4"/>
          <w:insideV w:val="single" w:color="353A7C" w:sz="4"/>
        </w:tblBorders>
      </w:tblPr>
      <w:tblGrid>
        <w:gridCol w:w="9600"/>
      </w:tblGrid>
      <w:tr>
        <w:tc>
          <w:tcPr>
            <w:tcW w:type="pct" w:w="5000"/>
            <w:shd w:fill="F2F4FB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9"/>
                <w:szCs w:val="19"/>
              </w:rPr>
              <w:t xml:space="preserve">Strong forces, weak industry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2</w:t>
      </w:r>
      <w:r>
        <w:rPr>
          <w:color w:val="6B7280"/>
          <w:sz w:val="16"/>
          <w:szCs w:val="16"/>
        </w:rPr>
        <w:t xml:space="preserve">      gaps 13–14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A </w:t>
      </w:r>
      <w:r>
        <w:rPr>
          <w:b/>
          <w:bCs/>
          <w:color w:val="8186EF"/>
          <w:sz w:val="15"/>
          <w:szCs w:val="15"/>
        </w:rPr>
        <w:t xml:space="preserve"> (13)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force is bad news for profit. </w:t>
      </w:r>
      <w:r>
        <w:rPr>
          <w:sz w:val="19"/>
          <w:szCs w:val="19"/>
        </w:rPr>
        <w:t xml:space="preserve">An answer that calls a market with powerful buyers and many </w:t>
      </w:r>
      <w:r>
        <w:rPr>
          <w:b/>
          <w:bCs/>
          <w:color w:val="8186EF"/>
          <w:sz w:val="15"/>
          <w:szCs w:val="15"/>
        </w:rPr>
        <w:t xml:space="preserve"> (14)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'attractive' has read the forces backwards.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substitutes   ·   strong   ·   reviews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this sheet uses, and its Arabic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Arabic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PEST analysis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تحليل PEST (السياسي والاقتصادي والاجتماعي والتقني)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five forces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القوى الخمس</w:t>
            </w:r>
          </w:p>
        </w:tc>
      </w:tr>
    </w:tbl>
    <w:p/>
    <w:p>
      <w:pPr>
        <w:sectPr>
          <w:headerReference w:type="default" r:id="rIdHdr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Answer key · 2.1  Analysing the external environment</w:t>
            </w:r>
          </w:p>
        </w:tc>
      </w:tr>
    </w:tbl>
    <w:p/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  </w:t>
            </w:r>
            <w:r>
              <w:rPr>
                <w:sz w:val="16"/>
                <w:szCs w:val="16"/>
              </w:rPr>
              <w:t xml:space="preserve">Analysing the external environment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8  </w:t>
            </w:r>
            <w:r>
              <w:rPr>
                <w:sz w:val="16"/>
                <w:szCs w:val="16"/>
              </w:rPr>
              <w:t xml:space="preserve">technological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  </w:t>
            </w:r>
            <w:r>
              <w:rPr>
                <w:sz w:val="16"/>
                <w:szCs w:val="16"/>
              </w:rPr>
              <w:t xml:space="preserve">SWOT and situational analysis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9  </w:t>
            </w:r>
            <w:r>
              <w:rPr>
                <w:sz w:val="16"/>
                <w:szCs w:val="16"/>
              </w:rPr>
              <w:t xml:space="preserve">Porter's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3  </w:t>
            </w:r>
            <w:r>
              <w:rPr>
                <w:sz w:val="16"/>
                <w:szCs w:val="16"/>
              </w:rPr>
              <w:t xml:space="preserve">Scenario planning and contingency planning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10  </w:t>
            </w:r>
            <w:r>
              <w:rPr>
                <w:sz w:val="16"/>
                <w:szCs w:val="16"/>
              </w:rPr>
              <w:t xml:space="preserve">suppliers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4  </w:t>
            </w:r>
            <w:r>
              <w:rPr>
                <w:sz w:val="16"/>
                <w:szCs w:val="16"/>
              </w:rPr>
              <w:t xml:space="preserve">company's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11  </w:t>
            </w:r>
            <w:r>
              <w:rPr>
                <w:sz w:val="16"/>
                <w:szCs w:val="16"/>
              </w:rPr>
              <w:t xml:space="preserve">stronger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5  </w:t>
            </w:r>
            <w:r>
              <w:rPr>
                <w:sz w:val="16"/>
                <w:szCs w:val="16"/>
              </w:rPr>
              <w:t xml:space="preserve">opportunities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12  </w:t>
            </w:r>
            <w:r>
              <w:rPr>
                <w:sz w:val="16"/>
                <w:szCs w:val="16"/>
              </w:rPr>
              <w:t xml:space="preserve">harder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6  </w:t>
            </w:r>
            <w:r>
              <w:rPr>
                <w:sz w:val="16"/>
                <w:szCs w:val="16"/>
              </w:rPr>
              <w:t xml:space="preserve">threats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13  </w:t>
            </w:r>
            <w:r>
              <w:rPr>
                <w:sz w:val="16"/>
                <w:szCs w:val="16"/>
              </w:rPr>
              <w:t xml:space="preserve">strong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7  </w:t>
            </w:r>
            <w:r>
              <w:rPr>
                <w:sz w:val="16"/>
                <w:szCs w:val="16"/>
              </w:rPr>
              <w:t xml:space="preserve">political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14  </w:t>
            </w:r>
            <w:r>
              <w:rPr>
                <w:sz w:val="16"/>
                <w:szCs w:val="16"/>
              </w:rPr>
              <w:t xml:space="preserve">substitutes</w:t>
            </w:r>
          </w:p>
        </w:tc>
      </w:tr>
    </w:tbl>
    <w:p/>
    <w:p>
      <w:pPr>
        <w:spacing w:before="50" w:after="14"/>
      </w:pPr>
      <w:r>
        <w:rPr>
          <w:b/>
          <w:bCs/>
          <w:color w:val="353A7C"/>
          <w:sz w:val="18"/>
          <w:szCs w:val="18"/>
        </w:rPr>
        <w:t xml:space="preserve">the summaries in full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1   </w:t>
      </w:r>
      <w:r>
        <w:rPr>
          <w:color w:val="6B7280"/>
          <w:sz w:val="15"/>
          <w:szCs w:val="15"/>
        </w:rPr>
        <w:t xml:space="preserve">External factors are outside the company's control. They create opportunities to use and threats to defend against. A PEST analysis reviews four groups of them: political, economic, social and technological factors. Porter's five forces describe the industry itself: new entrants, suppliers, buyers, substitutes and rivalry. The stronger the forces, the harder it is to earn a good profit. In the juice market, rivalry is the strongest force and supplier power the weakest, partly because Jordan Glass, which supplies the bottles, is a company Orontes partly owns. The external analysis therefore points to a threat from rivals and substitutes, and an opportunity in stable supply.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2   </w:t>
      </w:r>
      <w:r>
        <w:rPr>
          <w:color w:val="6B7280"/>
          <w:sz w:val="15"/>
          <w:szCs w:val="15"/>
        </w:rPr>
        <w:t xml:space="preserve">A strong force is bad news for profit. An answer that calls a market with powerful buyers and many substitutes 'attractive' has read the forces backwards.</w:t>
      </w:r>
    </w:p>
    <w:p>
      <w:pPr>
        <w:sectPr>
          <w:headerReference w:type="default" r:id="rIdHdr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4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2.2  Analysing the internal environment</w:t>
            </w:r>
          </w:p>
          <w:p>
            <w:pPr>
              <w:spacing w:before="0" w:after="46"/>
            </w:pPr>
            <w:r>
              <w:rPr>
                <w:color w:val="E8EAF6"/>
                <w:sz w:val="16"/>
                <w:szCs w:val="16"/>
              </w:rPr>
              <w:t xml:space="preserve">Chapter 2 · section 2.2</w:t>
            </w:r>
          </w:p>
        </w:tc>
      </w:tr>
    </w:tbl>
    <w:p/>
    <w:p>
      <w:pPr>
        <w:spacing w:before="10" w:after="40"/>
      </w:pPr>
      <w:r>
        <w:rPr>
          <w:color w:val="6B7280"/>
          <w:sz w:val="17"/>
          <w:szCs w:val="17"/>
        </w:rPr>
        <w:t xml:space="preserve">Fill every gap. Each word list holds one word more than there are gaps.</w:t>
      </w:r>
    </w:p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1</w:t>
      </w:r>
      <w:r>
        <w:rPr>
          <w:color w:val="6B7280"/>
          <w:sz w:val="16"/>
          <w:szCs w:val="16"/>
        </w:rPr>
        <w:t xml:space="preserve">      gaps 1–2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Internal factors are the company's own resources and </w:t>
      </w:r>
      <w:r>
        <w:rPr>
          <w:b/>
          <w:bCs/>
          <w:color w:val="8186EF"/>
          <w:sz w:val="15"/>
          <w:szCs w:val="15"/>
        </w:rPr>
        <w:t xml:space="preserve"> (1)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: its brands, people, equipment, systems and the things it does well. </w:t>
      </w:r>
      <w:r>
        <w:rPr>
          <w:sz w:val="19"/>
          <w:szCs w:val="19"/>
        </w:rPr>
        <w:t xml:space="preserve">They show strengths to build on and </w:t>
      </w:r>
      <w:r>
        <w:rPr>
          <w:b/>
          <w:bCs/>
          <w:color w:val="8186EF"/>
          <w:sz w:val="15"/>
          <w:szCs w:val="15"/>
        </w:rPr>
        <w:t xml:space="preserve"> (2)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to fix.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capabilities   ·   machine   ·   weaknesses</w:t>
            </w:r>
          </w:p>
        </w:tc>
      </w:tr>
    </w:tbl>
    <w:p/>
    <w:p>
      <w:pPr>
        <w:spacing w:before="44" w:after="10"/>
      </w:pPr>
      <w:r>
        <w:rPr>
          <w:b/>
          <w:bCs/>
          <w:color w:val="353A7C"/>
          <w:sz w:val="18"/>
          <w:szCs w:val="18"/>
        </w:rPr>
        <w:t xml:space="preserve">Internal factors at Orontes</w:t>
      </w:r>
    </w:p>
    <w:p>
      <w:pPr>
        <w:spacing w:before="0" w:after="12"/>
      </w:pPr>
      <w:r>
        <w:rPr>
          <w:color w:val="6B7280"/>
          <w:sz w:val="15"/>
          <w:szCs w:val="15"/>
        </w:rPr>
        <w:t xml:space="preserve">Every item belongs to exactly one group.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1614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6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Capabilities   ·   Strength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2</w:t>
      </w:r>
      <w:r>
        <w:rPr>
          <w:color w:val="6B7280"/>
          <w:sz w:val="16"/>
          <w:szCs w:val="16"/>
        </w:rPr>
        <w:t xml:space="preserve">      gaps 4–8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A strength becomes a </w:t>
      </w:r>
      <w:r>
        <w:rPr>
          <w:b/>
          <w:bCs/>
          <w:color w:val="8186EF"/>
          <w:sz w:val="15"/>
          <w:szCs w:val="15"/>
        </w:rPr>
        <w:t xml:space="preserve"> (4)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advantage only if </w:t>
      </w:r>
      <w:r>
        <w:rPr>
          <w:b/>
          <w:bCs/>
          <w:color w:val="8186EF"/>
          <w:sz w:val="15"/>
          <w:szCs w:val="15"/>
        </w:rPr>
        <w:t xml:space="preserve"> (5)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value it, few rivals have it, and it is hard to copy. </w:t>
      </w:r>
      <w:r>
        <w:rPr>
          <w:sz w:val="19"/>
          <w:szCs w:val="19"/>
        </w:rPr>
        <w:t xml:space="preserve">The </w:t>
      </w:r>
      <w:r>
        <w:rPr>
          <w:b/>
          <w:bCs/>
          <w:color w:val="8186EF"/>
          <w:sz w:val="15"/>
          <w:szCs w:val="15"/>
        </w:rPr>
        <w:t xml:space="preserve"> (6)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tahini recipes and brand pass this test; a new </w:t>
      </w:r>
      <w:r>
        <w:rPr>
          <w:b/>
          <w:bCs/>
          <w:color w:val="8186EF"/>
          <w:sz w:val="15"/>
          <w:szCs w:val="15"/>
        </w:rPr>
        <w:t xml:space="preserve"> (7)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machine that any rival can buy does not. </w:t>
      </w:r>
      <w:r>
        <w:rPr>
          <w:sz w:val="19"/>
          <w:szCs w:val="19"/>
        </w:rPr>
        <w:t xml:space="preserve">The value chain of Book 2: it shows which </w:t>
      </w:r>
      <w:r>
        <w:rPr>
          <w:b/>
          <w:bCs/>
          <w:color w:val="8186EF"/>
          <w:sz w:val="15"/>
          <w:szCs w:val="15"/>
        </w:rPr>
        <w:t xml:space="preserve"> (8)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create the advantage and which only add cost.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Internal   ·   filling   ·   activities   ·   customers   ·   Orontes   ·   competitive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this sheet uses, and its Arabic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Arabic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competitive advantage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الميزة التنافسية</w:t>
            </w:r>
          </w:p>
        </w:tc>
      </w:tr>
    </w:tbl>
    <w:p/>
    <w:p>
      <w:pPr>
        <w:sectPr>
          <w:headerReference w:type="default" r:id="rIdHdr3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Answer key · 2.2  Analysing the internal environment</w:t>
            </w:r>
          </w:p>
        </w:tc>
      </w:tr>
    </w:tbl>
    <w:p/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  </w:t>
            </w:r>
            <w:r>
              <w:rPr>
                <w:sz w:val="16"/>
                <w:szCs w:val="16"/>
              </w:rPr>
              <w:t xml:space="preserve">capabilities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5  </w:t>
            </w:r>
            <w:r>
              <w:rPr>
                <w:sz w:val="16"/>
                <w:szCs w:val="16"/>
              </w:rPr>
              <w:t xml:space="preserve">customers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  </w:t>
            </w:r>
            <w:r>
              <w:rPr>
                <w:sz w:val="16"/>
                <w:szCs w:val="16"/>
              </w:rPr>
              <w:t xml:space="preserve">weaknesses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6  </w:t>
            </w:r>
            <w:r>
              <w:rPr>
                <w:sz w:val="16"/>
                <w:szCs w:val="16"/>
              </w:rPr>
              <w:t xml:space="preserve">Orontes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3  </w:t>
            </w:r>
            <w:r>
              <w:rPr>
                <w:sz w:val="16"/>
                <w:szCs w:val="16"/>
              </w:rPr>
              <w:t xml:space="preserve">Capabilities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7  </w:t>
            </w:r>
            <w:r>
              <w:rPr>
                <w:sz w:val="16"/>
                <w:szCs w:val="16"/>
              </w:rPr>
              <w:t xml:space="preserve">filling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4  </w:t>
            </w:r>
            <w:r>
              <w:rPr>
                <w:sz w:val="16"/>
                <w:szCs w:val="16"/>
              </w:rPr>
              <w:t xml:space="preserve">competitive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8  </w:t>
            </w:r>
            <w:r>
              <w:rPr>
                <w:sz w:val="16"/>
                <w:szCs w:val="16"/>
              </w:rPr>
              <w:t xml:space="preserve">activities</w:t>
            </w:r>
          </w:p>
        </w:tc>
      </w:tr>
    </w:tbl>
    <w:p/>
    <w:p>
      <w:pPr>
        <w:spacing w:before="50" w:after="14"/>
      </w:pPr>
      <w:r>
        <w:rPr>
          <w:b/>
          <w:bCs/>
          <w:color w:val="353A7C"/>
          <w:sz w:val="18"/>
          <w:szCs w:val="18"/>
        </w:rPr>
        <w:t xml:space="preserve">the summaries in full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1   </w:t>
      </w:r>
      <w:r>
        <w:rPr>
          <w:color w:val="6B7280"/>
          <w:sz w:val="15"/>
          <w:szCs w:val="15"/>
        </w:rPr>
        <w:t xml:space="preserve">Internal factors are the company's own resources and capabilities: its brands, people, equipment, systems and the things it does well. They show strengths to build on and weaknesses to fix.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2   </w:t>
      </w:r>
      <w:r>
        <w:rPr>
          <w:color w:val="6B7280"/>
          <w:sz w:val="15"/>
          <w:szCs w:val="15"/>
        </w:rPr>
        <w:t xml:space="preserve">A strength becomes a competitive advantage only if customers value it, few rivals have it, and it is hard to copy. The Orontes tahini recipes and brand pass this test; a new filling machine that any rival can buy does not. The value chain of Book 2: it shows which activities create the advantage and which only add cost.</w:t>
      </w:r>
    </w:p>
    <w:p>
      <w:pPr>
        <w:sectPr>
          <w:headerReference w:type="default" r:id="rIdHdr4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4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2.3  SWOT and situational analysis</w:t>
            </w:r>
          </w:p>
          <w:p>
            <w:pPr>
              <w:spacing w:before="0" w:after="46"/>
            </w:pPr>
            <w:r>
              <w:rPr>
                <w:color w:val="E8EAF6"/>
                <w:sz w:val="16"/>
                <w:szCs w:val="16"/>
              </w:rPr>
              <w:t xml:space="preserve">Chapter 2 · section 2.3</w:t>
            </w:r>
          </w:p>
        </w:tc>
      </w:tr>
    </w:tbl>
    <w:p/>
    <w:p>
      <w:pPr>
        <w:spacing w:before="10" w:after="40"/>
      </w:pPr>
      <w:r>
        <w:rPr>
          <w:color w:val="6B7280"/>
          <w:sz w:val="17"/>
          <w:szCs w:val="17"/>
        </w:rPr>
        <w:t xml:space="preserve">Fill every gap. Each word list holds one word more than there are gaps.</w:t>
      </w:r>
    </w:p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1</w:t>
      </w:r>
      <w:r>
        <w:rPr>
          <w:color w:val="6B7280"/>
          <w:sz w:val="16"/>
          <w:szCs w:val="16"/>
        </w:rPr>
        <w:t xml:space="preserve">      gaps 1–6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A SWOT analysis brings the two views </w:t>
      </w:r>
      <w:r>
        <w:rPr>
          <w:b/>
          <w:bCs/>
          <w:color w:val="8186EF"/>
          <w:sz w:val="15"/>
          <w:szCs w:val="15"/>
        </w:rPr>
        <w:t xml:space="preserve"> (1)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: strengths and weaknesses from inside, opportunities and threats from </w:t>
      </w:r>
      <w:r>
        <w:rPr>
          <w:b/>
          <w:bCs/>
          <w:color w:val="8186EF"/>
          <w:sz w:val="15"/>
          <w:szCs w:val="15"/>
        </w:rPr>
        <w:t xml:space="preserve"> (2)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. </w:t>
      </w:r>
      <w:r>
        <w:rPr>
          <w:sz w:val="19"/>
          <w:szCs w:val="19"/>
        </w:rPr>
        <w:t xml:space="preserve">A </w:t>
      </w:r>
      <w:r>
        <w:rPr>
          <w:b/>
          <w:bCs/>
          <w:color w:val="8186EF"/>
          <w:sz w:val="15"/>
          <w:szCs w:val="15"/>
        </w:rPr>
        <w:t xml:space="preserve"> (3)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analysis is the wider study of the </w:t>
      </w:r>
      <w:r>
        <w:rPr>
          <w:b/>
          <w:bCs/>
          <w:color w:val="8186EF"/>
          <w:sz w:val="15"/>
          <w:szCs w:val="15"/>
        </w:rPr>
        <w:t xml:space="preserve"> (4)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current position that feeds the SWOT. </w:t>
      </w:r>
      <w:r>
        <w:rPr>
          <w:sz w:val="19"/>
          <w:szCs w:val="19"/>
        </w:rPr>
        <w:t xml:space="preserve">The </w:t>
      </w:r>
      <w:r>
        <w:rPr>
          <w:b/>
          <w:bCs/>
          <w:color w:val="8186EF"/>
          <w:sz w:val="15"/>
          <w:szCs w:val="15"/>
        </w:rPr>
        <w:t xml:space="preserve"> (5)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step is the next one: match strengths to opportunities, for example the </w:t>
      </w:r>
      <w:r>
        <w:rPr>
          <w:b/>
          <w:bCs/>
          <w:color w:val="8186EF"/>
          <w:sz w:val="15"/>
          <w:szCs w:val="15"/>
        </w:rPr>
        <w:t xml:space="preserve"> (6)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brand to Gulf demand, and plan how to fix the weaknesses that expose the company to threats.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outside   ·   together   ·   opportunities   ·   situational   ·   useful   ·   company's   ·   tahini</w:t>
            </w:r>
          </w:p>
        </w:tc>
      </w:tr>
    </w:tbl>
    <w:p/>
    <w:p>
      <w:pPr>
        <w:spacing w:before="44" w:after="10"/>
      </w:pPr>
      <w:r>
        <w:rPr>
          <w:b/>
          <w:bCs/>
          <w:color w:val="353A7C"/>
          <w:sz w:val="18"/>
          <w:szCs w:val="18"/>
        </w:rPr>
        <w:t xml:space="preserve">The English this section uses, and its Arabic</w:t>
      </w:r>
    </w:p>
    <w:p>
      <w:pPr>
        <w:spacing w:before="0" w:after="12"/>
      </w:pPr>
      <w:r>
        <w:rPr>
          <w:color w:val="6B7280"/>
          <w:sz w:val="15"/>
          <w:szCs w:val="15"/>
        </w:rPr>
        <w:t xml:space="preserve">Each term sits against what it means.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2052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05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PEST analysis   ·   SWOT analysis   ·   situational analysis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this sheet uses, and its Arabic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Arabic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SWOT analysis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تحليل SWOT (القوة والضعف والفرص والتهديدات)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situational analysis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تحليل الموقف</w:t>
            </w:r>
          </w:p>
        </w:tc>
      </w:tr>
    </w:tbl>
    <w:p/>
    <w:p>
      <w:pPr>
        <w:sectPr>
          <w:headerReference w:type="default" r:id="rIdHdr5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Answer key · 2.3  SWOT and situational analysis</w:t>
            </w:r>
          </w:p>
        </w:tc>
      </w:tr>
    </w:tbl>
    <w:p/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  </w:t>
            </w:r>
            <w:r>
              <w:rPr>
                <w:sz w:val="16"/>
                <w:szCs w:val="16"/>
              </w:rPr>
              <w:t xml:space="preserve">together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5  </w:t>
            </w:r>
            <w:r>
              <w:rPr>
                <w:sz w:val="16"/>
                <w:szCs w:val="16"/>
              </w:rPr>
              <w:t xml:space="preserve">useful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  </w:t>
            </w:r>
            <w:r>
              <w:rPr>
                <w:sz w:val="16"/>
                <w:szCs w:val="16"/>
              </w:rPr>
              <w:t xml:space="preserve">outside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6  </w:t>
            </w:r>
            <w:r>
              <w:rPr>
                <w:sz w:val="16"/>
                <w:szCs w:val="16"/>
              </w:rPr>
              <w:t xml:space="preserve">tahini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3  </w:t>
            </w:r>
            <w:r>
              <w:rPr>
                <w:sz w:val="16"/>
                <w:szCs w:val="16"/>
              </w:rPr>
              <w:t xml:space="preserve">situational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7  </w:t>
            </w:r>
            <w:r>
              <w:rPr>
                <w:sz w:val="16"/>
                <w:szCs w:val="16"/>
              </w:rPr>
              <w:t xml:space="preserve">SWOT analysis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4  </w:t>
            </w:r>
            <w:r>
              <w:rPr>
                <w:sz w:val="16"/>
                <w:szCs w:val="16"/>
              </w:rPr>
              <w:t xml:space="preserve">company's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8  </w:t>
            </w:r>
            <w:r>
              <w:rPr>
                <w:sz w:val="16"/>
                <w:szCs w:val="16"/>
              </w:rPr>
              <w:t xml:space="preserve">situational analysis</w:t>
            </w:r>
          </w:p>
        </w:tc>
      </w:tr>
    </w:tbl>
    <w:p/>
    <w:p>
      <w:pPr>
        <w:spacing w:before="50" w:after="14"/>
      </w:pPr>
      <w:r>
        <w:rPr>
          <w:b/>
          <w:bCs/>
          <w:color w:val="353A7C"/>
          <w:sz w:val="18"/>
          <w:szCs w:val="18"/>
        </w:rPr>
        <w:t xml:space="preserve">the summaries in full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1   </w:t>
      </w:r>
      <w:r>
        <w:rPr>
          <w:color w:val="6B7280"/>
          <w:sz w:val="15"/>
          <w:szCs w:val="15"/>
        </w:rPr>
        <w:t xml:space="preserve">A SWOT analysis brings the two views together: strengths and weaknesses from inside, opportunities and threats from outside. A situational analysis is the wider study of the company's current position that feeds the SWOT. The useful step is the next one: match strengths to opportunities, for example the tahini brand to Gulf demand, and plan how to fix the weaknesses that expose the company to threats.</w:t>
      </w:r>
    </w:p>
    <w:p>
      <w:pPr>
        <w:sectPr>
          <w:headerReference w:type="default" r:id="rIdHdr6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4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2.4  Porter's generic strategies</w:t>
            </w:r>
          </w:p>
          <w:p>
            <w:pPr>
              <w:spacing w:before="0" w:after="46"/>
            </w:pPr>
            <w:r>
              <w:rPr>
                <w:color w:val="E8EAF6"/>
                <w:sz w:val="16"/>
                <w:szCs w:val="16"/>
              </w:rPr>
              <w:t xml:space="preserve">Chapter 2 · section 2.4</w:t>
            </w:r>
          </w:p>
        </w:tc>
      </w:tr>
    </w:tbl>
    <w:p/>
    <w:p>
      <w:pPr>
        <w:spacing w:before="10" w:after="40"/>
      </w:pPr>
      <w:r>
        <w:rPr>
          <w:color w:val="6B7280"/>
          <w:sz w:val="17"/>
          <w:szCs w:val="17"/>
        </w:rPr>
        <w:t xml:space="preserve">Fill every gap. Each word list holds one word more than there are gaps.</w:t>
      </w:r>
    </w:p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1</w:t>
      </w:r>
      <w:r>
        <w:rPr>
          <w:color w:val="6B7280"/>
          <w:sz w:val="16"/>
          <w:szCs w:val="16"/>
        </w:rPr>
        <w:t xml:space="preserve">      gaps 1–6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Porter </w:t>
      </w:r>
      <w:r>
        <w:rPr>
          <w:b/>
          <w:bCs/>
          <w:color w:val="8186EF"/>
          <w:sz w:val="15"/>
          <w:szCs w:val="15"/>
        </w:rPr>
        <w:t xml:space="preserve"> (1)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three ways to win. </w:t>
      </w:r>
      <w:r>
        <w:rPr>
          <w:sz w:val="19"/>
          <w:szCs w:val="19"/>
        </w:rPr>
        <w:t xml:space="preserve">Cost </w:t>
      </w:r>
      <w:r>
        <w:rPr>
          <w:b/>
          <w:bCs/>
          <w:color w:val="8186EF"/>
          <w:sz w:val="15"/>
          <w:szCs w:val="15"/>
        </w:rPr>
        <w:t xml:space="preserve"> (2)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sells at or near the market price with the </w:t>
      </w:r>
      <w:r>
        <w:rPr>
          <w:b/>
          <w:bCs/>
          <w:color w:val="8186EF"/>
          <w:sz w:val="15"/>
          <w:szCs w:val="15"/>
        </w:rPr>
        <w:t xml:space="preserve"> (3)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costs. </w:t>
      </w:r>
      <w:r>
        <w:rPr>
          <w:sz w:val="19"/>
          <w:szCs w:val="19"/>
        </w:rPr>
        <w:t xml:space="preserve"/>
      </w:r>
      <w:r>
        <w:rPr>
          <w:b/>
          <w:bCs/>
          <w:color w:val="8186EF"/>
          <w:sz w:val="15"/>
          <w:szCs w:val="15"/>
        </w:rPr>
        <w:t xml:space="preserve"> (4) </w:t>
      </w:r>
      <w:r>
        <w:rPr>
          <w:u w:val="single"/>
          <w:sz w:val="19"/>
          <w:szCs w:val="19"/>
        </w:rPr>
        <w:t xml:space="preserve">    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offers something </w:t>
      </w:r>
      <w:r>
        <w:rPr>
          <w:b/>
          <w:bCs/>
          <w:color w:val="8186EF"/>
          <w:sz w:val="15"/>
          <w:szCs w:val="15"/>
        </w:rPr>
        <w:t xml:space="preserve"> (5)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value and will pay more for. </w:t>
      </w:r>
      <w:r>
        <w:rPr>
          <w:sz w:val="19"/>
          <w:szCs w:val="19"/>
        </w:rPr>
        <w:t xml:space="preserve">A focus strategy serves a narrow segment, either at low cost or with a </w:t>
      </w:r>
      <w:r>
        <w:rPr>
          <w:b/>
          <w:bCs/>
          <w:color w:val="8186EF"/>
          <w:sz w:val="15"/>
          <w:szCs w:val="15"/>
        </w:rPr>
        <w:t xml:space="preserve"> (6)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. </w:t>
      </w:r>
      <w:r>
        <w:rPr>
          <w:sz w:val="19"/>
          <w:szCs w:val="19"/>
        </w:rPr>
        <w:t xml:space="preserve">Beverages competes on cost in the mass juice market; Oils differentiates with traced, cold-pressed oil; Tahini &amp; Spreads focuses on premium Gulf buyers and private label for Barada.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lowest   ·   described   ·   customers   ·   Beverages   ·   Differentiation   ·   leadership   ·   difference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3290"/>
        <w:gridCol w:w="2387"/>
        <w:gridCol w:w="3924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generic strategy of each Orontes unit</w:t>
            </w:r>
          </w:p>
        </w:tc>
      </w:tr>
      <w:tr>
        <w:tc>
          <w:tcPr>
            <w:tcW w:type="pct" w:w="1713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Unit</w:t>
            </w:r>
          </w:p>
        </w:tc>
        <w:tc>
          <w:tcPr>
            <w:tcW w:type="pct" w:w="1243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Generic strategy</w:t>
            </w:r>
          </w:p>
        </w:tc>
        <w:tc>
          <w:tcPr>
            <w:tcW w:type="pct" w:w="2044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How it competes</w:t>
            </w:r>
          </w:p>
        </w:tc>
      </w:tr>
      <w:tr>
        <w:tc>
          <w:tcPr>
            <w:tcW w:type="pct" w:w="17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Oils</w:t>
            </w:r>
          </w:p>
        </w:tc>
        <w:tc>
          <w:tcPr>
            <w:tcW w:type="pct" w:w="1243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(7)</w:t>
            </w:r>
          </w:p>
        </w:tc>
        <w:tc>
          <w:tcPr>
            <w:tcW w:type="pct" w:w="204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premium price for traced oil</w:t>
            </w:r>
          </w:p>
        </w:tc>
      </w:tr>
      <w:tr>
        <w:tc>
          <w:tcPr>
            <w:tcW w:type="pct" w:w="171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Tahini &amp; Spreads</w:t>
            </w:r>
          </w:p>
        </w:tc>
        <w:tc>
          <w:tcPr>
            <w:tcW w:type="pct" w:w="124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Focus</w:t>
            </w:r>
          </w:p>
        </w:tc>
        <w:tc>
          <w:tcPr>
            <w:tcW w:type="pct" w:w="2044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(8)</w:t>
            </w:r>
          </w:p>
        </w:tc>
      </w:tr>
      <w:tr>
        <w:tc>
          <w:tcPr>
            <w:tcW w:type="pct" w:w="17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Beverages</w:t>
            </w:r>
          </w:p>
        </w:tc>
        <w:tc>
          <w:tcPr>
            <w:tcW w:type="pct" w:w="124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Cost leadership</w:t>
            </w:r>
          </w:p>
        </w:tc>
        <w:tc>
          <w:tcPr>
            <w:tcW w:type="pct" w:w="2044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(9)</w:t>
            </w:r>
          </w:p>
        </w:tc>
      </w:tr>
      <w:tr>
        <w:tc>
          <w:tcPr>
            <w:tcW w:type="pct" w:w="171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Pulses &amp; Spices line</w:t>
            </w:r>
          </w:p>
        </w:tc>
        <w:tc>
          <w:tcPr>
            <w:tcW w:type="pct" w:w="124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Review</w:t>
            </w:r>
          </w:p>
        </w:tc>
        <w:tc>
          <w:tcPr>
            <w:tcW w:type="pct" w:w="2044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(10)</w:t>
            </w:r>
          </w:p>
        </w:tc>
      </w:tr>
    </w:tbl>
    <w:p/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competitive advantage   ·   Differentiation   ·   niche buyers: Gulf and private label   ·   lowest cost per case   ·   decide to fix or leave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2</w:t>
      </w:r>
      <w:r>
        <w:rPr>
          <w:color w:val="6B7280"/>
          <w:sz w:val="16"/>
          <w:szCs w:val="16"/>
        </w:rPr>
        <w:t xml:space="preserve">      gaps 11–12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A company that tries to be </w:t>
      </w:r>
      <w:r>
        <w:rPr>
          <w:b/>
          <w:bCs/>
          <w:color w:val="8186EF"/>
          <w:sz w:val="15"/>
          <w:szCs w:val="15"/>
        </w:rPr>
        <w:t xml:space="preserve"> (11)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and most special at the same time, </w:t>
      </w:r>
      <w:r>
        <w:rPr>
          <w:b/>
          <w:bCs/>
          <w:color w:val="8186EF"/>
          <w:sz w:val="15"/>
          <w:szCs w:val="15"/>
        </w:rPr>
        <w:t xml:space="preserve"> (12)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a clear choice, risks being 'stuck in the middle' and losing to rivals that chose.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cheapest   ·   middle'   ·   without</w:t>
            </w:r>
          </w:p>
        </w:tc>
      </w:tr>
    </w:tbl>
    <w:p/>
    <w:p>
      <w:pPr>
        <w:spacing w:before="44" w:after="10"/>
      </w:pPr>
      <w:r>
        <w:rPr>
          <w:b/>
          <w:bCs/>
          <w:color w:val="353A7C"/>
          <w:sz w:val="18"/>
          <w:szCs w:val="18"/>
        </w:rPr>
        <w:t xml:space="preserve">The English this section uses, and its Arabic</w:t>
      </w:r>
    </w:p>
    <w:p>
      <w:pPr>
        <w:spacing w:before="0" w:after="12"/>
      </w:pPr>
      <w:r>
        <w:rPr>
          <w:color w:val="6B7280"/>
          <w:sz w:val="15"/>
          <w:szCs w:val="15"/>
        </w:rPr>
        <w:t xml:space="preserve">Each term sits against what it means.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193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93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استراتيجية التركيز   ·   focus strategy   ·   cost leadership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759"/>
        <w:gridCol w:w="4841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this sheet uses, and its Arabic</w:t>
            </w:r>
          </w:p>
        </w:tc>
      </w:tr>
      <w:tr>
        <w:tc>
          <w:tcPr>
            <w:tcW w:type="pct" w:w="247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52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Arabic</w:t>
            </w:r>
          </w:p>
        </w:tc>
      </w:tr>
      <w:tr>
        <w:tc>
          <w:tcPr>
            <w:tcW w:type="pct" w:w="247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cost leadership</w:t>
            </w:r>
          </w:p>
        </w:tc>
        <w:tc>
          <w:tcPr>
            <w:tcW w:type="pct" w:w="252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ريادة التكلفة</w:t>
            </w:r>
          </w:p>
        </w:tc>
      </w:tr>
      <w:tr>
        <w:tc>
          <w:tcPr>
            <w:tcW w:type="pct" w:w="247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differentiation</w:t>
            </w:r>
          </w:p>
        </w:tc>
        <w:tc>
          <w:tcPr>
            <w:tcW w:type="pct" w:w="252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التمايز</w:t>
            </w:r>
          </w:p>
        </w:tc>
      </w:tr>
      <w:tr>
        <w:tc>
          <w:tcPr>
            <w:tcW w:type="pct" w:w="247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focus strategy</w:t>
            </w:r>
          </w:p>
        </w:tc>
        <w:tc>
          <w:tcPr>
            <w:tcW w:type="pct" w:w="252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استراتيجية التركيز</w:t>
            </w:r>
          </w:p>
        </w:tc>
      </w:tr>
    </w:tbl>
    <w:p/>
    <w:p>
      <w:pPr>
        <w:sectPr>
          <w:headerReference w:type="default" r:id="rIdHdr7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Answer key · 2.4  Porter's generic strategies</w:t>
            </w:r>
          </w:p>
        </w:tc>
      </w:tr>
    </w:tbl>
    <w:p/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  </w:t>
            </w:r>
            <w:r>
              <w:rPr>
                <w:sz w:val="16"/>
                <w:szCs w:val="16"/>
              </w:rPr>
              <w:t xml:space="preserve">described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8  </w:t>
            </w:r>
            <w:r>
              <w:rPr>
                <w:sz w:val="16"/>
                <w:szCs w:val="16"/>
              </w:rPr>
              <w:t xml:space="preserve">niche buyers: Gulf and private label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  </w:t>
            </w:r>
            <w:r>
              <w:rPr>
                <w:sz w:val="16"/>
                <w:szCs w:val="16"/>
              </w:rPr>
              <w:t xml:space="preserve">leadership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9  </w:t>
            </w:r>
            <w:r>
              <w:rPr>
                <w:sz w:val="16"/>
                <w:szCs w:val="16"/>
              </w:rPr>
              <w:t xml:space="preserve">lowest cost per case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3  </w:t>
            </w:r>
            <w:r>
              <w:rPr>
                <w:sz w:val="16"/>
                <w:szCs w:val="16"/>
              </w:rPr>
              <w:t xml:space="preserve">lowest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10  </w:t>
            </w:r>
            <w:r>
              <w:rPr>
                <w:sz w:val="16"/>
                <w:szCs w:val="16"/>
              </w:rPr>
              <w:t xml:space="preserve">decide to fix or leave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4  </w:t>
            </w:r>
            <w:r>
              <w:rPr>
                <w:sz w:val="16"/>
                <w:szCs w:val="16"/>
              </w:rPr>
              <w:t xml:space="preserve">Differentiation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11  </w:t>
            </w:r>
            <w:r>
              <w:rPr>
                <w:sz w:val="16"/>
                <w:szCs w:val="16"/>
              </w:rPr>
              <w:t xml:space="preserve">cheapest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5  </w:t>
            </w:r>
            <w:r>
              <w:rPr>
                <w:sz w:val="16"/>
                <w:szCs w:val="16"/>
              </w:rPr>
              <w:t xml:space="preserve">customers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12  </w:t>
            </w:r>
            <w:r>
              <w:rPr>
                <w:sz w:val="16"/>
                <w:szCs w:val="16"/>
              </w:rPr>
              <w:t xml:space="preserve">without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6  </w:t>
            </w:r>
            <w:r>
              <w:rPr>
                <w:sz w:val="16"/>
                <w:szCs w:val="16"/>
              </w:rPr>
              <w:t xml:space="preserve">difference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13  </w:t>
            </w:r>
            <w:r>
              <w:rPr>
                <w:sz w:val="16"/>
                <w:szCs w:val="16"/>
              </w:rPr>
              <w:t xml:space="preserve">cost leadership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7  </w:t>
            </w:r>
            <w:r>
              <w:rPr>
                <w:sz w:val="16"/>
                <w:szCs w:val="16"/>
              </w:rPr>
              <w:t xml:space="preserve">Differentiation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14  </w:t>
            </w:r>
            <w:r>
              <w:rPr>
                <w:sz w:val="16"/>
                <w:szCs w:val="16"/>
              </w:rPr>
              <w:t xml:space="preserve">focus strategy</w:t>
            </w:r>
          </w:p>
        </w:tc>
      </w:tr>
    </w:tbl>
    <w:p/>
    <w:p>
      <w:pPr>
        <w:spacing w:before="50" w:after="14"/>
      </w:pPr>
      <w:r>
        <w:rPr>
          <w:b/>
          <w:bCs/>
          <w:color w:val="353A7C"/>
          <w:sz w:val="18"/>
          <w:szCs w:val="18"/>
        </w:rPr>
        <w:t xml:space="preserve">the summaries in full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1   </w:t>
      </w:r>
      <w:r>
        <w:rPr>
          <w:color w:val="6B7280"/>
          <w:sz w:val="15"/>
          <w:szCs w:val="15"/>
        </w:rPr>
        <w:t xml:space="preserve">Porter described three ways to win. Cost leadership sells at or near the market price with the lowest costs. Differentiation offers something customers value and will pay more for. A focus strategy serves a narrow segment, either at low cost or with a difference. Beverages competes on cost in the mass juice market; Oils differentiates with traced, cold-pressed oil; Tahini &amp; Spreads focuses on premium Gulf buyers and private label for Barada.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2   </w:t>
      </w:r>
      <w:r>
        <w:rPr>
          <w:color w:val="6B7280"/>
          <w:sz w:val="15"/>
          <w:szCs w:val="15"/>
        </w:rPr>
        <w:t xml:space="preserve">A company that tries to be cheapest and most special at the same time, without a clear choice, risks being 'stuck in the middle' and losing to rivals that chose.</w:t>
      </w:r>
    </w:p>
    <w:p>
      <w:pPr>
        <w:sectPr>
          <w:headerReference w:type="default" r:id="rIdHdr8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4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2.5  Portfolio and competitive analysis</w:t>
            </w:r>
          </w:p>
          <w:p>
            <w:pPr>
              <w:spacing w:before="0" w:after="46"/>
            </w:pPr>
            <w:r>
              <w:rPr>
                <w:color w:val="E8EAF6"/>
                <w:sz w:val="16"/>
                <w:szCs w:val="16"/>
              </w:rPr>
              <w:t xml:space="preserve">Chapter 2 · section 2.5</w:t>
            </w:r>
          </w:p>
        </w:tc>
      </w:tr>
    </w:tbl>
    <w:p/>
    <w:p>
      <w:pPr>
        <w:spacing w:before="10" w:after="40"/>
      </w:pPr>
      <w:r>
        <w:rPr>
          <w:color w:val="6B7280"/>
          <w:sz w:val="17"/>
          <w:szCs w:val="17"/>
        </w:rPr>
        <w:t xml:space="preserve">Fill every gap. Each word list holds one word more than there are gaps.</w:t>
      </w:r>
    </w:p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1</w:t>
      </w:r>
      <w:r>
        <w:rPr>
          <w:color w:val="6B7280"/>
          <w:sz w:val="16"/>
          <w:szCs w:val="16"/>
        </w:rPr>
        <w:t xml:space="preserve">      gaps 1–3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The BCG </w:t>
      </w:r>
      <w:r>
        <w:rPr>
          <w:b/>
          <w:bCs/>
          <w:color w:val="8186EF"/>
          <w:sz w:val="15"/>
          <w:szCs w:val="15"/>
        </w:rPr>
        <w:t xml:space="preserve"> (1)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matrix places each business unit by market growth and relative market share: the unit's share divided by the share of its largest </w:t>
      </w:r>
      <w:r>
        <w:rPr>
          <w:b/>
          <w:bCs/>
          <w:color w:val="8186EF"/>
          <w:sz w:val="15"/>
          <w:szCs w:val="15"/>
        </w:rPr>
        <w:t xml:space="preserve"> (2)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. </w:t>
      </w:r>
      <w:r>
        <w:rPr>
          <w:sz w:val="19"/>
          <w:szCs w:val="19"/>
        </w:rPr>
        <w:t xml:space="preserve">Growth above 10.0% and relative share above 1.0 mark the </w:t>
      </w:r>
      <w:r>
        <w:rPr>
          <w:b/>
          <w:bCs/>
          <w:color w:val="8186EF"/>
          <w:sz w:val="15"/>
          <w:szCs w:val="15"/>
        </w:rPr>
        <w:t xml:space="preserve"> (3)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lines.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competitor   ·   dividing   ·   rival's   ·   growth-share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4"/>
          <w:left w:val="single" w:color="353A7C" w:sz="4"/>
          <w:bottom w:val="single" w:color="353A7C" w:sz="4"/>
          <w:right w:val="single" w:color="353A7C" w:sz="4"/>
          <w:insideH w:val="single" w:color="353A7C" w:sz="4"/>
          <w:insideV w:val="single" w:color="353A7C" w:sz="4"/>
        </w:tblBorders>
      </w:tblPr>
      <w:tblGrid>
        <w:gridCol w:w="9600"/>
      </w:tblGrid>
      <w:tr>
        <w:tc>
          <w:tcPr>
            <w:tcW w:type="pct" w:w="5000"/>
            <w:shd w:fill="F2F4FB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9"/>
                <w:szCs w:val="19"/>
              </w:rPr>
              <w:t xml:space="preserve">Worked example: placing Oils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2</w:t>
      </w:r>
      <w:r>
        <w:rPr>
          <w:color w:val="6B7280"/>
          <w:sz w:val="16"/>
          <w:szCs w:val="16"/>
        </w:rPr>
        <w:t xml:space="preserve">      gaps 4–6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Oils holds 22.0% of its market; the </w:t>
      </w:r>
      <w:r>
        <w:rPr>
          <w:b/>
          <w:bCs/>
          <w:color w:val="8186EF"/>
          <w:sz w:val="15"/>
          <w:szCs w:val="15"/>
        </w:rPr>
        <w:t xml:space="preserve"> (4)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rival holds 15.0%. </w:t>
      </w:r>
      <w:r>
        <w:rPr>
          <w:sz w:val="19"/>
          <w:szCs w:val="19"/>
        </w:rPr>
        <w:t xml:space="preserve"/>
      </w:r>
      <w:r>
        <w:rPr>
          <w:b/>
          <w:bCs/>
          <w:color w:val="8186EF"/>
          <w:sz w:val="15"/>
          <w:szCs w:val="15"/>
        </w:rPr>
        <w:t xml:space="preserve"> (5)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share = 22.0 ÷ 15.0 = 1.47. </w:t>
      </w:r>
      <w:r>
        <w:rPr>
          <w:sz w:val="19"/>
          <w:szCs w:val="19"/>
        </w:rPr>
        <w:t xml:space="preserve">The market grows 3.0% a year, below the line, so Oils is in the Cash cow </w:t>
      </w:r>
      <w:r>
        <w:rPr>
          <w:b/>
          <w:bCs/>
          <w:color w:val="8186EF"/>
          <w:sz w:val="15"/>
          <w:szCs w:val="15"/>
        </w:rPr>
        <w:t xml:space="preserve"> (6)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Relative   ·   quadrant   ·   business   ·   largest</w:t>
            </w:r>
          </w:p>
        </w:tc>
      </w:tr>
    </w:tbl>
    <w:p/>
    <w:p>
      <w:pPr>
        <w:spacing w:before="44" w:after="10"/>
      </w:pPr>
      <w:r>
        <w:rPr>
          <w:b/>
          <w:bCs/>
          <w:color w:val="353A7C"/>
          <w:sz w:val="18"/>
          <w:szCs w:val="18"/>
        </w:rPr>
        <w:t xml:space="preserve">Worked example: BCG data for the Orontes portfolio</w:t>
      </w:r>
    </w:p>
    <w:p>
      <w:pPr>
        <w:spacing w:before="0" w:after="12"/>
      </w:pPr>
      <w:r>
        <w:rPr>
          <w:color w:val="6B7280"/>
          <w:sz w:val="15"/>
          <w:szCs w:val="15"/>
        </w:rPr>
        <w:t xml:space="preserve">The bars are drawn to scale.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1946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94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Oils   ·   situational analysis   ·   Pulses &amp; Spices line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4"/>
          <w:left w:val="single" w:color="353A7C" w:sz="4"/>
          <w:bottom w:val="single" w:color="353A7C" w:sz="4"/>
          <w:right w:val="single" w:color="353A7C" w:sz="4"/>
          <w:insideH w:val="single" w:color="353A7C" w:sz="4"/>
          <w:insideV w:val="single" w:color="353A7C" w:sz="4"/>
        </w:tblBorders>
      </w:tblPr>
      <w:tblGrid>
        <w:gridCol w:w="9600"/>
      </w:tblGrid>
      <w:tr>
        <w:tc>
          <w:tcPr>
            <w:tcW w:type="pct" w:w="5000"/>
            <w:shd w:fill="F2F4FB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9"/>
                <w:szCs w:val="19"/>
              </w:rPr>
              <w:t xml:space="preserve">Placing Beverages and Pulses &amp; Spices</w:t>
            </w:r>
          </w:p>
        </w:tc>
      </w:tr>
    </w:tbl>
    <w:p/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Complete the blank cells. A competitive analysis looks closely at the main rivals.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870"/>
        <w:gridCol w:w="3160"/>
        <w:gridCol w:w="3570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Competitive analysis: Orontes Beverages and the largest juice producer</w:t>
            </w:r>
          </w:p>
        </w:tc>
      </w:tr>
      <w:tr>
        <w:tc>
          <w:tcPr>
            <w:tcW w:type="pct" w:w="1495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Juice market</w:t>
            </w:r>
          </w:p>
        </w:tc>
        <w:tc>
          <w:tcPr>
            <w:tcW w:type="pct" w:w="1646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Orontes Beverages</w:t>
            </w:r>
          </w:p>
        </w:tc>
        <w:tc>
          <w:tcPr>
            <w:tcW w:type="pct" w:w="1860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Largest rival</w:t>
            </w:r>
          </w:p>
        </w:tc>
      </w:tr>
      <w:tr>
        <w:tc>
          <w:tcPr>
            <w:tcW w:type="pct" w:w="149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Market share in Jordan</w:t>
            </w:r>
          </w:p>
        </w:tc>
        <w:tc>
          <w:tcPr>
            <w:tcW w:type="pct" w:w="164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8.0%</w:t>
            </w:r>
          </w:p>
        </w:tc>
        <w:tc>
          <w:tcPr>
            <w:tcW w:type="pct" w:w="186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25.0%</w:t>
            </w:r>
          </w:p>
        </w:tc>
      </w:tr>
      <w:tr>
        <w:tc>
          <w:tcPr>
            <w:tcW w:type="pct" w:w="149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Strategy</w:t>
            </w:r>
          </w:p>
        </w:tc>
        <w:tc>
          <w:tcPr>
            <w:tcW w:type="pct" w:w="164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Cost leadership</w:t>
            </w:r>
          </w:p>
        </w:tc>
        <w:tc>
          <w:tcPr>
            <w:tcW w:type="pct" w:w="186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(9)</w:t>
            </w:r>
          </w:p>
        </w:tc>
      </w:tr>
      <w:tr>
        <w:tc>
          <w:tcPr>
            <w:tcW w:type="pct" w:w="149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Strength</w:t>
            </w:r>
          </w:p>
        </w:tc>
        <w:tc>
          <w:tcPr>
            <w:tcW w:type="pct" w:w="1646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(10)</w:t>
            </w:r>
          </w:p>
        </w:tc>
        <w:tc>
          <w:tcPr>
            <w:tcW w:type="pct" w:w="186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Advertising budget; shelf space</w:t>
            </w:r>
          </w:p>
        </w:tc>
      </w:tr>
      <w:tr>
        <w:tc>
          <w:tcPr>
            <w:tcW w:type="pct" w:w="149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Weakness</w:t>
            </w:r>
          </w:p>
        </w:tc>
        <w:tc>
          <w:tcPr>
            <w:tcW w:type="pct" w:w="164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Small brand; few flavours</w:t>
            </w:r>
          </w:p>
        </w:tc>
        <w:tc>
          <w:tcPr>
            <w:tcW w:type="pct" w:w="186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(11)</w:t>
            </w:r>
          </w:p>
        </w:tc>
      </w:tr>
    </w:tbl>
    <w:p/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Low cost per case; Levant's distribution   ·   Higher costs   ·   Relative share   ·   Brand and wide range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4"/>
          <w:left w:val="single" w:color="353A7C" w:sz="4"/>
          <w:bottom w:val="single" w:color="353A7C" w:sz="4"/>
          <w:right w:val="single" w:color="353A7C" w:sz="4"/>
          <w:insideH w:val="single" w:color="353A7C" w:sz="4"/>
          <w:insideV w:val="single" w:color="353A7C" w:sz="4"/>
        </w:tblBorders>
      </w:tblPr>
      <w:tblGrid>
        <w:gridCol w:w="9600"/>
      </w:tblGrid>
      <w:tr>
        <w:tc>
          <w:tcPr>
            <w:tcW w:type="pct" w:w="5000"/>
            <w:shd w:fill="F2F4FB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9"/>
                <w:szCs w:val="19"/>
              </w:rPr>
              <w:t xml:space="preserve">Relative, not own, share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3</w:t>
      </w:r>
      <w:r>
        <w:rPr>
          <w:color w:val="6B7280"/>
          <w:sz w:val="16"/>
          <w:szCs w:val="16"/>
        </w:rPr>
        <w:t xml:space="preserve">      gaps 12–13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Beverages holds 8.0% of its market, but its </w:t>
      </w:r>
      <w:r>
        <w:rPr>
          <w:b/>
          <w:bCs/>
          <w:color w:val="8186EF"/>
          <w:sz w:val="15"/>
          <w:szCs w:val="15"/>
        </w:rPr>
        <w:t xml:space="preserve"> (12)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share is 0.32, not 0.08. </w:t>
      </w:r>
      <w:r>
        <w:rPr>
          <w:sz w:val="19"/>
          <w:szCs w:val="19"/>
        </w:rPr>
        <w:t xml:space="preserve">Always divide by the </w:t>
      </w:r>
      <w:r>
        <w:rPr>
          <w:b/>
          <w:bCs/>
          <w:color w:val="8186EF"/>
          <w:sz w:val="15"/>
          <w:szCs w:val="15"/>
        </w:rPr>
        <w:t xml:space="preserve"> (13)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rival's share.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dividing   ·   largest   ·   relative</w:t>
            </w:r>
          </w:p>
        </w:tc>
      </w:tr>
    </w:tbl>
    <w:p/>
    <w:p>
      <w:pPr>
        <w:spacing w:before="44" w:after="10"/>
      </w:pPr>
      <w:r>
        <w:rPr>
          <w:b/>
          <w:bCs/>
          <w:color w:val="353A7C"/>
          <w:sz w:val="18"/>
          <w:szCs w:val="18"/>
        </w:rPr>
        <w:t xml:space="preserve">The English this section uses, and its Arabic</w:t>
      </w:r>
    </w:p>
    <w:p>
      <w:pPr>
        <w:spacing w:before="0" w:after="12"/>
      </w:pPr>
      <w:r>
        <w:rPr>
          <w:color w:val="6B7280"/>
          <w:sz w:val="15"/>
          <w:szCs w:val="15"/>
        </w:rPr>
        <w:t xml:space="preserve">Each term sits against what it means.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2218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21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relative market share   ·   الحصة السوقية النسبية   ·   competitive analysis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this sheet uses, and its Arabic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Arabic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BCG growth-share matrix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مصفوفة النمو والحصة السوقية (BCG)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relative market share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الحصة السوقية النسبية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competitive analysis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تحليل المنافسين</w:t>
            </w:r>
          </w:p>
        </w:tc>
      </w:tr>
    </w:tbl>
    <w:p/>
    <w:p>
      <w:pPr>
        <w:sectPr>
          <w:headerReference w:type="default" r:id="rIdHdr9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Answer key · 2.5  Portfolio and competitive analysis</w:t>
            </w:r>
          </w:p>
        </w:tc>
      </w:tr>
    </w:tbl>
    <w:p/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  </w:t>
            </w:r>
            <w:r>
              <w:rPr>
                <w:sz w:val="16"/>
                <w:szCs w:val="16"/>
              </w:rPr>
              <w:t xml:space="preserve">growth-share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9  </w:t>
            </w:r>
            <w:r>
              <w:rPr>
                <w:sz w:val="16"/>
                <w:szCs w:val="16"/>
              </w:rPr>
              <w:t xml:space="preserve">Brand and wide range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  </w:t>
            </w:r>
            <w:r>
              <w:rPr>
                <w:sz w:val="16"/>
                <w:szCs w:val="16"/>
              </w:rPr>
              <w:t xml:space="preserve">competitor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10  </w:t>
            </w:r>
            <w:r>
              <w:rPr>
                <w:sz w:val="16"/>
                <w:szCs w:val="16"/>
              </w:rPr>
              <w:t xml:space="preserve">Low cost per case; Levant's distribution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3  </w:t>
            </w:r>
            <w:r>
              <w:rPr>
                <w:sz w:val="16"/>
                <w:szCs w:val="16"/>
              </w:rPr>
              <w:t xml:space="preserve">dividing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11  </w:t>
            </w:r>
            <w:r>
              <w:rPr>
                <w:sz w:val="16"/>
                <w:szCs w:val="16"/>
              </w:rPr>
              <w:t xml:space="preserve">Higher costs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4  </w:t>
            </w:r>
            <w:r>
              <w:rPr>
                <w:sz w:val="16"/>
                <w:szCs w:val="16"/>
              </w:rPr>
              <w:t xml:space="preserve">largest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12  </w:t>
            </w:r>
            <w:r>
              <w:rPr>
                <w:sz w:val="16"/>
                <w:szCs w:val="16"/>
              </w:rPr>
              <w:t xml:space="preserve">relative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5  </w:t>
            </w:r>
            <w:r>
              <w:rPr>
                <w:sz w:val="16"/>
                <w:szCs w:val="16"/>
              </w:rPr>
              <w:t xml:space="preserve">Relative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13  </w:t>
            </w:r>
            <w:r>
              <w:rPr>
                <w:sz w:val="16"/>
                <w:szCs w:val="16"/>
              </w:rPr>
              <w:t xml:space="preserve">largest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6  </w:t>
            </w:r>
            <w:r>
              <w:rPr>
                <w:sz w:val="16"/>
                <w:szCs w:val="16"/>
              </w:rPr>
              <w:t xml:space="preserve">quadrant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14  </w:t>
            </w:r>
            <w:r>
              <w:rPr>
                <w:sz w:val="16"/>
                <w:szCs w:val="16"/>
              </w:rPr>
              <w:t xml:space="preserve">relative market share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7  </w:t>
            </w:r>
            <w:r>
              <w:rPr>
                <w:sz w:val="16"/>
                <w:szCs w:val="16"/>
              </w:rPr>
              <w:t xml:space="preserve">Oils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15  </w:t>
            </w:r>
            <w:r>
              <w:rPr>
                <w:sz w:val="16"/>
                <w:szCs w:val="16"/>
              </w:rPr>
              <w:t xml:space="preserve">competitive analysis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8  </w:t>
            </w:r>
            <w:r>
              <w:rPr>
                <w:sz w:val="16"/>
                <w:szCs w:val="16"/>
              </w:rPr>
              <w:t xml:space="preserve">Pulses &amp; Spices line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24" w:after="24"/>
            </w:pPr>
            <w:r>
              <w:rPr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50" w:after="14"/>
      </w:pPr>
      <w:r>
        <w:rPr>
          <w:b/>
          <w:bCs/>
          <w:color w:val="353A7C"/>
          <w:sz w:val="18"/>
          <w:szCs w:val="18"/>
        </w:rPr>
        <w:t xml:space="preserve">the summaries in full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1   </w:t>
      </w:r>
      <w:r>
        <w:rPr>
          <w:color w:val="6B7280"/>
          <w:sz w:val="15"/>
          <w:szCs w:val="15"/>
        </w:rPr>
        <w:t xml:space="preserve">The BCG growth-share matrix places each business unit by market growth and relative market share: the unit's share divided by the share of its largest competitor. Growth above 10.0% and relative share above 1.0 mark the dividing lines.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2   </w:t>
      </w:r>
      <w:r>
        <w:rPr>
          <w:color w:val="6B7280"/>
          <w:sz w:val="15"/>
          <w:szCs w:val="15"/>
        </w:rPr>
        <w:t xml:space="preserve">Oils holds 22.0% of its market; the largest rival holds 15.0%. Relative share = 22.0 ÷ 15.0 = 1.47. The market grows 3.0% a year, below the line, so Oils is in the Cash cow quadrant.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3   </w:t>
      </w:r>
      <w:r>
        <w:rPr>
          <w:color w:val="6B7280"/>
          <w:sz w:val="15"/>
          <w:szCs w:val="15"/>
        </w:rPr>
        <w:t xml:space="preserve">Beverages holds 8.0% of its market, but its relative share is 0.32, not 0.08. Always divide by the largest rival's share.</w:t>
      </w:r>
    </w:p>
    <w:p>
      <w:pPr>
        <w:sectPr>
          <w:headerReference w:type="default" r:id="rIdHdr10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4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2.6  Scenario planning and contingency planning</w:t>
            </w:r>
          </w:p>
          <w:p>
            <w:pPr>
              <w:spacing w:before="0" w:after="46"/>
            </w:pPr>
            <w:r>
              <w:rPr>
                <w:color w:val="E8EAF6"/>
                <w:sz w:val="16"/>
                <w:szCs w:val="16"/>
              </w:rPr>
              <w:t xml:space="preserve">Chapter 2 · section 2.6</w:t>
            </w:r>
          </w:p>
        </w:tc>
      </w:tr>
    </w:tbl>
    <w:p/>
    <w:p>
      <w:pPr>
        <w:spacing w:before="10" w:after="40"/>
      </w:pPr>
      <w:r>
        <w:rPr>
          <w:color w:val="6B7280"/>
          <w:sz w:val="17"/>
          <w:szCs w:val="17"/>
        </w:rPr>
        <w:t xml:space="preserve">Fill every gap. Each word list holds one word more than there are gaps.</w:t>
      </w:r>
    </w:p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1</w:t>
      </w:r>
      <w:r>
        <w:rPr>
          <w:color w:val="6B7280"/>
          <w:sz w:val="16"/>
          <w:szCs w:val="16"/>
        </w:rPr>
        <w:t xml:space="preserve">      gaps 1–3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Scenario </w:t>
      </w:r>
      <w:r>
        <w:rPr>
          <w:b/>
          <w:bCs/>
          <w:color w:val="8186EF"/>
          <w:sz w:val="15"/>
          <w:szCs w:val="15"/>
        </w:rPr>
        <w:t xml:space="preserve"> (1)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prepares for several </w:t>
      </w:r>
      <w:r>
        <w:rPr>
          <w:b/>
          <w:bCs/>
          <w:color w:val="8186EF"/>
          <w:sz w:val="15"/>
          <w:szCs w:val="15"/>
        </w:rPr>
        <w:t xml:space="preserve"> (2)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futures instead of one forecast. </w:t>
      </w:r>
      <w:r>
        <w:rPr>
          <w:sz w:val="19"/>
          <w:szCs w:val="19"/>
        </w:rPr>
        <w:t xml:space="preserve">For tahini exports in 2032, the board </w:t>
      </w:r>
      <w:r>
        <w:rPr>
          <w:b/>
          <w:bCs/>
          <w:color w:val="8186EF"/>
          <w:sz w:val="15"/>
          <w:szCs w:val="15"/>
        </w:rPr>
        <w:t xml:space="preserve"> (3)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three scenarios, from open Gulf and EU markets to a new EU import tariff.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planning   ·   possible   ·   considers   ·   Contingency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3921"/>
        <w:gridCol w:w="1455"/>
        <w:gridCol w:w="4224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Tahini export scenarios for 2030 and the contingency trigger</w:t>
            </w:r>
          </w:p>
        </w:tc>
      </w:tr>
      <w:tr>
        <w:tc>
          <w:tcPr>
            <w:tcW w:type="pct" w:w="2042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Scenario for tahini exports, 2030</w:t>
            </w:r>
          </w:p>
        </w:tc>
        <w:tc>
          <w:tcPr>
            <w:tcW w:type="pct" w:w="758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Operating income (USD)</w:t>
            </w:r>
          </w:p>
        </w:tc>
        <w:tc>
          <w:tcPr>
            <w:tcW w:type="pct" w:w="2200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Response</w:t>
            </w:r>
          </w:p>
        </w:tc>
      </w:tr>
      <w:tr>
        <w:tc>
          <w:tcPr>
            <w:tcW w:type="pct" w:w="204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Open Gulf and EU markets</w:t>
            </w:r>
          </w:p>
        </w:tc>
        <w:tc>
          <w:tcPr>
            <w:tcW w:type="pct" w:w="75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2,400,000</w:t>
            </w:r>
          </w:p>
        </w:tc>
        <w:tc>
          <w:tcPr>
            <w:tcW w:type="pct" w:w="22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no action</w:t>
            </w:r>
          </w:p>
        </w:tc>
      </w:tr>
      <w:tr>
        <w:tc>
          <w:tcPr>
            <w:tcW w:type="pct" w:w="204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Gulf growth as planned</w:t>
            </w:r>
          </w:p>
        </w:tc>
        <w:tc>
          <w:tcPr>
            <w:tcW w:type="pct" w:w="75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1,800,000</w:t>
            </w:r>
          </w:p>
        </w:tc>
        <w:tc>
          <w:tcPr>
            <w:tcW w:type="pct" w:w="22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(4)</w:t>
            </w:r>
          </w:p>
        </w:tc>
      </w:tr>
      <w:tr>
        <w:tc>
          <w:tcPr>
            <w:tcW w:type="pct" w:w="204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New EU import tariff</w:t>
            </w:r>
          </w:p>
        </w:tc>
        <w:tc>
          <w:tcPr>
            <w:tcW w:type="pct" w:w="75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900,000</w:t>
            </w:r>
          </w:p>
        </w:tc>
        <w:tc>
          <w:tcPr>
            <w:tcW w:type="pct" w:w="22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(5)</w:t>
            </w:r>
          </w:p>
        </w:tc>
      </w:tr>
      <w:tr>
        <w:tc>
          <w:tcPr>
            <w:tcW w:type="pct" w:w="204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Contingency trigger</w:t>
            </w:r>
          </w:p>
        </w:tc>
        <w:tc>
          <w:tcPr>
            <w:tcW w:type="pct" w:w="758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(6)</w:t>
            </w:r>
          </w:p>
        </w:tc>
        <w:tc>
          <w:tcPr>
            <w:tcW w:type="pct" w:w="22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shift export sales to Gulf buyers; delay the EU warehouse</w:t>
            </w:r>
          </w:p>
        </w:tc>
      </w:tr>
    </w:tbl>
    <w:p/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below 1,200,000   ·   relative market share   ·   no action   ·   start the contingency plan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2</w:t>
      </w:r>
      <w:r>
        <w:rPr>
          <w:color w:val="6B7280"/>
          <w:sz w:val="16"/>
          <w:szCs w:val="16"/>
        </w:rPr>
        <w:t xml:space="preserve">      gaps 7–11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Contingency </w:t>
      </w:r>
      <w:r>
        <w:rPr>
          <w:b/>
          <w:bCs/>
          <w:color w:val="8186EF"/>
          <w:sz w:val="15"/>
          <w:szCs w:val="15"/>
        </w:rPr>
        <w:t xml:space="preserve"> (7)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prepares a </w:t>
      </w:r>
      <w:r>
        <w:rPr>
          <w:b/>
          <w:bCs/>
          <w:color w:val="8186EF"/>
          <w:sz w:val="15"/>
          <w:szCs w:val="15"/>
        </w:rPr>
        <w:t xml:space="preserve"> (8)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in advance and names the trigger that starts it. </w:t>
      </w:r>
      <w:r>
        <w:rPr>
          <w:sz w:val="19"/>
          <w:szCs w:val="19"/>
        </w:rPr>
        <w:t xml:space="preserve">If the export </w:t>
      </w:r>
      <w:r>
        <w:rPr>
          <w:b/>
          <w:bCs/>
          <w:color w:val="8186EF"/>
          <w:sz w:val="15"/>
          <w:szCs w:val="15"/>
        </w:rPr>
        <w:t xml:space="preserve"> (9)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falls below $1,200,000, as it would in the tariff scenario, Orontes will shift sales to Gulf buyers and delay its EU </w:t>
      </w:r>
      <w:r>
        <w:rPr>
          <w:b/>
          <w:bCs/>
          <w:color w:val="8186EF"/>
          <w:sz w:val="15"/>
          <w:szCs w:val="15"/>
        </w:rPr>
        <w:t xml:space="preserve"> (10)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. </w:t>
      </w:r>
      <w:r>
        <w:rPr>
          <w:sz w:val="19"/>
          <w:szCs w:val="19"/>
        </w:rPr>
        <w:t xml:space="preserve">The two tools work together: </w:t>
      </w:r>
      <w:r>
        <w:rPr>
          <w:b/>
          <w:bCs/>
          <w:color w:val="8186EF"/>
          <w:sz w:val="15"/>
          <w:szCs w:val="15"/>
        </w:rPr>
        <w:t xml:space="preserve"> (11)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show what could happen; the contingency plan says what the company will do, and when.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forecast   ·   scenarios   ·   response   ·   planning   ·   warehouse   ·   futures</w:t>
            </w:r>
          </w:p>
        </w:tc>
      </w:tr>
    </w:tbl>
    <w:p/>
    <w:p>
      <w:pPr>
        <w:spacing w:before="44" w:after="10"/>
      </w:pPr>
      <w:r>
        <w:rPr>
          <w:b/>
          <w:bCs/>
          <w:color w:val="353A7C"/>
          <w:sz w:val="18"/>
          <w:szCs w:val="18"/>
        </w:rPr>
        <w:t xml:space="preserve">The English this section uses, and its Arabic</w:t>
      </w:r>
    </w:p>
    <w:p>
      <w:pPr>
        <w:spacing w:before="0" w:after="12"/>
      </w:pPr>
      <w:r>
        <w:rPr>
          <w:color w:val="6B7280"/>
          <w:sz w:val="15"/>
          <w:szCs w:val="15"/>
        </w:rPr>
        <w:t xml:space="preserve">Each term sits against what it means.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227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27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SWOT analysis   ·   competitive analysis   ·   scenario planning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878"/>
        <w:gridCol w:w="472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this sheet uses, and its Arabic</w:t>
            </w:r>
          </w:p>
        </w:tc>
      </w:tr>
      <w:tr>
        <w:tc>
          <w:tcPr>
            <w:tcW w:type="pct" w:w="254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5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Arabic</w:t>
            </w:r>
          </w:p>
        </w:tc>
      </w:tr>
      <w:tr>
        <w:tc>
          <w:tcPr>
            <w:tcW w:type="pct" w:w="254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scenario planning</w:t>
            </w:r>
          </w:p>
        </w:tc>
        <w:tc>
          <w:tcPr>
            <w:tcW w:type="pct" w:w="245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التخطيط بالسيناريوهات</w:t>
            </w:r>
          </w:p>
        </w:tc>
      </w:tr>
      <w:tr>
        <w:tc>
          <w:tcPr>
            <w:tcW w:type="pct" w:w="254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contingency planning</w:t>
            </w:r>
          </w:p>
        </w:tc>
        <w:tc>
          <w:tcPr>
            <w:tcW w:type="pct" w:w="245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التخطيط للطوارئ</w:t>
            </w:r>
          </w:p>
        </w:tc>
      </w:tr>
    </w:tbl>
    <w:p/>
    <w:p>
      <w:pPr>
        <w:sectPr>
          <w:headerReference w:type="default" r:id="rIdHdr1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Answer key · 2.6  Scenario planning and contingency planning</w:t>
            </w:r>
          </w:p>
        </w:tc>
      </w:tr>
    </w:tbl>
    <w:p/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  </w:t>
            </w:r>
            <w:r>
              <w:rPr>
                <w:sz w:val="16"/>
                <w:szCs w:val="16"/>
              </w:rPr>
              <w:t xml:space="preserve">planning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8  </w:t>
            </w:r>
            <w:r>
              <w:rPr>
                <w:sz w:val="16"/>
                <w:szCs w:val="16"/>
              </w:rPr>
              <w:t xml:space="preserve">response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  </w:t>
            </w:r>
            <w:r>
              <w:rPr>
                <w:sz w:val="16"/>
                <w:szCs w:val="16"/>
              </w:rPr>
              <w:t xml:space="preserve">possible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9  </w:t>
            </w:r>
            <w:r>
              <w:rPr>
                <w:sz w:val="16"/>
                <w:szCs w:val="16"/>
              </w:rPr>
              <w:t xml:space="preserve">forecast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3  </w:t>
            </w:r>
            <w:r>
              <w:rPr>
                <w:sz w:val="16"/>
                <w:szCs w:val="16"/>
              </w:rPr>
              <w:t xml:space="preserve">considers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10  </w:t>
            </w:r>
            <w:r>
              <w:rPr>
                <w:sz w:val="16"/>
                <w:szCs w:val="16"/>
              </w:rPr>
              <w:t xml:space="preserve">warehouse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4  </w:t>
            </w:r>
            <w:r>
              <w:rPr>
                <w:sz w:val="16"/>
                <w:szCs w:val="16"/>
              </w:rPr>
              <w:t xml:space="preserve">no action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11  </w:t>
            </w:r>
            <w:r>
              <w:rPr>
                <w:sz w:val="16"/>
                <w:szCs w:val="16"/>
              </w:rPr>
              <w:t xml:space="preserve">scenarios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5  </w:t>
            </w:r>
            <w:r>
              <w:rPr>
                <w:sz w:val="16"/>
                <w:szCs w:val="16"/>
              </w:rPr>
              <w:t xml:space="preserve">start the contingency plan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12  </w:t>
            </w:r>
            <w:r>
              <w:rPr>
                <w:sz w:val="16"/>
                <w:szCs w:val="16"/>
              </w:rPr>
              <w:t xml:space="preserve">SWOT analysis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6  </w:t>
            </w:r>
            <w:r>
              <w:rPr>
                <w:sz w:val="16"/>
                <w:szCs w:val="16"/>
              </w:rPr>
              <w:t xml:space="preserve">below 1,200,000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13  </w:t>
            </w:r>
            <w:r>
              <w:rPr>
                <w:sz w:val="16"/>
                <w:szCs w:val="16"/>
              </w:rPr>
              <w:t xml:space="preserve">scenario planning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7  </w:t>
            </w:r>
            <w:r>
              <w:rPr>
                <w:sz w:val="16"/>
                <w:szCs w:val="16"/>
              </w:rPr>
              <w:t xml:space="preserve">planning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24" w:after="24"/>
            </w:pPr>
            <w:r>
              <w:rPr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50" w:after="14"/>
      </w:pPr>
      <w:r>
        <w:rPr>
          <w:b/>
          <w:bCs/>
          <w:color w:val="353A7C"/>
          <w:sz w:val="18"/>
          <w:szCs w:val="18"/>
        </w:rPr>
        <w:t xml:space="preserve">the summaries in full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1   </w:t>
      </w:r>
      <w:r>
        <w:rPr>
          <w:color w:val="6B7280"/>
          <w:sz w:val="15"/>
          <w:szCs w:val="15"/>
        </w:rPr>
        <w:t xml:space="preserve">Scenario planning prepares for several possible futures instead of one forecast. For tahini exports in 2032, the board considers three scenarios, from open Gulf and EU markets to a new EU import tariff.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2   </w:t>
      </w:r>
      <w:r>
        <w:rPr>
          <w:color w:val="6B7280"/>
          <w:sz w:val="15"/>
          <w:szCs w:val="15"/>
        </w:rPr>
        <w:t xml:space="preserve">Contingency planning prepares a response in advance and names the trigger that starts it. If the export forecast falls below $1,200,000, as it would in the tariff scenario, Orontes will shift sales to Gulf buyers and delay its EU warehouse. The two tools work together: scenarios show what could happen; the contingency plan says what the company will do, and when.</w:t>
      </w:r>
    </w:p>
    <w:p>
      <w:pPr>
        <w:sectPr>
          <w:headerReference w:type="default" r:id="rIdHdr1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4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2.7  Extended Example 2A: the Orontes strategic review</w:t>
            </w:r>
          </w:p>
          <w:p>
            <w:pPr>
              <w:spacing w:before="0" w:after="46"/>
            </w:pPr>
            <w:r>
              <w:rPr>
                <w:color w:val="E8EAF6"/>
                <w:sz w:val="16"/>
                <w:szCs w:val="16"/>
              </w:rPr>
              <w:t xml:space="preserve">Chapter 2 · section 2.7</w:t>
            </w:r>
          </w:p>
        </w:tc>
      </w:tr>
    </w:tbl>
    <w:p/>
    <w:p>
      <w:pPr>
        <w:spacing w:before="10" w:after="40"/>
      </w:pPr>
      <w:r>
        <w:rPr>
          <w:color w:val="6B7280"/>
          <w:sz w:val="17"/>
          <w:szCs w:val="17"/>
        </w:rPr>
        <w:t xml:space="preserve">Fill every gap. Each word list holds one word more than there are gaps.</w:t>
      </w:r>
    </w:p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1</w:t>
      </w:r>
      <w:r>
        <w:rPr>
          <w:color w:val="6B7280"/>
          <w:sz w:val="16"/>
          <w:szCs w:val="16"/>
        </w:rPr>
        <w:t xml:space="preserve">      gaps 1–4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This example brings the tools </w:t>
      </w:r>
      <w:r>
        <w:rPr>
          <w:b/>
          <w:bCs/>
          <w:color w:val="8186EF"/>
          <w:sz w:val="15"/>
          <w:szCs w:val="15"/>
        </w:rPr>
        <w:t xml:space="preserve"> (1)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for the board meeting that </w:t>
      </w:r>
      <w:r>
        <w:rPr>
          <w:b/>
          <w:bCs/>
          <w:color w:val="8186EF"/>
          <w:sz w:val="15"/>
          <w:szCs w:val="15"/>
        </w:rPr>
        <w:t xml:space="preserve"> (2)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the 2028 to 2032 plan. </w:t>
      </w:r>
      <w:r>
        <w:rPr>
          <w:sz w:val="19"/>
          <w:szCs w:val="19"/>
        </w:rPr>
        <w:t xml:space="preserve"/>
      </w:r>
      <w:r>
        <w:rPr>
          <w:b/>
          <w:bCs/>
          <w:color w:val="8186EF"/>
          <w:sz w:val="15"/>
          <w:szCs w:val="15"/>
        </w:rPr>
        <w:t xml:space="preserve"> (3)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: strong rivalry and </w:t>
      </w:r>
      <w:r>
        <w:rPr>
          <w:b/>
          <w:bCs/>
          <w:color w:val="8186EF"/>
          <w:sz w:val="15"/>
          <w:szCs w:val="15"/>
        </w:rPr>
        <w:t xml:space="preserve"> (4)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in juice; growing Gulf demand for tahini; a possible EU tariff. </w:t>
      </w:r>
      <w:r>
        <w:rPr>
          <w:sz w:val="19"/>
          <w:szCs w:val="19"/>
        </w:rPr>
        <w:t xml:space="preserve">Internal: a strong tahini brand and low-cost juice filling; a small juice share and an old bottling line in Oils.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approves   ·   together   ·   strategy   ·   External   ·   substitutes</w:t>
            </w:r>
          </w:p>
        </w:tc>
      </w:tr>
    </w:tbl>
    <w:p/>
    <w:p>
      <w:pPr>
        <w:spacing w:before="44" w:after="10"/>
      </w:pPr>
      <w:r>
        <w:rPr>
          <w:b/>
          <w:bCs/>
          <w:color w:val="353A7C"/>
          <w:sz w:val="18"/>
          <w:szCs w:val="18"/>
        </w:rPr>
        <w:t xml:space="preserve">Extended Example: the strategic review of each unit</w:t>
      </w:r>
    </w:p>
    <w:p>
      <w:pPr>
        <w:spacing w:before="0" w:after="12"/>
      </w:pPr>
      <w:r>
        <w:rPr>
          <w:color w:val="6B7280"/>
          <w:sz w:val="15"/>
          <w:szCs w:val="15"/>
        </w:rPr>
        <w:t xml:space="preserve">The bars are drawn to scale.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1946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94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Beverages   ·   competitive advantage   ·   Pulses &amp; Spices line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2</w:t>
      </w:r>
      <w:r>
        <w:rPr>
          <w:color w:val="6B7280"/>
          <w:sz w:val="16"/>
          <w:szCs w:val="16"/>
        </w:rPr>
        <w:t xml:space="preserve">      gaps 7–8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The </w:t>
      </w:r>
      <w:r>
        <w:rPr>
          <w:b/>
          <w:bCs/>
          <w:color w:val="8186EF"/>
          <w:sz w:val="15"/>
          <w:szCs w:val="15"/>
        </w:rPr>
        <w:t xml:space="preserve"> (7)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range from $900,000 to $2,400,000 of export operating income, a spread of $1,500,000. </w:t>
      </w:r>
      <w:r>
        <w:rPr>
          <w:sz w:val="19"/>
          <w:szCs w:val="19"/>
        </w:rPr>
        <w:t xml:space="preserve">The </w:t>
      </w:r>
      <w:r>
        <w:rPr>
          <w:b/>
          <w:bCs/>
          <w:color w:val="8186EF"/>
          <w:sz w:val="15"/>
          <w:szCs w:val="15"/>
        </w:rPr>
        <w:t xml:space="preserve"> (8)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plan starts if the forecast falls below $1,200,000.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contingency   ·   scenarios   ·   strengths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4"/>
          <w:left w:val="single" w:color="353A7C" w:sz="4"/>
          <w:bottom w:val="single" w:color="353A7C" w:sz="4"/>
          <w:right w:val="single" w:color="353A7C" w:sz="4"/>
          <w:insideH w:val="single" w:color="353A7C" w:sz="4"/>
          <w:insideV w:val="single" w:color="353A7C" w:sz="4"/>
        </w:tblBorders>
      </w:tblPr>
      <w:tblGrid>
        <w:gridCol w:w="9600"/>
      </w:tblGrid>
      <w:tr>
        <w:tc>
          <w:tcPr>
            <w:tcW w:type="pct" w:w="5000"/>
            <w:shd w:fill="F2F4FB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9"/>
                <w:szCs w:val="19"/>
              </w:rPr>
              <w:t xml:space="preserve">Everything ties</w:t>
            </w:r>
          </w:p>
        </w:tc>
      </w:tr>
    </w:tbl>
    <w:p/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3</w:t>
      </w:r>
      <w:r>
        <w:rPr>
          <w:color w:val="6B7280"/>
          <w:sz w:val="16"/>
          <w:szCs w:val="16"/>
        </w:rPr>
        <w:t xml:space="preserve">      gaps 9–10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Every </w:t>
      </w:r>
      <w:r>
        <w:rPr>
          <w:b/>
          <w:bCs/>
          <w:color w:val="8186EF"/>
          <w:sz w:val="15"/>
          <w:szCs w:val="15"/>
        </w:rPr>
        <w:t xml:space="preserve"> (9)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share equals the unit's share divided by the largest rival's share. </w:t>
      </w:r>
      <w:r>
        <w:rPr>
          <w:sz w:val="19"/>
          <w:szCs w:val="19"/>
        </w:rPr>
        <w:t xml:space="preserve"/>
      </w:r>
      <w:r>
        <w:rPr>
          <w:b/>
          <w:bCs/>
          <w:color w:val="8186EF"/>
          <w:sz w:val="15"/>
          <w:szCs w:val="15"/>
        </w:rPr>
        <w:t xml:space="preserve"> (10)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spread: $2,400,000 − $900,000 = $1,500,000.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planning   ·   Scenario   ·   relative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4"/>
          <w:left w:val="single" w:color="353A7C" w:sz="4"/>
          <w:bottom w:val="single" w:color="353A7C" w:sz="4"/>
          <w:right w:val="single" w:color="353A7C" w:sz="4"/>
          <w:insideH w:val="single" w:color="353A7C" w:sz="4"/>
          <w:insideV w:val="single" w:color="353A7C" w:sz="4"/>
        </w:tblBorders>
      </w:tblPr>
      <w:tblGrid>
        <w:gridCol w:w="9600"/>
      </w:tblGrid>
      <w:tr>
        <w:tc>
          <w:tcPr>
            <w:tcW w:type="pct" w:w="5000"/>
            <w:shd w:fill="F2F4FB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9"/>
                <w:szCs w:val="19"/>
              </w:rPr>
              <w:t xml:space="preserve">Exam view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p>
      <w:pPr>
        <w:spacing w:before="44" w:after="14"/>
      </w:pPr>
      <w:r>
        <w:rPr>
          <w:b/>
          <w:bCs/>
          <w:color w:val="353A7C"/>
          <w:sz w:val="18"/>
          <w:szCs w:val="18"/>
        </w:rPr>
        <w:t xml:space="preserve">Summary 4</w:t>
      </w:r>
      <w:r>
        <w:rPr>
          <w:color w:val="6B7280"/>
          <w:sz w:val="16"/>
          <w:szCs w:val="16"/>
        </w:rPr>
        <w:t xml:space="preserve">      gaps 11–13</w:t>
      </w:r>
    </w:p>
    <w:p>
      <w:pPr>
        <w:spacing w:before="20" w:after="20" w:line="360" w:lineRule="auto"/>
        <w:ind w:left="200"/>
      </w:pPr>
      <w:r>
        <w:rPr>
          <w:sz w:val="19"/>
          <w:szCs w:val="19"/>
        </w:rPr>
        <w:t xml:space="preserve">Expect to classify factors as strengths, weaknesses, </w:t>
      </w:r>
      <w:r>
        <w:rPr>
          <w:b/>
          <w:bCs/>
          <w:color w:val="8186EF"/>
          <w:sz w:val="15"/>
          <w:szCs w:val="15"/>
        </w:rPr>
        <w:t xml:space="preserve"> (11)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or threats; to compute a relative share and place a unit in the BCG matrix; to name a generic strategy from a </w:t>
      </w:r>
      <w:r>
        <w:rPr>
          <w:b/>
          <w:bCs/>
          <w:color w:val="8186EF"/>
          <w:sz w:val="15"/>
          <w:szCs w:val="15"/>
        </w:rPr>
        <w:t xml:space="preserve"> (12)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; and to tell scenario planning from </w:t>
      </w:r>
      <w:r>
        <w:rPr>
          <w:b/>
          <w:bCs/>
          <w:color w:val="8186EF"/>
          <w:sz w:val="15"/>
          <w:szCs w:val="15"/>
        </w:rPr>
        <w:t xml:space="preserve"> (13)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</w:t>
      </w:r>
      <w:r>
        <w:rPr>
          <w:sz w:val="19"/>
          <w:szCs w:val="19"/>
        </w:rPr>
        <w:t xml:space="preserve"> planning. </w:t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contingency   ·   opportunities   ·   growing   ·   description</w:t>
            </w:r>
          </w:p>
        </w:tc>
      </w:tr>
    </w:tbl>
    <w:p/>
    <w:p>
      <w:pPr>
        <w:spacing w:before="44" w:after="10"/>
      </w:pPr>
      <w:r>
        <w:rPr>
          <w:b/>
          <w:bCs/>
          <w:color w:val="353A7C"/>
          <w:sz w:val="18"/>
          <w:szCs w:val="18"/>
        </w:rPr>
        <w:t xml:space="preserve">Exam view</w:t>
      </w:r>
    </w:p>
    <w:p>
      <w:pPr>
        <w:spacing w:before="0" w:after="12"/>
      </w:pPr>
      <w:r>
        <w:rPr>
          <w:color w:val="6B7280"/>
          <w:sz w:val="15"/>
          <w:szCs w:val="15"/>
        </w:rPr>
        <w:t xml:space="preserve">Name each point on the scale from where it sits.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2602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60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Gulf tahini market growth a year   ·   Bargaining power of suppliers (1–5)   ·   Largest rival's share   ·   Orontes's share of the Gulf market   ·   Operating income 2030: base   ·   Rivalry among competitors (1–5)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 — Answer</w:t>
            </w:r>
          </w:p>
        </w:tc>
      </w:tr>
      <w:tr>
        <w:tc>
          <w:tcPr>
            <w:tcW w:type="pct" w:w="2400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Item</w:t>
            </w:r>
          </w:p>
        </w:tc>
        <w:tc>
          <w:tcPr>
            <w:tcW w:type="pct" w:w="2600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Answer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Beverages</w:t>
            </w:r>
          </w:p>
        </w:tc>
        <w:tc>
          <w:tcPr>
            <w:tcW w:type="pct" w:w="2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(19)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Pulses &amp; Spices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5.0 ÷ 20.0 = 0.25; growth 2.0% → Dog</w:t>
            </w:r>
          </w:p>
        </w:tc>
      </w:tr>
    </w:tbl>
    <w:p/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An EU tariff may push more exporters to the Gulf   ·   8.0 ÷ 25.0 = 0.32; growth 14.0% → Question mark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Factor — Category</w:t>
            </w:r>
          </w:p>
        </w:tc>
      </w:tr>
      <w:tr>
        <w:tc>
          <w:tcPr>
            <w:tcW w:type="pct" w:w="2600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Factor</w:t>
            </w:r>
          </w:p>
        </w:tc>
        <w:tc>
          <w:tcPr>
            <w:tcW w:type="pct" w:w="2400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0" w:after="3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Category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The Orontes tahini brand is well known in Jordan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Strength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The Gulf sales team has only three people</w:t>
            </w:r>
          </w:p>
        </w:tc>
        <w:tc>
          <w:tcPr>
            <w:tcW w:type="pct" w:w="2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(20)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Gulf demand for healthy traditional foods is growing</w:t>
            </w:r>
          </w:p>
        </w:tc>
        <w:tc>
          <w:tcPr>
            <w:tcW w:type="pct" w:w="2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(21)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The market leader is cutting prices</w:t>
            </w:r>
          </w:p>
        </w:tc>
        <w:tc>
          <w:tcPr>
            <w:tcW w:type="pct" w:w="2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46" w:after="46"/>
            </w:pPr>
            <w:r>
              <w:rPr>
                <w:b/>
                <w:bCs/>
                <w:color w:val="8186EF"/>
                <w:sz w:val="14"/>
                <w:szCs w:val="14"/>
              </w:rPr>
              <w:t xml:space="preserve">(22)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An EU tariff may push more exporters to the Gulf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8" w:after="28"/>
            </w:pPr>
            <w:r>
              <w:rPr>
                <w:sz w:val="15"/>
                <w:szCs w:val="15"/>
              </w:rPr>
              <w:t xml:space="preserve">Threat</w:t>
            </w:r>
          </w:p>
        </w:tc>
      </w:tr>
    </w:tbl>
    <w:p/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Weakness   ·   Threat   ·   Opportunity   ·   Beverages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p>
      <w:pPr>
        <w:spacing w:before="44" w:after="10"/>
      </w:pPr>
      <w:r>
        <w:rPr>
          <w:b/>
          <w:bCs/>
          <w:color w:val="353A7C"/>
          <w:sz w:val="18"/>
          <w:szCs w:val="18"/>
        </w:rPr>
        <w:t xml:space="preserve">The English this section uses, and its Arabic</w:t>
      </w:r>
    </w:p>
    <w:p>
      <w:pPr>
        <w:spacing w:before="0" w:after="12"/>
      </w:pPr>
      <w:r>
        <w:rPr>
          <w:color w:val="6B7280"/>
          <w:sz w:val="15"/>
          <w:szCs w:val="15"/>
        </w:rPr>
        <w:t xml:space="preserve">Each term sits against what it means.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2074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07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FBFAF6" w:sz="4"/>
          <w:left w:val="single" w:color="FBFAF6" w:sz="4"/>
          <w:bottom w:val="single" w:color="FBFAF6" w:sz="4"/>
          <w:right w:val="single" w:color="FBFAF6" w:sz="4"/>
          <w:insideH w:val="single" w:color="FBFAF6" w:sz="4"/>
          <w:insideV w:val="single" w:color="FBFAF6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6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word list</w:t>
            </w:r>
          </w:p>
          <w:p>
            <w:pPr>
              <w:spacing w:before="0" w:after="18"/>
            </w:pPr>
            <w:r>
              <w:rPr>
                <w:b/>
                <w:bCs/>
                <w:color w:val="353A7C"/>
                <w:sz w:val="16"/>
                <w:szCs w:val="16"/>
              </w:rPr>
              <w:t xml:space="preserve">BCG growth-share matrix   ·   contingency planning   ·   PEST analysis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this sheet uses, and its Arabic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Arabic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SWOT analysis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تحليل SWOT (القوة والضعف والفرص والتهديدات)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BCG growth-share matrix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مصفوفة النمو والحصة السوقية (BCG)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contingency planning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التخطيط للطوارئ</w:t>
            </w:r>
          </w:p>
        </w:tc>
      </w:tr>
    </w:tbl>
    <w:p/>
    <w:p>
      <w:pPr>
        <w:sectPr>
          <w:headerReference w:type="default" r:id="rIdHdr13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Answer key · 2.7  Extended Example 2A: the Orontes strategic review</w:t>
            </w:r>
          </w:p>
        </w:tc>
      </w:tr>
    </w:tbl>
    <w:p/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  </w:t>
            </w:r>
            <w:r>
              <w:rPr>
                <w:sz w:val="16"/>
                <w:szCs w:val="16"/>
              </w:rPr>
              <w:t xml:space="preserve">together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13  </w:t>
            </w:r>
            <w:r>
              <w:rPr>
                <w:sz w:val="16"/>
                <w:szCs w:val="16"/>
              </w:rPr>
              <w:t xml:space="preserve">contingency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  </w:t>
            </w:r>
            <w:r>
              <w:rPr>
                <w:sz w:val="16"/>
                <w:szCs w:val="16"/>
              </w:rPr>
              <w:t xml:space="preserve">approves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14  </w:t>
            </w:r>
            <w:r>
              <w:rPr>
                <w:sz w:val="16"/>
                <w:szCs w:val="16"/>
              </w:rPr>
              <w:t xml:space="preserve">Gulf tahini market growth a year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3  </w:t>
            </w:r>
            <w:r>
              <w:rPr>
                <w:sz w:val="16"/>
                <w:szCs w:val="16"/>
              </w:rPr>
              <w:t xml:space="preserve">External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15  </w:t>
            </w:r>
            <w:r>
              <w:rPr>
                <w:sz w:val="16"/>
                <w:szCs w:val="16"/>
              </w:rPr>
              <w:t xml:space="preserve">Largest rival's share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4  </w:t>
            </w:r>
            <w:r>
              <w:rPr>
                <w:sz w:val="16"/>
                <w:szCs w:val="16"/>
              </w:rPr>
              <w:t xml:space="preserve">substitutes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16  </w:t>
            </w:r>
            <w:r>
              <w:rPr>
                <w:sz w:val="16"/>
                <w:szCs w:val="16"/>
              </w:rPr>
              <w:t xml:space="preserve">Bargaining power of suppliers (1–5)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5  </w:t>
            </w:r>
            <w:r>
              <w:rPr>
                <w:sz w:val="16"/>
                <w:szCs w:val="16"/>
              </w:rPr>
              <w:t xml:space="preserve">Beverages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17  </w:t>
            </w:r>
            <w:r>
              <w:rPr>
                <w:sz w:val="16"/>
                <w:szCs w:val="16"/>
              </w:rPr>
              <w:t xml:space="preserve">Rivalry among competitors (1–5)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6  </w:t>
            </w:r>
            <w:r>
              <w:rPr>
                <w:sz w:val="16"/>
                <w:szCs w:val="16"/>
              </w:rPr>
              <w:t xml:space="preserve">Pulses &amp; Spices line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18  </w:t>
            </w:r>
            <w:r>
              <w:rPr>
                <w:sz w:val="16"/>
                <w:szCs w:val="16"/>
              </w:rPr>
              <w:t xml:space="preserve">Operating income 2030: base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7  </w:t>
            </w:r>
            <w:r>
              <w:rPr>
                <w:sz w:val="16"/>
                <w:szCs w:val="16"/>
              </w:rPr>
              <w:t xml:space="preserve">scenarios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19  </w:t>
            </w:r>
            <w:r>
              <w:rPr>
                <w:sz w:val="16"/>
                <w:szCs w:val="16"/>
              </w:rPr>
              <w:t xml:space="preserve">8.0 ÷ 25.0 = 0.32; growth 14.0% → Question mark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8  </w:t>
            </w:r>
            <w:r>
              <w:rPr>
                <w:sz w:val="16"/>
                <w:szCs w:val="16"/>
              </w:rPr>
              <w:t xml:space="preserve">contingency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20  </w:t>
            </w:r>
            <w:r>
              <w:rPr>
                <w:sz w:val="16"/>
                <w:szCs w:val="16"/>
              </w:rPr>
              <w:t xml:space="preserve">Weakness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9  </w:t>
            </w:r>
            <w:r>
              <w:rPr>
                <w:sz w:val="16"/>
                <w:szCs w:val="16"/>
              </w:rPr>
              <w:t xml:space="preserve">relative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21  </w:t>
            </w:r>
            <w:r>
              <w:rPr>
                <w:sz w:val="16"/>
                <w:szCs w:val="16"/>
              </w:rPr>
              <w:t xml:space="preserve">Opportunity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10  </w:t>
            </w:r>
            <w:r>
              <w:rPr>
                <w:sz w:val="16"/>
                <w:szCs w:val="16"/>
              </w:rPr>
              <w:t xml:space="preserve">Scenario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22  </w:t>
            </w:r>
            <w:r>
              <w:rPr>
                <w:sz w:val="16"/>
                <w:szCs w:val="16"/>
              </w:rPr>
              <w:t xml:space="preserve">Threat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11  </w:t>
            </w:r>
            <w:r>
              <w:rPr>
                <w:sz w:val="16"/>
                <w:szCs w:val="16"/>
              </w:rPr>
              <w:t xml:space="preserve">opportunities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23  </w:t>
            </w:r>
            <w:r>
              <w:rPr>
                <w:sz w:val="16"/>
                <w:szCs w:val="16"/>
              </w:rPr>
              <w:t xml:space="preserve">BCG growth-share matrix</w:t>
            </w:r>
          </w:p>
        </w:tc>
      </w:tr>
      <w:tr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12  </w:t>
            </w:r>
            <w:r>
              <w:rPr>
                <w:sz w:val="16"/>
                <w:szCs w:val="16"/>
              </w:rPr>
              <w:t xml:space="preserve">description</w:t>
            </w:r>
          </w:p>
        </w:tc>
        <w:tc>
          <w:tcPr>
            <w:tcW w:type="pct" w:w="2500"/>
            <w:tcMar>
              <w:top w:type="dxa" w:w="20"/>
              <w:left w:type="dxa" w:w="80"/>
              <w:bottom w:type="dxa" w:w="20"/>
              <w:right w:type="dxa" w:w="8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24  </w:t>
            </w:r>
            <w:r>
              <w:rPr>
                <w:sz w:val="16"/>
                <w:szCs w:val="16"/>
              </w:rPr>
              <w:t xml:space="preserve">contingency planning</w:t>
            </w:r>
          </w:p>
        </w:tc>
      </w:tr>
    </w:tbl>
    <w:p/>
    <w:p>
      <w:pPr>
        <w:spacing w:before="50" w:after="14"/>
      </w:pPr>
      <w:r>
        <w:rPr>
          <w:b/>
          <w:bCs/>
          <w:color w:val="353A7C"/>
          <w:sz w:val="18"/>
          <w:szCs w:val="18"/>
        </w:rPr>
        <w:t xml:space="preserve">the summaries in full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1   </w:t>
      </w:r>
      <w:r>
        <w:rPr>
          <w:color w:val="6B7280"/>
          <w:sz w:val="15"/>
          <w:szCs w:val="15"/>
        </w:rPr>
        <w:t xml:space="preserve">This example brings the tools together for the board meeting that approves the 2028 to 2032 plan. External: strong rivalry and substitutes in juice; growing Gulf demand for tahini; a possible EU tariff. Internal: a strong tahini brand and low-cost juice filling; a small juice share and an old bottling line in Oils.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2   </w:t>
      </w:r>
      <w:r>
        <w:rPr>
          <w:color w:val="6B7280"/>
          <w:sz w:val="15"/>
          <w:szCs w:val="15"/>
        </w:rPr>
        <w:t xml:space="preserve">The scenarios range from $900,000 to $2,400,000 of export operating income, a spread of $1,500,000. The contingency plan starts if the forecast falls below $1,200,000.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3   </w:t>
      </w:r>
      <w:r>
        <w:rPr>
          <w:color w:val="6B7280"/>
          <w:sz w:val="15"/>
          <w:szCs w:val="15"/>
        </w:rPr>
        <w:t xml:space="preserve">Every relative share equals the unit's share divided by the largest rival's share. Scenario spread: $2,400,000 − $900,000 = $1,500,000.</w:t>
      </w:r>
    </w:p>
    <w:p>
      <w:pPr>
        <w:spacing w:before="20" w:after="20"/>
        <w:ind w:left="240" w:hanging="240"/>
      </w:pPr>
      <w:r>
        <w:rPr>
          <w:b/>
          <w:bCs/>
          <w:color w:val="353A7C"/>
          <w:sz w:val="15"/>
          <w:szCs w:val="15"/>
        </w:rPr>
        <w:t xml:space="preserve">Summary 4   </w:t>
      </w:r>
      <w:r>
        <w:rPr>
          <w:color w:val="6B7280"/>
          <w:sz w:val="15"/>
          <w:szCs w:val="15"/>
        </w:rPr>
        <w:t xml:space="preserve">Expect to classify factors as strengths, weaknesses, opportunities or threats; to compute a relative share and place a unit in the BCG matrix; to name a generic strategy from a description; and to tell scenario planning from contingency planning.</w:t>
      </w:r>
    </w:p>
    <w:p>
      <w:pPr>
        <w:sectPr>
          <w:headerReference w:type="default" r:id="rIdHdr14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sectPr>
      <w:headerReference w:type="default" r:id="rIdHdr14"/>
      <w:pgSz w:w="11906" w:h="16838" w:orient="portrait"/>
      <w:pgMar w:top="1180" w:right="1000" w:bottom="900" w:left="1000" w:header="708" w:footer="708" w:gutter="0"/>
      <w:docGrid w:linePitch="360"/>
      <w:pgNumTyp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Summary handout 2.1 · Analysing the external environment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2.1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2</w:t>
          </w:r>
        </w:p>
      </w:tc>
    </w:tr>
  </w:tbl>
  <w:p>
    <w:pPr>
      <w:spacing w:after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Answer key · 2.1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Summary handout 2.2 · Analysing the internal environment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2.2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1</w:t>
          </w:r>
        </w:p>
      </w:tc>
    </w:tr>
  </w:tbl>
  <w:p>
    <w:pPr>
      <w:spacing w:after="0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Answer key · 2.2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Summary handout 2.3 · SWOT and situational analysis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2.3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1</w:t>
          </w:r>
        </w:p>
      </w:tc>
    </w:tr>
  </w:tbl>
  <w:p>
    <w:pPr>
      <w:spacing w:after="0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Answer key · 2.3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Summary handout 2.4 · Porter's generic strategies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2.4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2</w:t>
          </w:r>
        </w:p>
      </w:tc>
    </w:tr>
  </w:tbl>
  <w:p>
    <w:pPr>
      <w:spacing w:after="0"/>
    </w:pP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Answer key · 2.4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Summary handout 2.5 · Portfolio and competitive analysis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2.5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2</w:t>
          </w:r>
        </w:p>
      </w:tc>
    </w:tr>
  </w:tbl>
  <w:p>
    <w:pPr>
      <w:spacing w:after="0"/>
    </w:pPr>
  </w:p>
</w:hdr>
</file>

<file path=word/header1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Answer key · 2.5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1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Summary handout 2.6 · Scenario planning and contingency planning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2.6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2</w:t>
          </w:r>
        </w:p>
      </w:tc>
    </w:tr>
  </w:tbl>
  <w:p>
    <w:pPr>
      <w:spacing w:after="0"/>
    </w:pPr>
  </w:p>
</w:hdr>
</file>

<file path=word/header1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Answer key · 2.6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1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Summary handout 2.7 · Extended Example 2A: the Orontes strategic review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2.7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3</w:t>
          </w:r>
        </w:p>
      </w:tc>
    </w:tr>
  </w:tbl>
  <w:p>
    <w:pPr>
      <w:spacing w:after="0"/>
    </w:pPr>
  </w:p>
</w:hdr>
</file>

<file path=word/header1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Answer key · 2.7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efaultTabStop w:val="72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styles" Target="styles.xml" Type="http://schemas.openxmlformats.org/officeDocument/2006/relationships/styles"/><Relationship Id="rIdnumbering" Target="numbering.xml" Type="http://schemas.openxmlformats.org/officeDocument/2006/relationships/numbering"/><Relationship Id="rIdfontTable" Target="fontTable.xml" Type="http://schemas.openxmlformats.org/officeDocument/2006/relationships/fontTable"/><Relationship Id="rIdsettings" Target="settings.xml" Type="http://schemas.openxmlformats.org/officeDocument/2006/relationships/settings"/><Relationship Id="rId101" Target="media/00695bb2aa5de514e98a665ac2068b88ffeeda27.png" Type="http://schemas.openxmlformats.org/officeDocument/2006/relationships/image"/><Relationship Id="rId102" Target="media/d35f5a71445bb0bf0124db304f0a21dd194c3f6e.png" Type="http://schemas.openxmlformats.org/officeDocument/2006/relationships/image"/><Relationship Id="rId103" Target="media/c73b957b0159b430a04e7e844e8803f67b548d8f.png" Type="http://schemas.openxmlformats.org/officeDocument/2006/relationships/image"/><Relationship Id="rId104" Target="media/53814b0d20b0c670ce02d0761b3aa59c8a720421.png" Type="http://schemas.openxmlformats.org/officeDocument/2006/relationships/image"/><Relationship Id="rId105" Target="media/4860a408981d8130b3b69f7cd26ff95eb9e82289.png" Type="http://schemas.openxmlformats.org/officeDocument/2006/relationships/image"/><Relationship Id="rId106" Target="media/c8e233e8b7866818b841ce39e2102f897779700c.png" Type="http://schemas.openxmlformats.org/officeDocument/2006/relationships/image"/><Relationship Id="rId107" Target="media/fb7984ab775d863be89423a1a73dc6e186f11a8e.png" Type="http://schemas.openxmlformats.org/officeDocument/2006/relationships/image"/><Relationship Id="rId108" Target="media/9024a8b5add7117da536b1fcaf65e3967fde0f40.png" Type="http://schemas.openxmlformats.org/officeDocument/2006/relationships/image"/><Relationship Id="rId109" Target="media/91e8b7c6e9887cb55158cccaa38f12bbfa059ea6.png" Type="http://schemas.openxmlformats.org/officeDocument/2006/relationships/image"/><Relationship Id="rId110" Target="media/3cb088e89ee8536cac2778988c4c90bece08e219.png" Type="http://schemas.openxmlformats.org/officeDocument/2006/relationships/image"/><Relationship Id="rIdHdr1" Target="header1.xml" Type="http://schemas.openxmlformats.org/officeDocument/2006/relationships/header"/><Relationship Id="rIdHdr2" Target="header2.xml" Type="http://schemas.openxmlformats.org/officeDocument/2006/relationships/header"/><Relationship Id="rIdHdr3" Target="header3.xml" Type="http://schemas.openxmlformats.org/officeDocument/2006/relationships/header"/><Relationship Id="rIdHdr4" Target="header4.xml" Type="http://schemas.openxmlformats.org/officeDocument/2006/relationships/header"/><Relationship Id="rIdHdr5" Target="header5.xml" Type="http://schemas.openxmlformats.org/officeDocument/2006/relationships/header"/><Relationship Id="rIdHdr6" Target="header6.xml" Type="http://schemas.openxmlformats.org/officeDocument/2006/relationships/header"/><Relationship Id="rIdHdr7" Target="header7.xml" Type="http://schemas.openxmlformats.org/officeDocument/2006/relationships/header"/><Relationship Id="rIdHdr8" Target="header8.xml" Type="http://schemas.openxmlformats.org/officeDocument/2006/relationships/header"/><Relationship Id="rIdHdr9" Target="header9.xml" Type="http://schemas.openxmlformats.org/officeDocument/2006/relationships/header"/><Relationship Id="rIdHdr10" Target="header10.xml" Type="http://schemas.openxmlformats.org/officeDocument/2006/relationships/header"/><Relationship Id="rIdHdr11" Target="header11.xml" Type="http://schemas.openxmlformats.org/officeDocument/2006/relationships/header"/><Relationship Id="rIdHdr12" Target="header12.xml" Type="http://schemas.openxmlformats.org/officeDocument/2006/relationships/header"/><Relationship Id="rIdHdr13" Target="header13.xml" Type="http://schemas.openxmlformats.org/officeDocument/2006/relationships/header"/><Relationship Id="rIdHdr14" Target="header14.xml" Type="http://schemas.openxmlformats.org/officeDocument/2006/relationships/header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CMA Part 1 · Book 3 · Chapter 2</dc:title>
  <dc:subject>Summary handouts</dc:subject>
  <cp:category>Student Book</cp:category>
</cp:coreProperties>
</file>