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5.1  Zero-based budgeting</w:t>
            </w:r>
          </w:p>
          <w:p>
            <w:pPr>
              <w:spacing w:before="0" w:after="46"/>
            </w:pPr>
            <w:r>
              <w:rPr>
                <w:color w:val="E8EAF6"/>
                <w:sz w:val="16"/>
                <w:szCs w:val="16"/>
              </w:rPr>
              <w:t xml:space="preserve">Chapter 5 · section 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Choosing a budget system   ·   Continuous (rolling) budgets   ·   Extended Example 5A: the 2028 budget review   ·   The effect of incremental changes</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Incremental budgeting starts from last year's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adds 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change.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budgeting starts from zero every year: each activity must be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again, as if it were new. </w:t>
      </w:r>
      <w:r>
        <w:rPr>
          <w:sz w:val="19"/>
          <w:szCs w:val="19"/>
        </w:rPr>
        <w:t xml:space="preserve">It suits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costs, such as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services, where spending can grow without a clear reason. </w:t>
      </w:r>
      <w:r>
        <w:rPr>
          <w:sz w:val="19"/>
          <w:szCs w:val="19"/>
        </w:rPr>
        <w:t xml:space="preserve">The budget is built from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packages. </w:t>
      </w:r>
      <w:r>
        <w:rPr>
          <w:sz w:val="19"/>
          <w:szCs w:val="19"/>
        </w:rPr>
        <w:t xml:space="preserve">Each package describes an activity, its cost and its benefit; managers rank the packages, and top management funds them down the ranking until the money runs out.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decision   ·   figures   ·   packages   ·   subtracts   ·   discretionary   ·   Zero-based   ·   head-office   ·   justified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head-office budget for 2028</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Six packages ask for $1,260,000. </w:t>
      </w:r>
      <w:r>
        <w:rPr>
          <w:sz w:val="19"/>
          <w:szCs w:val="19"/>
        </w:rPr>
        <w:t xml:space="preserve">The board funds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packages in full, reduces two and rejects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essential   ·   sponsorships   ·   services</w:t>
            </w:r>
          </w:p>
        </w:tc>
      </w:tr>
    </w:tbl>
    <w:p/>
    <w:p>
      <w:pPr>
        <w:pageBreakBefore w:val="true"/>
        <w:spacing w:after="0"/>
      </w:pPr>
      <w:r>
        <w:rPr>
          <w:sz w:val="2"/>
        </w:rPr>
        <w:t xml:space="preserve"> </w:t>
      </w:r>
    </w:p>
    <w:p>
      <w:pPr>
        <w:spacing w:before="44" w:after="10"/>
      </w:pPr>
      <w:r>
        <w:rPr>
          <w:b/>
          <w:bCs/>
          <w:color w:val="353A7C"/>
          <w:sz w:val="18"/>
          <w:szCs w:val="18"/>
        </w:rPr>
        <w:t xml:space="preserve">Worked example: head-office decision packages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85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851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support   ·   Finance and reporting   ·   decision package   ·   Legal and compliance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Requested is not approved</w:t>
            </w:r>
          </w:p>
        </w:tc>
      </w:tr>
    </w:tbl>
    <w:p/>
    <w:p>
      <w:pPr>
        <w:spacing w:before="44" w:after="14"/>
      </w:pPr>
      <w:r>
        <w:rPr>
          <w:b/>
          <w:bCs/>
          <w:color w:val="353A7C"/>
          <w:sz w:val="18"/>
          <w:szCs w:val="18"/>
        </w:rPr>
        <w:t xml:space="preserve">Summary 3</w:t>
      </w:r>
      <w:r>
        <w:rPr>
          <w:color w:val="6B7280"/>
          <w:sz w:val="16"/>
          <w:szCs w:val="16"/>
        </w:rPr>
        <w:t xml:space="preserve">      gaps 16–17</w:t>
      </w:r>
    </w:p>
    <w:p>
      <w:pPr>
        <w:spacing w:before="20" w:after="20" w:line="360" w:lineRule="auto"/>
        <w:ind w:left="200"/>
      </w:pPr>
      <w:r>
        <w:rPr>
          <w:sz w:val="19"/>
          <w:szCs w:val="19"/>
        </w:rPr>
        <w:t xml:space="preserve">A zero-based budget uses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amount of each package. </w:t>
      </w:r>
      <w:r>
        <w:rPr>
          <w:sz w:val="19"/>
          <w:szCs w:val="19"/>
        </w:rPr>
        <w:t xml:space="preserve">An answer that adds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amounts, or starts from last year's total, has not used zero-based budgeting.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Zero-based   ·   requested   ·   approved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decision package   ·   flexible budget   ·   zero-based budgeting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zero-based budgeting</w:t>
            </w:r>
          </w:p>
        </w:tc>
        <w:tc>
          <w:tcPr>
            <w:tcW w:type="pct" w:w="2400"/>
            <w:tcMar>
              <w:top w:type="dxa" w:w="50"/>
              <w:left w:type="dxa" w:w="110"/>
              <w:bottom w:type="dxa" w:w="50"/>
              <w:right w:type="dxa" w:w="110"/>
            </w:tcMar>
          </w:tcPr>
          <w:p>
            <w:pPr>
              <w:spacing w:before="26" w:after="26"/>
            </w:pPr>
            <w:r>
              <w:rPr>
                <w:color w:val="232733"/>
                <w:sz w:val="16"/>
                <w:szCs w:val="16"/>
              </w:rPr>
              <w:t xml:space="preserve">الموازنة الصفرية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incremental budgeting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الموازنة التزايدية</w:t>
            </w:r>
          </w:p>
        </w:tc>
      </w:tr>
      <w:tr>
        <w:tc>
          <w:tcPr>
            <w:tcW w:type="pct" w:w="2600"/>
            <w:tcMar>
              <w:top w:type="dxa" w:w="50"/>
              <w:left w:type="dxa" w:w="110"/>
              <w:bottom w:type="dxa" w:w="50"/>
              <w:right w:type="dxa" w:w="110"/>
            </w:tcMar>
          </w:tcPr>
          <w:p>
            <w:pPr>
              <w:spacing w:before="26" w:after="26"/>
            </w:pPr>
            <w:r>
              <w:rPr>
                <w:color w:val="232733"/>
                <w:sz w:val="16"/>
                <w:szCs w:val="16"/>
              </w:rPr>
              <w:t xml:space="preserve">decision package</w:t>
            </w:r>
          </w:p>
        </w:tc>
        <w:tc>
          <w:tcPr>
            <w:tcW w:type="pct" w:w="2400"/>
            <w:tcMar>
              <w:top w:type="dxa" w:w="50"/>
              <w:left w:type="dxa" w:w="110"/>
              <w:bottom w:type="dxa" w:w="50"/>
              <w:right w:type="dxa" w:w="110"/>
            </w:tcMar>
          </w:tcPr>
          <w:p>
            <w:pPr>
              <w:spacing w:before="26" w:after="26"/>
            </w:pPr>
            <w:r>
              <w:rPr>
                <w:color w:val="232733"/>
                <w:sz w:val="16"/>
                <w:szCs w:val="16"/>
              </w:rPr>
              <w:t xml:space="preserve">حزمة القرار</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5.1  Zero-based budgeting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Continuous (rolling) budgets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essential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Choosing a budget system</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sponsorships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5A: the 2028 budget review</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Finance and 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figures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IT support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subtracts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Legal and compliance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Zero-based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approved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justified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requested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discretionary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zero-based budgeting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head-office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decision package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decision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Incremental budgeting starts from last year's figures and adds or subtracts a change. Zero-based budgeting starts from zero every year: each activity must be justified again, as if it were new. It suits discretionary costs, such as head-office services, where spending can grow without a clear reason. The budget is built from decision packages. Each package describes an activity, its cost and its benefit; managers rank the packages, and top management funds them down the ranking until the money runs out.</w:t>
      </w:r>
    </w:p>
    <w:p>
      <w:pPr>
        <w:spacing w:before="20" w:after="20"/>
        <w:ind w:left="240" w:hanging="240"/>
      </w:pPr>
      <w:r>
        <w:rPr>
          <w:b/>
          <w:bCs/>
          <w:color w:val="353A7C"/>
          <w:sz w:val="15"/>
          <w:szCs w:val="15"/>
        </w:rPr>
        <w:t xml:space="preserve">Summary 2   </w:t>
      </w:r>
      <w:r>
        <w:rPr>
          <w:color w:val="6B7280"/>
          <w:sz w:val="15"/>
          <w:szCs w:val="15"/>
        </w:rPr>
        <w:t xml:space="preserve">Six packages ask for $1,260,000. The board funds the essential packages in full, reduces two and rejects the sponsorships.</w:t>
      </w:r>
    </w:p>
    <w:p>
      <w:pPr>
        <w:spacing w:before="20" w:after="20"/>
        <w:ind w:left="240" w:hanging="240"/>
      </w:pPr>
      <w:r>
        <w:rPr>
          <w:b/>
          <w:bCs/>
          <w:color w:val="353A7C"/>
          <w:sz w:val="15"/>
          <w:szCs w:val="15"/>
        </w:rPr>
        <w:t xml:space="preserve">Summary 3   </w:t>
      </w:r>
      <w:r>
        <w:rPr>
          <w:color w:val="6B7280"/>
          <w:sz w:val="15"/>
          <w:szCs w:val="15"/>
        </w:rPr>
        <w:t xml:space="preserve">A zero-based budget uses the approved amount of each package. An answer that adds the requested amounts, or starts from last year's total, has not used zero-based budgeting.</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5.2  Continuous (rolling) budgets</w:t>
            </w:r>
          </w:p>
          <w:p>
            <w:pPr>
              <w:spacing w:before="0" w:after="46"/>
            </w:pPr>
            <w:r>
              <w:rPr>
                <w:color w:val="E8EAF6"/>
                <w:sz w:val="16"/>
                <w:szCs w:val="16"/>
              </w:rPr>
              <w:t xml:space="preserve">Chapter 5 · section 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(rolling) budget always covers the same length of time ahead,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twelve months. </w:t>
      </w:r>
      <w:r>
        <w:rPr>
          <w:sz w:val="19"/>
          <w:szCs w:val="19"/>
        </w:rPr>
        <w:t xml:space="preserve">When a month or quarter ends, 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a new one is added at the end. </w:t>
      </w:r>
      <w:r>
        <w:rPr>
          <w:sz w:val="19"/>
          <w:szCs w:val="19"/>
        </w:rPr>
        <w:t xml:space="preserve">It suits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markets, like juice.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budget planned 900,000 cases for 2028. </w:t>
      </w:r>
      <w:r>
        <w:rPr>
          <w:sz w:val="19"/>
          <w:szCs w:val="19"/>
        </w:rPr>
        <w:t xml:space="preserve">In March, the first quarter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second quarter is raised to 230,000 cases, and the first quarter of the next year is added at 215,000.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December   ·   dropped   ·   finished   ·   usually   ·   continuous   ·   fast-changing   ·   targets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827"/>
        <w:gridCol w:w="864"/>
        <w:gridCol w:w="994"/>
        <w:gridCol w:w="994"/>
        <w:gridCol w:w="994"/>
        <w:gridCol w:w="864"/>
        <w:gridCol w:w="1063"/>
      </w:tblGrid>
      <w:tr>
        <w:tc>
          <w:tcPr>
            <w:tcW w:type="pct" w:w="5000"/>
            <w:gridSpan w:val="7"/>
            <w:shd w:fill="353A7C" w:val="clear"/>
            <w:tcMar>
              <w:top w:type="dxa" w:w="60"/>
              <w:left w:type="dxa" w:w="120"/>
              <w:bottom w:type="dxa" w:w="60"/>
              <w:right w:type="dxa" w:w="120"/>
            </w:tcMar>
          </w:tcPr>
          <w:p>
            <w:pPr>
              <w:spacing w:before="40" w:after="40"/>
            </w:pPr>
            <w:r>
              <w:rPr>
                <w:b/>
                <w:bCs/>
                <w:color w:val="FFFFFF"/>
                <w:sz w:val="17"/>
                <w:szCs w:val="17"/>
              </w:rPr>
              <w:t xml:space="preserve">The Beverages rolling budget before and after the March update</w:t>
            </w:r>
          </w:p>
        </w:tc>
      </w:tr>
      <w:tr>
        <w:tc>
          <w:tcPr>
            <w:tcW w:type="pct" w:w="1993"/>
            <w:shd w:fill="353A7C" w:val="clear"/>
            <w:tcMar>
              <w:top w:type="dxa" w:w="50"/>
              <w:left w:type="dxa" w:w="110"/>
              <w:bottom w:type="dxa" w:w="50"/>
              <w:right w:type="dxa" w:w="110"/>
            </w:tcMar>
          </w:tcPr>
          <w:p>
            <w:pPr>
              <w:spacing w:before="30" w:after="30"/>
            </w:pPr>
            <w:r>
              <w:rPr>
                <w:b/>
                <w:bCs/>
                <w:color w:val="FFFFFF"/>
                <w:sz w:val="15"/>
                <w:szCs w:val="15"/>
              </w:rPr>
              <w:t xml:space="preserve">Beverages cases</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Q1 2028</w:t>
            </w:r>
          </w:p>
        </w:tc>
        <w:tc>
          <w:tcPr>
            <w:tcW w:type="pct" w:w="518"/>
            <w:shd w:fill="353A7C" w:val="clear"/>
            <w:tcMar>
              <w:top w:type="dxa" w:w="50"/>
              <w:left w:type="dxa" w:w="110"/>
              <w:bottom w:type="dxa" w:w="50"/>
              <w:right w:type="dxa" w:w="110"/>
            </w:tcMar>
          </w:tcPr>
          <w:p>
            <w:pPr>
              <w:spacing w:before="30" w:after="30"/>
            </w:pPr>
            <w:r>
              <w:rPr>
                <w:b/>
                <w:bCs/>
                <w:color w:val="FFFFFF"/>
                <w:sz w:val="15"/>
                <w:szCs w:val="15"/>
              </w:rPr>
              <w:t xml:space="preserve">Q2 2028</w:t>
            </w:r>
          </w:p>
        </w:tc>
        <w:tc>
          <w:tcPr>
            <w:tcW w:type="pct" w:w="518"/>
            <w:shd w:fill="353A7C" w:val="clear"/>
            <w:tcMar>
              <w:top w:type="dxa" w:w="50"/>
              <w:left w:type="dxa" w:w="110"/>
              <w:bottom w:type="dxa" w:w="50"/>
              <w:right w:type="dxa" w:w="110"/>
            </w:tcMar>
          </w:tcPr>
          <w:p>
            <w:pPr>
              <w:spacing w:before="30" w:after="30"/>
            </w:pPr>
            <w:r>
              <w:rPr>
                <w:b/>
                <w:bCs/>
                <w:color w:val="FFFFFF"/>
                <w:sz w:val="15"/>
                <w:szCs w:val="15"/>
              </w:rPr>
              <w:t xml:space="preserve">Q3 2028</w:t>
            </w:r>
          </w:p>
        </w:tc>
        <w:tc>
          <w:tcPr>
            <w:tcW w:type="pct" w:w="518"/>
            <w:shd w:fill="353A7C" w:val="clear"/>
            <w:tcMar>
              <w:top w:type="dxa" w:w="50"/>
              <w:left w:type="dxa" w:w="110"/>
              <w:bottom w:type="dxa" w:w="50"/>
              <w:right w:type="dxa" w:w="110"/>
            </w:tcMar>
          </w:tcPr>
          <w:p>
            <w:pPr>
              <w:spacing w:before="30" w:after="30"/>
            </w:pPr>
            <w:r>
              <w:rPr>
                <w:b/>
                <w:bCs/>
                <w:color w:val="FFFFFF"/>
                <w:sz w:val="15"/>
                <w:szCs w:val="15"/>
              </w:rPr>
              <w:t xml:space="preserve">Q4 2028</w:t>
            </w:r>
          </w:p>
        </w:tc>
        <w:tc>
          <w:tcPr>
            <w:tcW w:type="pct" w:w="450"/>
            <w:shd w:fill="353A7C" w:val="clear"/>
            <w:tcMar>
              <w:top w:type="dxa" w:w="50"/>
              <w:left w:type="dxa" w:w="110"/>
              <w:bottom w:type="dxa" w:w="50"/>
              <w:right w:type="dxa" w:w="110"/>
            </w:tcMar>
          </w:tcPr>
          <w:p>
            <w:pPr>
              <w:spacing w:before="30" w:after="30"/>
            </w:pPr>
            <w:r>
              <w:rPr>
                <w:b/>
                <w:bCs/>
                <w:color w:val="FFFFFF"/>
                <w:sz w:val="15"/>
                <w:szCs w:val="15"/>
              </w:rPr>
              <w:t xml:space="preserve">Q1 2029</w:t>
            </w:r>
          </w:p>
        </w:tc>
        <w:tc>
          <w:tcPr>
            <w:tcW w:type="pct" w:w="554"/>
            <w:shd w:fill="353A7C" w:val="clear"/>
            <w:tcMar>
              <w:top w:type="dxa" w:w="50"/>
              <w:left w:type="dxa" w:w="110"/>
              <w:bottom w:type="dxa" w:w="50"/>
              <w:right w:type="dxa" w:w="110"/>
            </w:tcMar>
          </w:tcPr>
          <w:p>
            <w:pPr>
              <w:spacing w:before="30" w:after="30"/>
            </w:pPr>
            <w:r>
              <w:rPr>
                <w:b/>
                <w:bCs/>
                <w:color w:val="FFFFFF"/>
                <w:sz w:val="15"/>
                <w:szCs w:val="15"/>
              </w:rPr>
              <w:t xml:space="preserve">Four quarters</w:t>
            </w:r>
          </w:p>
        </w:tc>
      </w:tr>
      <w:tr>
        <w:tc>
          <w:tcPr>
            <w:tcW w:type="pct" w:w="1993"/>
            <w:tcMar>
              <w:top w:type="dxa" w:w="50"/>
              <w:left w:type="dxa" w:w="110"/>
              <w:bottom w:type="dxa" w:w="50"/>
              <w:right w:type="dxa" w:w="110"/>
            </w:tcMar>
          </w:tcPr>
          <w:p>
            <w:pPr>
              <w:spacing w:before="28" w:after="28"/>
            </w:pPr>
            <w:r>
              <w:rPr>
                <w:sz w:val="15"/>
                <w:szCs w:val="15"/>
              </w:rPr>
              <w:t xml:space="preserve">Budget made in December 2027</w:t>
            </w:r>
          </w:p>
        </w:tc>
        <w:tc>
          <w:tcPr>
            <w:tcW w:type="pct" w:w="450"/>
            <w:tcMar>
              <w:top w:type="dxa" w:w="50"/>
              <w:left w:type="dxa" w:w="110"/>
              <w:bottom w:type="dxa" w:w="50"/>
              <w:right w:type="dxa" w:w="110"/>
            </w:tcMar>
          </w:tcPr>
          <w:p>
            <w:pPr>
              <w:spacing w:before="28" w:after="28"/>
            </w:pPr>
            <w:r>
              <w:rPr>
                <w:sz w:val="15"/>
                <w:szCs w:val="15"/>
              </w:rPr>
              <w:t xml:space="preserve">210,000</w:t>
            </w:r>
          </w:p>
        </w:tc>
        <w:tc>
          <w:tcPr>
            <w:tcW w:type="pct" w:w="518"/>
            <w:tcMar>
              <w:top w:type="dxa" w:w="50"/>
              <w:left w:type="dxa" w:w="110"/>
              <w:bottom w:type="dxa" w:w="50"/>
              <w:right w:type="dxa" w:w="110"/>
            </w:tcMar>
          </w:tcPr>
          <w:p>
            <w:pPr>
              <w:spacing w:before="28" w:after="28"/>
            </w:pPr>
            <w:r>
              <w:rPr>
                <w:sz w:val="15"/>
                <w:szCs w:val="15"/>
              </w:rPr>
              <w:t xml:space="preserve">225,000</w:t>
            </w:r>
          </w:p>
        </w:tc>
        <w:tc>
          <w:tcPr>
            <w:tcW w:type="pct" w:w="518"/>
            <w:tcMar>
              <w:top w:type="dxa" w:w="50"/>
              <w:left w:type="dxa" w:w="110"/>
              <w:bottom w:type="dxa" w:w="50"/>
              <w:right w:type="dxa" w:w="110"/>
            </w:tcMar>
          </w:tcPr>
          <w:p>
            <w:pPr>
              <w:spacing w:before="28" w:after="28"/>
            </w:pPr>
            <w:r>
              <w:rPr>
                <w:sz w:val="15"/>
                <w:szCs w:val="15"/>
              </w:rPr>
              <w:t xml:space="preserve">240,000</w:t>
            </w:r>
          </w:p>
        </w:tc>
        <w:tc>
          <w:tcPr>
            <w:tcW w:type="pct" w:w="518"/>
            <w:tcMar>
              <w:top w:type="dxa" w:w="50"/>
              <w:left w:type="dxa" w:w="110"/>
              <w:bottom w:type="dxa" w:w="50"/>
              <w:right w:type="dxa" w:w="110"/>
            </w:tcMar>
          </w:tcPr>
          <w:p>
            <w:pPr>
              <w:spacing w:before="28" w:after="28"/>
            </w:pPr>
            <w:r>
              <w:rPr>
                <w:sz w:val="15"/>
                <w:szCs w:val="15"/>
              </w:rPr>
              <w:t xml:space="preserve">225,000</w:t>
            </w:r>
          </w:p>
        </w:tc>
        <w:tc>
          <w:tcPr>
            <w:tcW w:type="pct" w:w="450"/>
            <w:tcMar>
              <w:top w:type="dxa" w:w="50"/>
              <w:left w:type="dxa" w:w="110"/>
              <w:bottom w:type="dxa" w:w="50"/>
              <w:right w:type="dxa" w:w="110"/>
            </w:tcMar>
          </w:tcPr>
          <w:p>
            <w:pPr>
              <w:spacing w:before="28" w:after="28"/>
            </w:pPr>
            <w:r>
              <w:rPr>
                <w:sz w:val="15"/>
                <w:szCs w:val="15"/>
              </w:rPr>
              <w:t xml:space="preserve">—</w:t>
            </w:r>
          </w:p>
        </w:tc>
        <w:tc>
          <w:tcPr>
            <w:tcW w:type="pct" w:w="554"/>
            <w:tcMar>
              <w:top w:type="dxa" w:w="50"/>
              <w:left w:type="dxa" w:w="110"/>
              <w:bottom w:type="dxa" w:w="50"/>
              <w:right w:type="dxa" w:w="110"/>
            </w:tcMar>
          </w:tcPr>
          <w:p>
            <w:pPr>
              <w:spacing w:before="28" w:after="28"/>
            </w:pPr>
            <w:r>
              <w:rPr>
                <w:sz w:val="15"/>
                <w:szCs w:val="15"/>
              </w:rPr>
              <w:t xml:space="preserve">900,000</w:t>
            </w:r>
          </w:p>
        </w:tc>
      </w:tr>
      <w:tr>
        <w:tc>
          <w:tcPr>
            <w:tcW w:type="pct" w:w="1993"/>
            <w:shd w:fill="FBFAF6" w:val="clear"/>
            <w:tcMar>
              <w:top w:type="dxa" w:w="50"/>
              <w:left w:type="dxa" w:w="110"/>
              <w:bottom w:type="dxa" w:w="50"/>
              <w:right w:type="dxa" w:w="110"/>
            </w:tcMar>
          </w:tcPr>
          <w:p>
            <w:pPr>
              <w:spacing w:before="28" w:after="28"/>
            </w:pPr>
            <w:r>
              <w:rPr>
                <w:sz w:val="15"/>
                <w:szCs w:val="15"/>
              </w:rPr>
              <w:t xml:space="preserve">Rolled forward in March 2028</w:t>
            </w:r>
          </w:p>
        </w:tc>
        <w:tc>
          <w:tcPr>
            <w:tcW w:type="pct" w:w="45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518"/>
            <w:shd w:fill="FBFAF6" w:val="clear"/>
            <w:tcMar>
              <w:top w:type="dxa" w:w="50"/>
              <w:left w:type="dxa" w:w="110"/>
              <w:bottom w:type="dxa" w:w="50"/>
              <w:right w:type="dxa" w:w="110"/>
            </w:tcMar>
          </w:tcPr>
          <w:p>
            <w:pPr>
              <w:spacing w:before="28" w:after="28"/>
            </w:pPr>
            <w:r>
              <w:rPr>
                <w:sz w:val="15"/>
                <w:szCs w:val="15"/>
              </w:rPr>
              <w:t xml:space="preserve">230,000</w:t>
            </w:r>
          </w:p>
        </w:tc>
        <w:tc>
          <w:tcPr>
            <w:tcW w:type="pct" w:w="518"/>
            <w:shd w:fill="FBFAF6" w:val="clear"/>
            <w:tcMar>
              <w:top w:type="dxa" w:w="50"/>
              <w:left w:type="dxa" w:w="110"/>
              <w:bottom w:type="dxa" w:w="50"/>
              <w:right w:type="dxa" w:w="110"/>
            </w:tcMar>
          </w:tcPr>
          <w:p>
            <w:pPr>
              <w:spacing w:before="28" w:after="28"/>
            </w:pPr>
            <w:r>
              <w:rPr>
                <w:sz w:val="15"/>
                <w:szCs w:val="15"/>
              </w:rPr>
              <w:t xml:space="preserve">240,000</w:t>
            </w:r>
          </w:p>
        </w:tc>
        <w:tc>
          <w:tcPr>
            <w:tcW w:type="pct" w:w="518"/>
            <w:shd w:fill="FBFAF6" w:val="clear"/>
            <w:tcMar>
              <w:top w:type="dxa" w:w="50"/>
              <w:left w:type="dxa" w:w="110"/>
              <w:bottom w:type="dxa" w:w="50"/>
              <w:right w:type="dxa" w:w="110"/>
            </w:tcMar>
          </w:tcPr>
          <w:p>
            <w:pPr>
              <w:spacing w:before="28" w:after="28"/>
            </w:pPr>
            <w:r>
              <w:rPr>
                <w:sz w:val="15"/>
                <w:szCs w:val="15"/>
              </w:rPr>
              <w:t xml:space="preserve">225,000</w:t>
            </w:r>
          </w:p>
        </w:tc>
        <w:tc>
          <w:tcPr>
            <w:tcW w:type="pct" w:w="450"/>
            <w:shd w:fill="FBFAF6" w:val="clear"/>
            <w:tcMar>
              <w:top w:type="dxa" w:w="50"/>
              <w:left w:type="dxa" w:w="110"/>
              <w:bottom w:type="dxa" w:w="50"/>
              <w:right w:type="dxa" w:w="110"/>
            </w:tcMar>
          </w:tcPr>
          <w:p>
            <w:pPr>
              <w:spacing w:before="28" w:after="28"/>
            </w:pPr>
            <w:r>
              <w:rPr>
                <w:sz w:val="15"/>
                <w:szCs w:val="15"/>
              </w:rPr>
              <w:t xml:space="preserve">215,000</w:t>
            </w:r>
          </w:p>
        </w:tc>
        <w:tc>
          <w:tcPr>
            <w:tcW w:type="pct" w:w="554"/>
            <w:shd w:fill="FBFAF6" w:val="clear"/>
            <w:tcMar>
              <w:top w:type="dxa" w:w="50"/>
              <w:left w:type="dxa" w:w="110"/>
              <w:bottom w:type="dxa" w:w="50"/>
              <w:right w:type="dxa" w:w="110"/>
            </w:tcMar>
          </w:tcPr>
          <w:p>
            <w:pPr>
              <w:spacing w:before="28" w:after="28"/>
            </w:pPr>
            <w:r>
              <w:rPr>
                <w:sz w:val="15"/>
                <w:szCs w:val="15"/>
              </w:rPr>
              <w:t xml:space="preserve">910,000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zero-based budgeting   ·   (done)</w:t>
            </w:r>
          </w:p>
        </w:tc>
      </w:tr>
    </w:tbl>
    <w:p/>
    <w:p>
      <w:pPr>
        <w:spacing w:before="44" w:after="14"/>
      </w:pPr>
      <w:r>
        <w:rPr>
          <w:b/>
          <w:bCs/>
          <w:color w:val="353A7C"/>
          <w:sz w:val="18"/>
          <w:szCs w:val="18"/>
        </w:rPr>
        <w:t xml:space="preserve">Summary 2</w:t>
      </w:r>
      <w:r>
        <w:rPr>
          <w:color w:val="6B7280"/>
          <w:sz w:val="16"/>
          <w:szCs w:val="16"/>
        </w:rPr>
        <w:t xml:space="preserve">      gaps 8–10</w:t>
      </w:r>
    </w:p>
    <w:p>
      <w:pPr>
        <w:spacing w:before="20" w:after="20" w:line="360" w:lineRule="auto"/>
        <w:ind w:left="200"/>
      </w:pPr>
      <w:r>
        <w:rPr>
          <w:sz w:val="19"/>
          <w:szCs w:val="19"/>
        </w:rPr>
        <w:t xml:space="preserve">A rolling budget keeps planning up to date, but it takes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work, and targets that keep moving can confuse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evaluation. </w:t>
      </w:r>
      <w:r>
        <w:rPr>
          <w:sz w:val="19"/>
          <w:szCs w:val="19"/>
        </w:rPr>
        <w:t xml:space="preserve">Many companies keep the annual budget for evaluation and use a rolling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planning.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constant   ·   forecast   ·   finished   ·   performance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73"/>
        <w:gridCol w:w="472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3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38"/>
            <w:tcMar>
              <w:top w:type="dxa" w:w="50"/>
              <w:left w:type="dxa" w:w="110"/>
              <w:bottom w:type="dxa" w:w="50"/>
              <w:right w:type="dxa" w:w="110"/>
            </w:tcMar>
          </w:tcPr>
          <w:p>
            <w:pPr>
              <w:spacing w:before="26" w:after="26"/>
            </w:pPr>
            <w:r>
              <w:rPr>
                <w:color w:val="232733"/>
                <w:sz w:val="16"/>
                <w:szCs w:val="16"/>
              </w:rPr>
              <w:t xml:space="preserve">continuous (rolling) budget</w:t>
            </w:r>
          </w:p>
        </w:tc>
        <w:tc>
          <w:tcPr>
            <w:tcW w:type="pct" w:w="2462"/>
            <w:tcMar>
              <w:top w:type="dxa" w:w="50"/>
              <w:left w:type="dxa" w:w="110"/>
              <w:bottom w:type="dxa" w:w="50"/>
              <w:right w:type="dxa" w:w="110"/>
            </w:tcMar>
          </w:tcPr>
          <w:p>
            <w:pPr>
              <w:spacing w:before="26" w:after="26"/>
            </w:pPr>
            <w:r>
              <w:rPr>
                <w:color w:val="232733"/>
                <w:sz w:val="16"/>
                <w:szCs w:val="16"/>
              </w:rPr>
              <w:t xml:space="preserve">الموازنة المستمرة (المتحركة)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5.2  Continuous (rolling) budgets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continuous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finished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dropped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constant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fast-changing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December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forecast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continuous (rolling) budget always covers the same length of time ahead, usually twelve months. When a month or quarter ends, it is dropped and a new one is added at the end. It suits fast-changing markets, like juice. The December budget planned 900,000 cases for 2028. In March, the first quarter is finished; the second quarter is raised to 230,000 cases, and the first quarter of the next year is added at 215,000.</w:t>
      </w:r>
    </w:p>
    <w:p>
      <w:pPr>
        <w:spacing w:before="20" w:after="20"/>
        <w:ind w:left="240" w:hanging="240"/>
      </w:pPr>
      <w:r>
        <w:rPr>
          <w:b/>
          <w:bCs/>
          <w:color w:val="353A7C"/>
          <w:sz w:val="15"/>
          <w:szCs w:val="15"/>
        </w:rPr>
        <w:t xml:space="preserve">Summary 2   </w:t>
      </w:r>
      <w:r>
        <w:rPr>
          <w:color w:val="6B7280"/>
          <w:sz w:val="15"/>
          <w:szCs w:val="15"/>
        </w:rPr>
        <w:t xml:space="preserve">A rolling budget keeps planning up to date, but it takes constant work, and targets that keep moving can confuse performance evaluation. Many companies keep the annual budget for evaluation and use a rolling forecast for planning.</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5.3  Flexible budgets</w:t>
            </w:r>
          </w:p>
          <w:p>
            <w:pPr>
              <w:spacing w:before="0" w:after="46"/>
            </w:pPr>
            <w:r>
              <w:rPr>
                <w:color w:val="E8EAF6"/>
                <w:sz w:val="16"/>
                <w:szCs w:val="16"/>
              </w:rPr>
              <w:t xml:space="preserve">Chapter 5 · section 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budget is prepared for one planned level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budget can be prepared for any level, using the cost formula of each cost: fixed cost plus variable cost per unit. </w:t>
      </w:r>
      <w:r>
        <w:rPr>
          <w:sz w:val="19"/>
          <w:szCs w:val="19"/>
        </w:rPr>
        <w:t xml:space="preserve">It is used mainly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actual costs with what they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have been at the actual volume.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 formula for a month is $350,000 of fixed costs plus $11.80 of variable cost per case. </w:t>
      </w:r>
      <w:r>
        <w:rPr>
          <w:sz w:val="19"/>
          <w:szCs w:val="19"/>
        </w:rPr>
        <w:t xml:space="preserve">The variable cost is $10.60 of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 from the Book 2 card and $1.20 of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selling   ·   prepared   ·   should   ·   compare   ·   activity   ·   Beverages   ·   flexible   ·   static   ·   manufacturing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three levels of activity</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At 75,000 cases, sales are $1,500,000,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costs $885,000 and fixed costs $350,000, so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income is $265,000.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   planned   ·   operating</w:t>
            </w:r>
          </w:p>
        </w:tc>
      </w:tr>
    </w:tbl>
    <w:p/>
    <w:p>
      <w:pPr>
        <w:spacing w:before="44" w:after="10"/>
      </w:pPr>
      <w:r>
        <w:rPr>
          <w:b/>
          <w:bCs/>
          <w:color w:val="353A7C"/>
          <w:sz w:val="18"/>
          <w:szCs w:val="18"/>
        </w:rPr>
        <w:t xml:space="preserve">Worked example: the Beverages flexible budget for one month</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248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costs   ·   incremental budgeting   ·   Contribution margin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flexible budget at the higher volume</w:t>
            </w:r>
          </w:p>
        </w:tc>
      </w:tr>
    </w:tbl>
    <w:p/>
    <w:p>
      <w:pPr>
        <w:spacing w:before="44" w:after="14"/>
      </w:pPr>
      <w:r>
        <w:rPr>
          <w:b/>
          <w:bCs/>
          <w:color w:val="353A7C"/>
          <w:sz w:val="18"/>
          <w:szCs w:val="18"/>
        </w:rPr>
        <w:t xml:space="preserve">Summary 3</w:t>
      </w:r>
      <w:r>
        <w:rPr>
          <w:color w:val="6B7280"/>
          <w:sz w:val="16"/>
          <w:szCs w:val="16"/>
        </w:rPr>
        <w:t xml:space="preserve">      gaps 13–14</w:t>
      </w:r>
    </w:p>
    <w:p>
      <w:pPr>
        <w:spacing w:before="20" w:after="20" w:line="360" w:lineRule="auto"/>
        <w:ind w:left="200"/>
      </w:pPr>
      <w:r>
        <w:rPr>
          <w:sz w:val="19"/>
          <w:szCs w:val="19"/>
        </w:rPr>
        <w:t xml:space="preserve">Complete the blank cells. </w:t>
      </w:r>
      <w:r>
        <w:rPr>
          <w:sz w:val="19"/>
          <w:szCs w:val="19"/>
        </w:rPr>
        <w:t xml:space="preserve">Each extra case adds $8.20 of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income, because fixed costs do not change. </w:t>
      </w:r>
      <w:r>
        <w:rPr>
          <w:sz w:val="19"/>
          <w:szCs w:val="19"/>
        </w:rPr>
        <w:t xml:space="preserve">The flexible budget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shows how much income should rise or fall with volume.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   therefore   ·   variable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الموازنة المرنة   ·   static budget   ·   flexible budget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flexible budget</w:t>
            </w:r>
          </w:p>
        </w:tc>
        <w:tc>
          <w:tcPr>
            <w:tcW w:type="pct" w:w="2600"/>
            <w:tcMar>
              <w:top w:type="dxa" w:w="50"/>
              <w:left w:type="dxa" w:w="110"/>
              <w:bottom w:type="dxa" w:w="50"/>
              <w:right w:type="dxa" w:w="110"/>
            </w:tcMar>
          </w:tcPr>
          <w:p>
            <w:pPr>
              <w:spacing w:before="26" w:after="26"/>
            </w:pPr>
            <w:r>
              <w:rPr>
                <w:color w:val="232733"/>
                <w:sz w:val="16"/>
                <w:szCs w:val="16"/>
              </w:rPr>
              <w:t xml:space="preserve">الموازنة المرنة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static budget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الموازنة الثابتة (الساكنة)</w:t>
            </w:r>
          </w:p>
        </w:tc>
      </w:tr>
      <w:tr>
        <w:tc>
          <w:tcPr>
            <w:tcW w:type="pct" w:w="2400"/>
            <w:tcMar>
              <w:top w:type="dxa" w:w="50"/>
              <w:left w:type="dxa" w:w="110"/>
              <w:bottom w:type="dxa" w:w="50"/>
              <w:right w:type="dxa" w:w="110"/>
            </w:tcMar>
          </w:tcPr>
          <w:p>
            <w:pPr>
              <w:spacing w:before="26" w:after="26"/>
            </w:pPr>
            <w:r>
              <w:rPr>
                <w:color w:val="232733"/>
                <w:sz w:val="16"/>
                <w:szCs w:val="16"/>
              </w:rPr>
              <w:t xml:space="preserve">cost formula</w:t>
            </w:r>
          </w:p>
        </w:tc>
        <w:tc>
          <w:tcPr>
            <w:tcW w:type="pct" w:w="2600"/>
            <w:tcMar>
              <w:top w:type="dxa" w:w="50"/>
              <w:left w:type="dxa" w:w="110"/>
              <w:bottom w:type="dxa" w:w="50"/>
              <w:right w:type="dxa" w:w="110"/>
            </w:tcMar>
          </w:tcPr>
          <w:p>
            <w:pPr>
              <w:spacing w:before="26" w:after="26"/>
            </w:pPr>
            <w:r>
              <w:rPr>
                <w:color w:val="232733"/>
                <w:sz w:val="16"/>
                <w:szCs w:val="16"/>
              </w:rPr>
              <w:t xml:space="preserve">معادلة التكلفة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5.3  Flexible budgets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static</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Contribution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compare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Fixed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should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flexible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selling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static budget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static budget is prepared for one planned level of activity. A flexible budget can be prepared for any level, using the cost formula of each cost: fixed cost plus variable cost per unit. It is used mainly to compare actual costs with what they should have been at the actual volume. The Beverages cost formula for a month is $350,000 of fixed costs plus $11.80 of variable cost per case. The variable cost is $10.60 of manufacturing cost from the Book 2 card and $1.20 of selling cost.</w:t>
      </w:r>
    </w:p>
    <w:p>
      <w:pPr>
        <w:spacing w:before="20" w:after="20"/>
        <w:ind w:left="240" w:hanging="240"/>
      </w:pPr>
      <w:r>
        <w:rPr>
          <w:b/>
          <w:bCs/>
          <w:color w:val="353A7C"/>
          <w:sz w:val="15"/>
          <w:szCs w:val="15"/>
        </w:rPr>
        <w:t xml:space="preserve">Summary 2   </w:t>
      </w:r>
      <w:r>
        <w:rPr>
          <w:color w:val="6B7280"/>
          <w:sz w:val="15"/>
          <w:szCs w:val="15"/>
        </w:rPr>
        <w:t xml:space="preserve">At 75,000 cases, sales are $1,500,000, variable costs $885,000 and fixed costs $350,000, so operating income is $265,000.</w:t>
      </w:r>
    </w:p>
    <w:p>
      <w:pPr>
        <w:spacing w:before="20" w:after="20"/>
        <w:ind w:left="240" w:hanging="240"/>
      </w:pPr>
      <w:r>
        <w:rPr>
          <w:b/>
          <w:bCs/>
          <w:color w:val="353A7C"/>
          <w:sz w:val="15"/>
          <w:szCs w:val="15"/>
        </w:rPr>
        <w:t xml:space="preserve">Summary 3   </w:t>
      </w:r>
      <w:r>
        <w:rPr>
          <w:color w:val="6B7280"/>
          <w:sz w:val="15"/>
          <w:szCs w:val="15"/>
        </w:rPr>
        <w:t xml:space="preserve">Complete the blank cells. Each extra case adds $8.20 of operating income, because fixed costs do not change. The flexible budget therefore shows how much income should rise or fall with volume.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5.4  Choosing a budget system</w:t>
            </w:r>
          </w:p>
          <w:p>
            <w:pPr>
              <w:spacing w:before="0" w:after="46"/>
            </w:pPr>
            <w:r>
              <w:rPr>
                <w:color w:val="E8EAF6"/>
                <w:sz w:val="16"/>
                <w:szCs w:val="16"/>
              </w:rPr>
              <w:t xml:space="preserve">Chapter 5 · section 5.4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The right system depends on the situation and the decision.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3799"/>
        <w:gridCol w:w="157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Recommending a budget system for each situation</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Business situation (B.4.e)</w:t>
            </w:r>
          </w:p>
        </w:tc>
        <w:tc>
          <w:tcPr>
            <w:tcW w:type="pct" w:w="1979"/>
            <w:shd w:fill="353A7C" w:val="clear"/>
            <w:tcMar>
              <w:top w:type="dxa" w:w="50"/>
              <w:left w:type="dxa" w:w="110"/>
              <w:bottom w:type="dxa" w:w="50"/>
              <w:right w:type="dxa" w:w="110"/>
            </w:tcMar>
          </w:tcPr>
          <w:p>
            <w:pPr>
              <w:spacing w:before="30" w:after="30"/>
            </w:pPr>
            <w:r>
              <w:rPr>
                <w:b/>
                <w:bCs/>
                <w:color w:val="FFFFFF"/>
                <w:sz w:val="15"/>
                <w:szCs w:val="15"/>
              </w:rPr>
              <w:t xml:space="preserve">Recommended system</w:t>
            </w:r>
          </w:p>
        </w:tc>
        <w:tc>
          <w:tcPr>
            <w:tcW w:type="pct" w:w="821"/>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r>
      <w:tr>
        <w:tc>
          <w:tcPr>
            <w:tcW w:type="pct" w:w="2200"/>
            <w:tcMar>
              <w:top w:type="dxa" w:w="50"/>
              <w:left w:type="dxa" w:w="110"/>
              <w:bottom w:type="dxa" w:w="50"/>
              <w:right w:type="dxa" w:w="110"/>
            </w:tcMar>
          </w:tcPr>
          <w:p>
            <w:pPr>
              <w:spacing w:before="28" w:after="28"/>
            </w:pPr>
            <w:r>
              <w:rPr>
                <w:sz w:val="15"/>
                <w:szCs w:val="15"/>
              </w:rPr>
              <w:t xml:space="preserve">Costs keep rising with no clear reason; many discretionary costs</w:t>
            </w:r>
          </w:p>
        </w:tc>
        <w:tc>
          <w:tcPr>
            <w:tcW w:type="pct" w:w="1979"/>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821"/>
            <w:tcMar>
              <w:top w:type="dxa" w:w="50"/>
              <w:left w:type="dxa" w:w="110"/>
              <w:bottom w:type="dxa" w:w="50"/>
              <w:right w:type="dxa" w:w="110"/>
            </w:tcMar>
          </w:tcPr>
          <w:p>
            <w:pPr>
              <w:spacing w:before="28" w:after="28"/>
            </w:pPr>
            <w:r>
              <w:rPr>
                <w:sz w:val="15"/>
                <w:szCs w:val="15"/>
              </w:rPr>
              <w:t xml:space="preserve">Head office</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Fast-changing market; plans must look a year ahead at all times</w:t>
            </w:r>
          </w:p>
        </w:tc>
        <w:tc>
          <w:tcPr>
            <w:tcW w:type="pct" w:w="1979"/>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821"/>
            <w:shd w:fill="FBFAF6" w:val="clear"/>
            <w:tcMar>
              <w:top w:type="dxa" w:w="50"/>
              <w:left w:type="dxa" w:w="110"/>
              <w:bottom w:type="dxa" w:w="50"/>
              <w:right w:type="dxa" w:w="110"/>
            </w:tcMar>
          </w:tcPr>
          <w:p>
            <w:pPr>
              <w:spacing w:before="28" w:after="28"/>
            </w:pPr>
            <w:r>
              <w:rPr>
                <w:sz w:val="15"/>
                <w:szCs w:val="15"/>
              </w:rPr>
              <w:t xml:space="preserve">Beverages sales</w:t>
            </w:r>
          </w:p>
        </w:tc>
      </w:tr>
      <w:tr>
        <w:tc>
          <w:tcPr>
            <w:tcW w:type="pct" w:w="2200"/>
            <w:tcMar>
              <w:top w:type="dxa" w:w="50"/>
              <w:left w:type="dxa" w:w="110"/>
              <w:bottom w:type="dxa" w:w="50"/>
              <w:right w:type="dxa" w:w="110"/>
            </w:tcMar>
          </w:tcPr>
          <w:p>
            <w:pPr>
              <w:spacing w:before="28" w:after="28"/>
            </w:pPr>
            <w:r>
              <w:rPr>
                <w:sz w:val="15"/>
                <w:szCs w:val="15"/>
              </w:rPr>
              <w:t xml:space="preserve">Volume varies; managers must be judged fairly on costs</w:t>
            </w:r>
          </w:p>
        </w:tc>
        <w:tc>
          <w:tcPr>
            <w:tcW w:type="pct" w:w="1979"/>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821"/>
            <w:tcMar>
              <w:top w:type="dxa" w:w="50"/>
              <w:left w:type="dxa" w:w="110"/>
              <w:bottom w:type="dxa" w:w="50"/>
              <w:right w:type="dxa" w:w="110"/>
            </w:tcMar>
          </w:tcPr>
          <w:p>
            <w:pPr>
              <w:spacing w:before="28" w:after="28"/>
            </w:pPr>
            <w:r>
              <w:rPr>
                <w:sz w:val="15"/>
                <w:szCs w:val="15"/>
              </w:rPr>
              <w:t xml:space="preserve">Beverages plant</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One large investment over more than a year</w:t>
            </w:r>
          </w:p>
        </w:tc>
        <w:tc>
          <w:tcPr>
            <w:tcW w:type="pct" w:w="1979"/>
            <w:shd w:fill="FBFAF6" w:val="clear"/>
            <w:tcMar>
              <w:top w:type="dxa" w:w="50"/>
              <w:left w:type="dxa" w:w="110"/>
              <w:bottom w:type="dxa" w:w="50"/>
              <w:right w:type="dxa" w:w="110"/>
            </w:tcMar>
          </w:tcPr>
          <w:p>
            <w:pPr>
              <w:spacing w:before="28" w:after="28"/>
            </w:pPr>
            <w:r>
              <w:rPr>
                <w:sz w:val="15"/>
                <w:szCs w:val="15"/>
              </w:rPr>
              <w:t xml:space="preserve">Project budget (Chapter 4)</w:t>
            </w:r>
          </w:p>
        </w:tc>
        <w:tc>
          <w:tcPr>
            <w:tcW w:type="pct" w:w="821"/>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200"/>
            <w:tcMar>
              <w:top w:type="dxa" w:w="50"/>
              <w:left w:type="dxa" w:w="110"/>
              <w:bottom w:type="dxa" w:w="50"/>
              <w:right w:type="dxa" w:w="110"/>
            </w:tcMar>
          </w:tcPr>
          <w:p>
            <w:pPr>
              <w:spacing w:before="28" w:after="28"/>
            </w:pPr>
            <w:r>
              <w:rPr>
                <w:sz w:val="15"/>
                <w:szCs w:val="15"/>
              </w:rPr>
              <w:t xml:space="preserve">Overhead used very differently by products</w:t>
            </w:r>
          </w:p>
        </w:tc>
        <w:tc>
          <w:tcPr>
            <w:tcW w:type="pct" w:w="1979"/>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821"/>
            <w:tcMar>
              <w:top w:type="dxa" w:w="50"/>
              <w:left w:type="dxa" w:w="110"/>
              <w:bottom w:type="dxa" w:w="50"/>
              <w:right w:type="dxa" w:w="110"/>
            </w:tcMar>
          </w:tcPr>
          <w:p>
            <w:pPr>
              <w:spacing w:before="28" w:after="28"/>
            </w:pPr>
            <w:r>
              <w:rPr>
                <w:sz w:val="15"/>
                <w:szCs w:val="15"/>
              </w:rPr>
              <w:t xml:space="preserve">Pulses &amp; Spices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Filling line   ·   Beverages sales   ·   Zero-based budget   ·   Flexible budget   ·   Continuous (rolling) budget   ·   Activity-based budget (Chapter 4)</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49"/>
        <w:gridCol w:w="4084"/>
        <w:gridCol w:w="33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zero-based, rolling and flexible budgets</w:t>
            </w:r>
          </w:p>
        </w:tc>
      </w:tr>
      <w:tr>
        <w:tc>
          <w:tcPr>
            <w:tcW w:type="pct" w:w="1119"/>
            <w:shd w:fill="353A7C" w:val="clear"/>
            <w:tcMar>
              <w:top w:type="dxa" w:w="50"/>
              <w:left w:type="dxa" w:w="110"/>
              <w:bottom w:type="dxa" w:w="50"/>
              <w:right w:type="dxa" w:w="110"/>
            </w:tcMar>
          </w:tcPr>
          <w:p>
            <w:pPr>
              <w:spacing w:before="30" w:after="30"/>
            </w:pPr>
            <w:r>
              <w:rPr>
                <w:b/>
                <w:bCs/>
                <w:color w:val="FFFFFF"/>
                <w:sz w:val="15"/>
                <w:szCs w:val="15"/>
              </w:rPr>
              <w:t xml:space="preserve">System</w:t>
            </w:r>
          </w:p>
        </w:tc>
        <w:tc>
          <w:tcPr>
            <w:tcW w:type="pct" w:w="2127"/>
            <w:shd w:fill="353A7C" w:val="clear"/>
            <w:tcMar>
              <w:top w:type="dxa" w:w="50"/>
              <w:left w:type="dxa" w:w="110"/>
              <w:bottom w:type="dxa" w:w="50"/>
              <w:right w:type="dxa" w:w="110"/>
            </w:tcMar>
          </w:tcPr>
          <w:p>
            <w:pPr>
              <w:spacing w:before="30" w:after="30"/>
            </w:pPr>
            <w:r>
              <w:rPr>
                <w:b/>
                <w:bCs/>
                <w:color w:val="FFFFFF"/>
                <w:sz w:val="15"/>
                <w:szCs w:val="15"/>
              </w:rPr>
              <w:t xml:space="preserve">Benefits</w:t>
            </w:r>
          </w:p>
        </w:tc>
        <w:tc>
          <w:tcPr>
            <w:tcW w:type="pct" w:w="1754"/>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1119"/>
            <w:tcMar>
              <w:top w:type="dxa" w:w="50"/>
              <w:left w:type="dxa" w:w="110"/>
              <w:bottom w:type="dxa" w:w="50"/>
              <w:right w:type="dxa" w:w="110"/>
            </w:tcMar>
          </w:tcPr>
          <w:p>
            <w:pPr>
              <w:spacing w:before="28" w:after="28"/>
            </w:pPr>
            <w:r>
              <w:rPr>
                <w:sz w:val="15"/>
                <w:szCs w:val="15"/>
              </w:rPr>
              <w:t xml:space="preserve">Zero-based</w:t>
            </w:r>
          </w:p>
        </w:tc>
        <w:tc>
          <w:tcPr>
            <w:tcW w:type="pct" w:w="2127"/>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754"/>
            <w:tcMar>
              <w:top w:type="dxa" w:w="50"/>
              <w:left w:type="dxa" w:w="110"/>
              <w:bottom w:type="dxa" w:w="50"/>
              <w:right w:type="dxa" w:w="110"/>
            </w:tcMar>
          </w:tcPr>
          <w:p>
            <w:pPr>
              <w:spacing w:before="28" w:after="28"/>
            </w:pPr>
            <w:r>
              <w:rPr>
                <w:sz w:val="15"/>
                <w:szCs w:val="15"/>
              </w:rPr>
              <w:t xml:space="preserve">Takes much time; managers may resist</w:t>
            </w:r>
          </w:p>
        </w:tc>
      </w:tr>
      <w:tr>
        <w:tc>
          <w:tcPr>
            <w:tcW w:type="pct" w:w="1119"/>
            <w:shd w:fill="FBFAF6" w:val="clear"/>
            <w:tcMar>
              <w:top w:type="dxa" w:w="50"/>
              <w:left w:type="dxa" w:w="110"/>
              <w:bottom w:type="dxa" w:w="50"/>
              <w:right w:type="dxa" w:w="110"/>
            </w:tcMar>
          </w:tcPr>
          <w:p>
            <w:pPr>
              <w:spacing w:before="28" w:after="28"/>
            </w:pPr>
            <w:r>
              <w:rPr>
                <w:sz w:val="15"/>
                <w:szCs w:val="15"/>
              </w:rPr>
              <w:t xml:space="preserve">Continuous (rolling)</w:t>
            </w:r>
          </w:p>
        </w:tc>
        <w:tc>
          <w:tcPr>
            <w:tcW w:type="pct" w:w="2127"/>
            <w:shd w:fill="FBFAF6" w:val="clear"/>
            <w:tcMar>
              <w:top w:type="dxa" w:w="50"/>
              <w:left w:type="dxa" w:w="110"/>
              <w:bottom w:type="dxa" w:w="50"/>
              <w:right w:type="dxa" w:w="110"/>
            </w:tcMar>
          </w:tcPr>
          <w:p>
            <w:pPr>
              <w:spacing w:before="28" w:after="28"/>
            </w:pPr>
            <w:r>
              <w:rPr>
                <w:sz w:val="15"/>
                <w:szCs w:val="15"/>
              </w:rPr>
              <w:t xml:space="preserve">Always up to date; always a year ahead</w:t>
            </w:r>
          </w:p>
        </w:tc>
        <w:tc>
          <w:tcPr>
            <w:tcW w:type="pct" w:w="1754"/>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119"/>
            <w:tcMar>
              <w:top w:type="dxa" w:w="50"/>
              <w:left w:type="dxa" w:w="110"/>
              <w:bottom w:type="dxa" w:w="50"/>
              <w:right w:type="dxa" w:w="110"/>
            </w:tcMar>
          </w:tcPr>
          <w:p>
            <w:pPr>
              <w:spacing w:before="28" w:after="28"/>
            </w:pPr>
            <w:r>
              <w:rPr>
                <w:sz w:val="15"/>
                <w:szCs w:val="15"/>
              </w:rPr>
              <w:t xml:space="preserve">Flexible</w:t>
            </w:r>
          </w:p>
        </w:tc>
        <w:tc>
          <w:tcPr>
            <w:tcW w:type="pct" w:w="2127"/>
            <w:tcMar>
              <w:top w:type="dxa" w:w="50"/>
              <w:left w:type="dxa" w:w="110"/>
              <w:bottom w:type="dxa" w:w="50"/>
              <w:right w:type="dxa" w:w="110"/>
            </w:tcMar>
          </w:tcPr>
          <w:p>
            <w:pPr>
              <w:spacing w:before="28" w:after="28"/>
            </w:pPr>
            <w:r>
              <w:rPr>
                <w:sz w:val="15"/>
                <w:szCs w:val="15"/>
              </w:rPr>
              <w:t xml:space="preserve">Fair comparison at the actual volume</w:t>
            </w:r>
          </w:p>
        </w:tc>
        <w:tc>
          <w:tcPr>
            <w:tcW w:type="pct" w:w="1754"/>
            <w:shd w:fill="FFFFFF" w:val="clear"/>
            <w:tcMar>
              <w:top w:type="dxa" w:w="50"/>
              <w:left w:type="dxa" w:w="110"/>
              <w:bottom w:type="dxa" w:w="50"/>
              <w:right w:type="dxa" w:w="110"/>
            </w:tcMar>
          </w:tcPr>
          <w:p>
            <w:pPr>
              <w:spacing w:before="46" w:after="46"/>
            </w:pPr>
            <w:r>
              <w:rPr>
                <w:b/>
                <w:bCs/>
                <w:color w:val="8186EF"/>
                <w:sz w:val="14"/>
                <w:szCs w:val="14"/>
              </w:rPr>
              <w:t xml:space="preserve">(8)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Removes waste; questions every cost   ·   Needs reliable cost formulas; mixed costs must be split   ·   Constant work; targets keep moving   ·   One large investment over more than a year</w:t>
            </w:r>
          </w:p>
        </w:tc>
      </w:tr>
    </w:tbl>
    <w:p/>
    <w:p>
      <w:pPr>
        <w:spacing w:before="44" w:after="14"/>
      </w:pPr>
      <w:r>
        <w:rPr>
          <w:b/>
          <w:bCs/>
          <w:color w:val="353A7C"/>
          <w:sz w:val="18"/>
          <w:szCs w:val="18"/>
        </w:rPr>
        <w:t xml:space="preserve">Summary 1</w:t>
      </w:r>
      <w:r>
        <w:rPr>
          <w:color w:val="6B7280"/>
          <w:sz w:val="16"/>
          <w:szCs w:val="16"/>
        </w:rPr>
        <w:t xml:space="preserve">      gaps 9–11</w:t>
      </w:r>
    </w:p>
    <w:p>
      <w:pPr>
        <w:spacing w:before="20" w:after="20" w:line="360" w:lineRule="auto"/>
        <w:ind w:left="200"/>
      </w:pPr>
      <w:r>
        <w:rPr>
          <w:sz w:val="19"/>
          <w:szCs w:val="19"/>
        </w:rPr>
        <w:t xml:space="preserve">Systems are often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Orontes uses a master budget for the year, rolling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sales and flexible budgets for plant costs. </w:t>
      </w:r>
      <w:r>
        <w:rPr>
          <w:sz w:val="19"/>
          <w:szCs w:val="19"/>
        </w:rPr>
        <w:t xml:space="preserve">It also reviews head office on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basis every few years.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decision   ·   zero-based   ·   combined   ·   forecasts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static budget   ·   zero-based budgeting   ·   continuous (rolling) budget</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5.4  Choosing a budget system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Zero-based budget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Needs reliable cost formulas; mixed costs must be split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Continuous (rolling) budget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combined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Flexible budget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forecasts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Filling line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zero-based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Activity-based budget (Chapter 4)</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zero-based budgeting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Removes waste; questions every cost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continuous (rolling)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Constant work; targets keep moving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Systems are often combined. Orontes uses a master budget for the year, rolling forecasts for sales and flexible budgets for plant costs. It also reviews head office on a zero-based basis every few years.</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5.5  The effect of incremental changes</w:t>
            </w:r>
          </w:p>
          <w:p>
            <w:pPr>
              <w:spacing w:before="0" w:after="46"/>
            </w:pPr>
            <w:r>
              <w:rPr>
                <w:color w:val="E8EAF6"/>
                <w:sz w:val="16"/>
                <w:szCs w:val="16"/>
              </w:rPr>
              <w:t xml:space="preserve">Chapter 5 · section 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Managers often ask how a change would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budget: a new price, more volume,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cost. </w:t>
      </w:r>
      <w:r>
        <w:rPr>
          <w:sz w:val="19"/>
          <w:szCs w:val="19"/>
        </w:rPr>
        <w:t xml:space="preserve">The right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the change in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margin, and the answer must include every effect of the change, such as lost volume after a price rise.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higher   ·   affect   ·   contribution   ·   measure   ·   include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raising the juice price</w:t>
            </w:r>
          </w:p>
        </w:tc>
      </w:tr>
    </w:tbl>
    <w:p/>
    <w:p>
      <w:pPr>
        <w:spacing w:before="20" w:after="20" w:line="360" w:lineRule="auto"/>
        <w:ind w:left="200"/>
      </w:pPr>
      <w:r>
        <w:rPr>
          <w:sz w:val="19"/>
          <w:szCs w:val="19"/>
        </w:rPr>
        <w:t xml:space="preserve">Sales proposes a 5% price rise to $21.00 and expects to lose 3% of volume.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392"/>
        <w:gridCol w:w="298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the effect of a juice price rise</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Beverages 2028</w:t>
            </w:r>
          </w:p>
        </w:tc>
        <w:tc>
          <w:tcPr>
            <w:tcW w:type="pct" w:w="1246"/>
            <w:shd w:fill="353A7C" w:val="clear"/>
            <w:tcMar>
              <w:top w:type="dxa" w:w="50"/>
              <w:left w:type="dxa" w:w="110"/>
              <w:bottom w:type="dxa" w:w="50"/>
              <w:right w:type="dxa" w:w="110"/>
            </w:tcMar>
          </w:tcPr>
          <w:p>
            <w:pPr>
              <w:spacing w:before="30" w:after="30"/>
            </w:pPr>
            <w:r>
              <w:rPr>
                <w:b/>
                <w:bCs/>
                <w:color w:val="FFFFFF"/>
                <w:sz w:val="15"/>
                <w:szCs w:val="15"/>
              </w:rPr>
              <w:t xml:space="preserve">Now</w:t>
            </w:r>
          </w:p>
        </w:tc>
        <w:tc>
          <w:tcPr>
            <w:tcW w:type="pct" w:w="1554"/>
            <w:shd w:fill="353A7C" w:val="clear"/>
            <w:tcMar>
              <w:top w:type="dxa" w:w="50"/>
              <w:left w:type="dxa" w:w="110"/>
              <w:bottom w:type="dxa" w:w="50"/>
              <w:right w:type="dxa" w:w="110"/>
            </w:tcMar>
          </w:tcPr>
          <w:p>
            <w:pPr>
              <w:spacing w:before="30" w:after="30"/>
            </w:pPr>
            <w:r>
              <w:rPr>
                <w:b/>
                <w:bCs/>
                <w:color w:val="FFFFFF"/>
                <w:sz w:val="15"/>
                <w:szCs w:val="15"/>
              </w:rPr>
              <w:t xml:space="preserve">Price +5%, volume −3%</w:t>
            </w:r>
          </w:p>
        </w:tc>
      </w:tr>
      <w:tr>
        <w:tc>
          <w:tcPr>
            <w:tcW w:type="pct" w:w="2200"/>
            <w:tcMar>
              <w:top w:type="dxa" w:w="50"/>
              <w:left w:type="dxa" w:w="110"/>
              <w:bottom w:type="dxa" w:w="50"/>
              <w:right w:type="dxa" w:w="110"/>
            </w:tcMar>
          </w:tcPr>
          <w:p>
            <w:pPr>
              <w:spacing w:before="28" w:after="28"/>
            </w:pPr>
            <w:r>
              <w:rPr>
                <w:sz w:val="15"/>
                <w:szCs w:val="15"/>
              </w:rPr>
              <w:t xml:space="preserve">Price per case</w:t>
            </w:r>
          </w:p>
        </w:tc>
        <w:tc>
          <w:tcPr>
            <w:tcW w:type="pct" w:w="1246"/>
            <w:tcMar>
              <w:top w:type="dxa" w:w="50"/>
              <w:left w:type="dxa" w:w="110"/>
              <w:bottom w:type="dxa" w:w="50"/>
              <w:right w:type="dxa" w:w="110"/>
            </w:tcMar>
          </w:tcPr>
          <w:p>
            <w:pPr>
              <w:spacing w:before="28" w:after="28"/>
            </w:pPr>
            <w:r>
              <w:rPr>
                <w:sz w:val="15"/>
                <w:szCs w:val="15"/>
              </w:rPr>
              <w:t xml:space="preserve">$20.00</w:t>
            </w:r>
          </w:p>
        </w:tc>
        <w:tc>
          <w:tcPr>
            <w:tcW w:type="pct" w:w="1554"/>
            <w:tcMar>
              <w:top w:type="dxa" w:w="50"/>
              <w:left w:type="dxa" w:w="110"/>
              <w:bottom w:type="dxa" w:w="50"/>
              <w:right w:type="dxa" w:w="110"/>
            </w:tcMar>
          </w:tcPr>
          <w:p>
            <w:pPr>
              <w:spacing w:before="28" w:after="28"/>
            </w:pPr>
            <w:r>
              <w:rPr>
                <w:sz w:val="15"/>
                <w:szCs w:val="15"/>
              </w:rPr>
              <w:t xml:space="preserve">$21.00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Variable cost per case</w:t>
            </w:r>
          </w:p>
        </w:tc>
        <w:tc>
          <w:tcPr>
            <w:tcW w:type="pct" w:w="1246"/>
            <w:shd w:fill="FBFAF6" w:val="clear"/>
            <w:tcMar>
              <w:top w:type="dxa" w:w="50"/>
              <w:left w:type="dxa" w:w="110"/>
              <w:bottom w:type="dxa" w:w="50"/>
              <w:right w:type="dxa" w:w="110"/>
            </w:tcMar>
          </w:tcPr>
          <w:p>
            <w:pPr>
              <w:spacing w:before="28" w:after="28"/>
            </w:pPr>
            <w:r>
              <w:rPr>
                <w:sz w:val="15"/>
                <w:szCs w:val="15"/>
              </w:rPr>
              <w:t xml:space="preserve">$11.80</w:t>
            </w:r>
          </w:p>
        </w:tc>
        <w:tc>
          <w:tcPr>
            <w:tcW w:type="pct" w:w="1554"/>
            <w:shd w:fill="FBFAF6" w:val="clear"/>
            <w:tcMar>
              <w:top w:type="dxa" w:w="50"/>
              <w:left w:type="dxa" w:w="110"/>
              <w:bottom w:type="dxa" w:w="50"/>
              <w:right w:type="dxa" w:w="110"/>
            </w:tcMar>
          </w:tcPr>
          <w:p>
            <w:pPr>
              <w:spacing w:before="28" w:after="28"/>
            </w:pPr>
            <w:r>
              <w:rPr>
                <w:sz w:val="15"/>
                <w:szCs w:val="15"/>
              </w:rPr>
              <w:t xml:space="preserve">$11.80</w:t>
            </w:r>
          </w:p>
        </w:tc>
      </w:tr>
      <w:tr>
        <w:tc>
          <w:tcPr>
            <w:tcW w:type="pct" w:w="2200"/>
            <w:tcMar>
              <w:top w:type="dxa" w:w="50"/>
              <w:left w:type="dxa" w:w="110"/>
              <w:bottom w:type="dxa" w:w="50"/>
              <w:right w:type="dxa" w:w="110"/>
            </w:tcMar>
          </w:tcPr>
          <w:p>
            <w:pPr>
              <w:spacing w:before="28" w:after="28"/>
            </w:pPr>
            <w:r>
              <w:rPr>
                <w:sz w:val="15"/>
                <w:szCs w:val="15"/>
              </w:rPr>
              <w:t xml:space="preserve">Contribution margin per case</w:t>
            </w:r>
          </w:p>
        </w:tc>
        <w:tc>
          <w:tcPr>
            <w:tcW w:type="pct" w:w="1246"/>
            <w:tcMar>
              <w:top w:type="dxa" w:w="50"/>
              <w:left w:type="dxa" w:w="110"/>
              <w:bottom w:type="dxa" w:w="50"/>
              <w:right w:type="dxa" w:w="110"/>
            </w:tcMar>
          </w:tcPr>
          <w:p>
            <w:pPr>
              <w:spacing w:before="28" w:after="28"/>
            </w:pPr>
            <w:r>
              <w:rPr>
                <w:sz w:val="15"/>
                <w:szCs w:val="15"/>
              </w:rPr>
              <w:t xml:space="preserve">$8.20</w:t>
            </w:r>
          </w:p>
        </w:tc>
        <w:tc>
          <w:tcPr>
            <w:tcW w:type="pct" w:w="1554"/>
            <w:tcMar>
              <w:top w:type="dxa" w:w="50"/>
              <w:left w:type="dxa" w:w="110"/>
              <w:bottom w:type="dxa" w:w="50"/>
              <w:right w:type="dxa" w:w="110"/>
            </w:tcMar>
          </w:tcPr>
          <w:p>
            <w:pPr>
              <w:spacing w:before="28" w:after="28"/>
            </w:pPr>
            <w:r>
              <w:rPr>
                <w:sz w:val="15"/>
                <w:szCs w:val="15"/>
              </w:rPr>
              <w:t xml:space="preserve">$9.20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246"/>
            <w:shd w:fill="FBFAF6" w:val="clear"/>
            <w:tcMar>
              <w:top w:type="dxa" w:w="50"/>
              <w:left w:type="dxa" w:w="110"/>
              <w:bottom w:type="dxa" w:w="50"/>
              <w:right w:type="dxa" w:w="110"/>
            </w:tcMar>
          </w:tcPr>
          <w:p>
            <w:pPr>
              <w:spacing w:before="28" w:after="28"/>
            </w:pPr>
            <w:r>
              <w:rPr>
                <w:sz w:val="15"/>
                <w:szCs w:val="15"/>
              </w:rPr>
              <w:t xml:space="preserve">900,000</w:t>
            </w:r>
          </w:p>
        </w:tc>
        <w:tc>
          <w:tcPr>
            <w:tcW w:type="pct" w:w="1554"/>
            <w:shd w:fill="FBFAF6" w:val="clear"/>
            <w:tcMar>
              <w:top w:type="dxa" w:w="50"/>
              <w:left w:type="dxa" w:w="110"/>
              <w:bottom w:type="dxa" w:w="50"/>
              <w:right w:type="dxa" w:w="110"/>
            </w:tcMar>
          </w:tcPr>
          <w:p>
            <w:pPr>
              <w:spacing w:before="28" w:after="28"/>
            </w:pPr>
            <w:r>
              <w:rPr>
                <w:sz w:val="15"/>
                <w:szCs w:val="15"/>
              </w:rPr>
              <w:t xml:space="preserve">873,000</w:t>
            </w:r>
          </w:p>
        </w:tc>
      </w:tr>
      <w:tr>
        <w:tc>
          <w:tcPr>
            <w:tcW w:type="pct" w:w="2200"/>
            <w:tcMar>
              <w:top w:type="dxa" w:w="50"/>
              <w:left w:type="dxa" w:w="110"/>
              <w:bottom w:type="dxa" w:w="50"/>
              <w:right w:type="dxa" w:w="110"/>
            </w:tcMar>
          </w:tcPr>
          <w:p>
            <w:pPr>
              <w:spacing w:before="28" w:after="28"/>
            </w:pPr>
            <w:r>
              <w:rPr>
                <w:sz w:val="15"/>
                <w:szCs w:val="15"/>
              </w:rPr>
              <w:t xml:space="preserve">Contribution margin</w:t>
            </w:r>
          </w:p>
        </w:tc>
        <w:tc>
          <w:tcPr>
            <w:tcW w:type="pct" w:w="1246"/>
            <w:tcMar>
              <w:top w:type="dxa" w:w="50"/>
              <w:left w:type="dxa" w:w="110"/>
              <w:bottom w:type="dxa" w:w="50"/>
              <w:right w:type="dxa" w:w="110"/>
            </w:tcMar>
          </w:tcPr>
          <w:p>
            <w:pPr>
              <w:spacing w:before="28" w:after="28"/>
            </w:pPr>
            <w:r>
              <w:rPr>
                <w:sz w:val="15"/>
                <w:szCs w:val="15"/>
              </w:rPr>
              <w:t xml:space="preserve">7,380,000</w:t>
            </w:r>
          </w:p>
        </w:tc>
        <w:tc>
          <w:tcPr>
            <w:tcW w:type="pct" w:w="1554"/>
            <w:tcMar>
              <w:top w:type="dxa" w:w="50"/>
              <w:left w:type="dxa" w:w="110"/>
              <w:bottom w:type="dxa" w:w="50"/>
              <w:right w:type="dxa" w:w="110"/>
            </w:tcMar>
          </w:tcPr>
          <w:p>
            <w:pPr>
              <w:spacing w:before="28" w:after="28"/>
            </w:pPr>
            <w:r>
              <w:rPr>
                <w:sz w:val="15"/>
                <w:szCs w:val="15"/>
              </w:rPr>
              <w:t xml:space="preserve">8,031,600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246"/>
            <w:shd w:fill="FBFAF6" w:val="clear"/>
            <w:tcMar>
              <w:top w:type="dxa" w:w="50"/>
              <w:left w:type="dxa" w:w="110"/>
              <w:bottom w:type="dxa" w:w="50"/>
              <w:right w:type="dxa" w:w="110"/>
            </w:tcMar>
          </w:tcPr>
          <w:p>
            <w:pPr>
              <w:spacing w:before="28" w:after="28"/>
            </w:pPr>
            <w:r>
              <w:rPr>
                <w:sz w:val="15"/>
                <w:szCs w:val="15"/>
              </w:rPr>
              <w:t xml:space="preserve"> </w:t>
            </w:r>
          </w:p>
        </w:tc>
        <w:tc>
          <w:tcPr>
            <w:tcW w:type="pct" w:w="1554"/>
            <w:shd w:fill="FBFAF6" w:val="clear"/>
            <w:tcMar>
              <w:top w:type="dxa" w:w="50"/>
              <w:left w:type="dxa" w:w="110"/>
              <w:bottom w:type="dxa" w:w="50"/>
              <w:right w:type="dxa" w:w="110"/>
            </w:tcMar>
          </w:tcPr>
          <w:p>
            <w:pPr>
              <w:spacing w:before="28" w:after="28"/>
            </w:pPr>
            <w:r>
              <w:rPr>
                <w:sz w:val="15"/>
                <w:szCs w:val="15"/>
              </w:rPr>
              <w:t xml:space="preserve">651,600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Cases a year   ·   Contribution   ·   Increase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Include the lost volume</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Multiplying the old volume by the new margin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cases lost after the price rise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gain. </w:t>
      </w:r>
      <w:r>
        <w:rPr>
          <w:sz w:val="19"/>
          <w:szCs w:val="19"/>
        </w:rPr>
        <w:t xml:space="preserve">Use the new volume with the new margin.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proposes   ·   ignores   ·   overstates</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5.5  The effect of incremental changes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affect</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Cases a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higher</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Increase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measure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ignores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overstates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Managers often ask how a change would affect the budget: a new price, more volume, a higher cost. The right measure is the change in contribution margin, and the answer must include every effect of the change, such as lost volume after a price rise.</w:t>
      </w:r>
    </w:p>
    <w:p>
      <w:pPr>
        <w:spacing w:before="20" w:after="20"/>
        <w:ind w:left="240" w:hanging="240"/>
      </w:pPr>
      <w:r>
        <w:rPr>
          <w:b/>
          <w:bCs/>
          <w:color w:val="353A7C"/>
          <w:sz w:val="15"/>
          <w:szCs w:val="15"/>
        </w:rPr>
        <w:t xml:space="preserve">Summary 2   </w:t>
      </w:r>
      <w:r>
        <w:rPr>
          <w:color w:val="6B7280"/>
          <w:sz w:val="15"/>
          <w:szCs w:val="15"/>
        </w:rPr>
        <w:t xml:space="preserve">Multiplying the old volume by the new margin ignores the cases lost after the price rise and overstates the gain. Use the new volume with the new margin.</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5.6  Extended Example 5A: the 2028 budget review</w:t>
            </w:r>
          </w:p>
          <w:p>
            <w:pPr>
              <w:spacing w:before="0" w:after="46"/>
            </w:pPr>
            <w:r>
              <w:rPr>
                <w:color w:val="E8EAF6"/>
                <w:sz w:val="16"/>
                <w:szCs w:val="16"/>
              </w:rPr>
              <w:t xml:space="preserve">Chapter 5 · section 5.6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This example follows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report to the board on the budget systems used for 2028. </w:t>
      </w:r>
      <w:r>
        <w:rPr>
          <w:sz w:val="19"/>
          <w:szCs w:val="19"/>
        </w:rPr>
        <w:t xml:space="preserve">Head office: costs growing without clear reasons, mostly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Beverages sales: a market that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every quarter. </w:t>
      </w:r>
      <w:r>
        <w:rPr>
          <w:sz w:val="19"/>
          <w:szCs w:val="19"/>
        </w:rPr>
        <w:t xml:space="preserve">Beverages plant: volume that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from the plan most months. </w:t>
      </w:r>
      <w:r>
        <w:rPr>
          <w:sz w:val="19"/>
          <w:szCs w:val="19"/>
        </w:rPr>
        <w:t xml:space="preserve">Pricing: a proposal to raise the juice price.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changes   ·   discretionary   ·   zero-based   ·   differs   ·   controller's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systems and results of the 2028 budget review</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Area</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System or method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Result</w:t>
            </w:r>
          </w:p>
        </w:tc>
      </w:tr>
      <w:tr>
        <w:tc>
          <w:tcPr>
            <w:tcW w:type="pct" w:w="2042"/>
            <w:tcMar>
              <w:top w:type="dxa" w:w="50"/>
              <w:left w:type="dxa" w:w="110"/>
              <w:bottom w:type="dxa" w:w="50"/>
              <w:right w:type="dxa" w:w="110"/>
            </w:tcMar>
          </w:tcPr>
          <w:p>
            <w:pPr>
              <w:spacing w:before="28" w:after="28"/>
            </w:pPr>
            <w:r>
              <w:rPr>
                <w:sz w:val="15"/>
                <w:szCs w:val="15"/>
              </w:rPr>
              <w:t xml:space="preserve">Head office</w:t>
            </w:r>
          </w:p>
        </w:tc>
        <w:tc>
          <w:tcPr>
            <w:tcW w:type="pct" w:w="758"/>
            <w:tcMar>
              <w:top w:type="dxa" w:w="50"/>
              <w:left w:type="dxa" w:w="110"/>
              <w:bottom w:type="dxa" w:w="50"/>
              <w:right w:type="dxa" w:w="110"/>
            </w:tcMar>
          </w:tcPr>
          <w:p>
            <w:pPr>
              <w:spacing w:before="28" w:after="28"/>
            </w:pPr>
            <w:r>
              <w:rPr>
                <w:sz w:val="15"/>
                <w:szCs w:val="15"/>
              </w:rPr>
              <w:t xml:space="preserve">Zero-based</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$1,100,000, saving $148,000 against last year + 4%</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Beverages sales</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shd w:fill="FBFAF6" w:val="clear"/>
            <w:tcMar>
              <w:top w:type="dxa" w:w="50"/>
              <w:left w:type="dxa" w:w="110"/>
              <w:bottom w:type="dxa" w:w="50"/>
              <w:right w:type="dxa" w:w="110"/>
            </w:tcMar>
          </w:tcPr>
          <w:p>
            <w:pPr>
              <w:spacing w:before="28" w:after="28"/>
            </w:pPr>
            <w:r>
              <w:rPr>
                <w:sz w:val="15"/>
                <w:szCs w:val="15"/>
              </w:rPr>
              <w:t xml:space="preserve">Next four quarters 910,000 cases after the March update</w:t>
            </w:r>
          </w:p>
        </w:tc>
      </w:tr>
      <w:tr>
        <w:tc>
          <w:tcPr>
            <w:tcW w:type="pct" w:w="2042"/>
            <w:tcMar>
              <w:top w:type="dxa" w:w="50"/>
              <w:left w:type="dxa" w:w="110"/>
              <w:bottom w:type="dxa" w:w="50"/>
              <w:right w:type="dxa" w:w="110"/>
            </w:tcMar>
          </w:tcPr>
          <w:p>
            <w:pPr>
              <w:spacing w:before="28" w:after="28"/>
            </w:pPr>
            <w:r>
              <w:rPr>
                <w:sz w:val="15"/>
                <w:szCs w:val="15"/>
              </w:rPr>
              <w:t xml:space="preserve">Beverages costs</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200"/>
            <w:tcMar>
              <w:top w:type="dxa" w:w="50"/>
              <w:left w:type="dxa" w:w="110"/>
              <w:bottom w:type="dxa" w:w="50"/>
              <w:right w:type="dxa" w:w="110"/>
            </w:tcMar>
          </w:tcPr>
          <w:p>
            <w:pPr>
              <w:spacing w:before="28" w:after="28"/>
            </w:pPr>
            <w:r>
              <w:rPr>
                <w:sz w:val="15"/>
                <w:szCs w:val="15"/>
              </w:rPr>
              <w:t xml:space="preserve">$350,000 a month + $11.80 a case</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Pricing proposal</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200"/>
            <w:shd w:fill="FBFAF6" w:val="clear"/>
            <w:tcMar>
              <w:top w:type="dxa" w:w="50"/>
              <w:left w:type="dxa" w:w="110"/>
              <w:bottom w:type="dxa" w:w="50"/>
              <w:right w:type="dxa" w:w="110"/>
            </w:tcMar>
          </w:tcPr>
          <w:p>
            <w:pPr>
              <w:spacing w:before="28" w:after="28"/>
            </w:pPr>
            <w:r>
              <w:rPr>
                <w:sz w:val="15"/>
                <w:szCs w:val="15"/>
              </w:rPr>
              <w:t xml:space="preserve">Price +5%: contribution margin +$651,600 a year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analysis   ·   Approved   ·   Rolling (quarterly)   ·   Flexible   ·   Price +5%</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The controller recommends adopting the zero-based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budget, the rolling sales forecast and the flexible plant budget. </w:t>
      </w:r>
      <w:r>
        <w:rPr>
          <w:sz w:val="19"/>
          <w:szCs w:val="19"/>
        </w:rPr>
        <w:t xml:space="preserve">She also recommends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price rise if a market test confirms the volume loss.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proposal   ·   approving   ·   head-office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11–13</w:t>
      </w:r>
    </w:p>
    <w:p>
      <w:pPr>
        <w:spacing w:before="20" w:after="20" w:line="360" w:lineRule="auto"/>
        <w:ind w:left="200"/>
      </w:pPr>
      <w:r>
        <w:rPr>
          <w:sz w:val="19"/>
          <w:szCs w:val="19"/>
        </w:rPr>
        <w:t xml:space="preserve">The four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of the December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total 900,000 cases, the volume agreed. </w:t>
      </w:r>
      <w:r>
        <w:rPr>
          <w:sz w:val="19"/>
          <w:szCs w:val="19"/>
        </w:rPr>
        <w:t xml:space="preserve">Fixed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costs of $150,000 a month equal the Book 2 fixed overhead of $2.00 a case × 75,000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   ·   manufacturing   ·   quarters   ·   Pricing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14–17</w:t>
      </w:r>
    </w:p>
    <w:p>
      <w:pPr>
        <w:spacing w:before="20" w:after="20" w:line="360" w:lineRule="auto"/>
        <w:ind w:left="200"/>
      </w:pPr>
      <w:r>
        <w:rPr>
          <w:sz w:val="19"/>
          <w:szCs w:val="19"/>
        </w:rPr>
        <w:t xml:space="preserve">Expect to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 system for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situation, to prepare a flexible budget at a given volume and to roll a budget forward. </w:t>
      </w:r>
      <w:r>
        <w:rPr>
          <w:sz w:val="19"/>
          <w:szCs w:val="19"/>
        </w:rPr>
        <w:t xml:space="preserve">You may also have to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 effect of a price, volume or cost change on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margin or operating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recommend   ·   adopting   ·   described   ·   calculate   ·   contribution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500 g jars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tcMar>
              <w:top w:type="dxa" w:w="50"/>
              <w:left w:type="dxa" w:w="110"/>
              <w:bottom w:type="dxa" w:w="50"/>
              <w:right w:type="dxa" w:w="110"/>
            </w:tcMar>
          </w:tcPr>
          <w:p>
            <w:pPr>
              <w:spacing w:before="28" w:after="28"/>
            </w:pPr>
            <w:r>
              <w:rPr>
                <w:sz w:val="15"/>
                <w:szCs w:val="15"/>
              </w:rPr>
              <w:t xml:space="preserve">$3.50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Variable cost per jar</w:t>
            </w:r>
          </w:p>
        </w:tc>
        <w:tc>
          <w:tcPr>
            <w:tcW w:type="pct" w:w="2400"/>
            <w:shd w:fill="FBFAF6" w:val="clear"/>
            <w:tcMar>
              <w:top w:type="dxa" w:w="50"/>
              <w:left w:type="dxa" w:w="110"/>
              <w:bottom w:type="dxa" w:w="50"/>
              <w:right w:type="dxa" w:w="110"/>
            </w:tcMar>
          </w:tcPr>
          <w:p>
            <w:pPr>
              <w:spacing w:before="28" w:after="28"/>
            </w:pPr>
            <w:r>
              <w:rPr>
                <w:sz w:val="15"/>
                <w:szCs w:val="15"/>
              </w:rPr>
              <w:t xml:space="preserve">$2.00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2400"/>
            <w:tcMar>
              <w:top w:type="dxa" w:w="50"/>
              <w:left w:type="dxa" w:w="110"/>
              <w:bottom w:type="dxa" w:w="50"/>
              <w:right w:type="dxa" w:w="110"/>
            </w:tcMar>
          </w:tcPr>
          <w:p>
            <w:pPr>
              <w:spacing w:before="28" w:after="28"/>
            </w:pPr>
            <w:r>
              <w:rPr>
                <w:sz w:val="15"/>
                <w:szCs w:val="15"/>
              </w:rPr>
              <w:t xml:space="preserve">$120,000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Jars in the static budget for the month</w:t>
            </w:r>
          </w:p>
        </w:tc>
        <w:tc>
          <w:tcPr>
            <w:tcW w:type="pct" w:w="2400"/>
            <w:shd w:fill="FBFAF6" w:val="clear"/>
            <w:tcMar>
              <w:top w:type="dxa" w:w="50"/>
              <w:left w:type="dxa" w:w="110"/>
              <w:bottom w:type="dxa" w:w="50"/>
              <w:right w:type="dxa" w:w="110"/>
            </w:tcMar>
          </w:tcPr>
          <w:p>
            <w:pPr>
              <w:spacing w:before="28" w:after="28"/>
            </w:pPr>
            <w:r>
              <w:rPr>
                <w:sz w:val="15"/>
                <w:szCs w:val="15"/>
              </w:rPr>
              <w:t xml:space="preserve">125,000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2400"/>
            <w:tcMar>
              <w:top w:type="dxa" w:w="50"/>
              <w:left w:type="dxa" w:w="110"/>
              <w:bottom w:type="dxa" w:w="50"/>
              <w:right w:type="dxa" w:w="110"/>
            </w:tcMar>
          </w:tcPr>
          <w:p>
            <w:pPr>
              <w:spacing w:before="28" w:after="28"/>
            </w:pPr>
            <w:r>
              <w:rPr>
                <w:sz w:val="15"/>
                <w:szCs w:val="15"/>
              </w:rPr>
              <w:t xml:space="preserve">110,000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Jars actually sold in the month   ·   Selling price per jar   ·   Fixed costs per month   ·   80,000 × $8.20 = $656,000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Variable costs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Contribution margin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400"/>
            <w:tcMar>
              <w:top w:type="dxa" w:w="50"/>
              <w:left w:type="dxa" w:w="110"/>
              <w:bottom w:type="dxa" w:w="50"/>
              <w:right w:type="dxa" w:w="110"/>
            </w:tcMar>
          </w:tcPr>
          <w:p>
            <w:pPr>
              <w:spacing w:before="28" w:after="28"/>
            </w:pPr>
            <w:r>
              <w:rPr>
                <w:sz w:val="15"/>
                <w:szCs w:val="15"/>
              </w:rPr>
              <w:t xml:space="preserve">Operating income</w:t>
            </w:r>
          </w:p>
        </w:tc>
        <w:tc>
          <w:tcPr>
            <w:tcW w:type="pct" w:w="2600"/>
            <w:tcMar>
              <w:top w:type="dxa" w:w="50"/>
              <w:left w:type="dxa" w:w="110"/>
              <w:bottom w:type="dxa" w:w="50"/>
              <w:right w:type="dxa" w:w="110"/>
            </w:tcMar>
          </w:tcPr>
          <w:p>
            <w:pPr>
              <w:spacing w:before="28" w:after="28"/>
            </w:pPr>
            <w:r>
              <w:rPr>
                <w:sz w:val="15"/>
                <w:szCs w:val="15"/>
              </w:rPr>
              <w:t xml:space="preserve">$656,000 − $350,000 = $306,000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80,000 × $8.20 = $656,000   ·   80,000 × $11.80 = $944,000   ·   $656,000 − $350,000 = $306,000</w:t>
            </w:r>
          </w:p>
        </w:tc>
      </w:tr>
    </w:tbl>
    <w:p/>
    <w:p>
      <w:pPr>
        <w:spacing w:before="44" w:after="10"/>
      </w:pPr>
      <w:r>
        <w:rPr>
          <w:b/>
          <w:bCs/>
          <w:color w:val="353A7C"/>
          <w:sz w:val="18"/>
          <w:szCs w:val="18"/>
        </w:rPr>
        <w:t xml:space="preserve">Need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2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825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Review whether each support activity is still needed   ·   Justify head-office charges that have grown for years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continuous (rolling) budget   ·   flexible budget   ·   zero-based budgeting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55"/>
        <w:gridCol w:w="474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9"/>
            <w:tcMar>
              <w:top w:type="dxa" w:w="50"/>
              <w:left w:type="dxa" w:w="110"/>
              <w:bottom w:type="dxa" w:w="50"/>
              <w:right w:type="dxa" w:w="110"/>
            </w:tcMar>
          </w:tcPr>
          <w:p>
            <w:pPr>
              <w:spacing w:before="26" w:after="26"/>
            </w:pPr>
            <w:r>
              <w:rPr>
                <w:color w:val="232733"/>
                <w:sz w:val="16"/>
                <w:szCs w:val="16"/>
              </w:rPr>
              <w:t xml:space="preserve">zero-based budgeting</w:t>
            </w:r>
          </w:p>
        </w:tc>
        <w:tc>
          <w:tcPr>
            <w:tcW w:type="pct" w:w="2471"/>
            <w:tcMar>
              <w:top w:type="dxa" w:w="50"/>
              <w:left w:type="dxa" w:w="110"/>
              <w:bottom w:type="dxa" w:w="50"/>
              <w:right w:type="dxa" w:w="110"/>
            </w:tcMar>
          </w:tcPr>
          <w:p>
            <w:pPr>
              <w:spacing w:before="26" w:after="26"/>
            </w:pPr>
            <w:r>
              <w:rPr>
                <w:color w:val="232733"/>
                <w:sz w:val="16"/>
                <w:szCs w:val="16"/>
              </w:rPr>
              <w:t xml:space="preserve">الموازنة الصفرية</w:t>
            </w:r>
          </w:p>
        </w:tc>
      </w:tr>
      <w:tr>
        <w:tc>
          <w:tcPr>
            <w:tcW w:type="pct" w:w="2529"/>
            <w:shd w:fill="FBFAF6" w:val="clear"/>
            <w:tcMar>
              <w:top w:type="dxa" w:w="50"/>
              <w:left w:type="dxa" w:w="110"/>
              <w:bottom w:type="dxa" w:w="50"/>
              <w:right w:type="dxa" w:w="110"/>
            </w:tcMar>
          </w:tcPr>
          <w:p>
            <w:pPr>
              <w:spacing w:before="26" w:after="26"/>
            </w:pPr>
            <w:r>
              <w:rPr>
                <w:color w:val="232733"/>
                <w:sz w:val="16"/>
                <w:szCs w:val="16"/>
              </w:rPr>
              <w:t xml:space="preserve">continuous (rolling) budget</w:t>
            </w:r>
          </w:p>
        </w:tc>
        <w:tc>
          <w:tcPr>
            <w:tcW w:type="pct" w:w="2471"/>
            <w:shd w:fill="FBFAF6" w:val="clear"/>
            <w:tcMar>
              <w:top w:type="dxa" w:w="50"/>
              <w:left w:type="dxa" w:w="110"/>
              <w:bottom w:type="dxa" w:w="50"/>
              <w:right w:type="dxa" w:w="110"/>
            </w:tcMar>
          </w:tcPr>
          <w:p>
            <w:pPr>
              <w:spacing w:before="26" w:after="26"/>
            </w:pPr>
            <w:r>
              <w:rPr>
                <w:color w:val="232733"/>
                <w:sz w:val="16"/>
                <w:szCs w:val="16"/>
              </w:rPr>
              <w:t xml:space="preserve">الموازنة المستمرة (المتحركة)</w:t>
            </w:r>
          </w:p>
        </w:tc>
      </w:tr>
      <w:tr>
        <w:tc>
          <w:tcPr>
            <w:tcW w:type="pct" w:w="2529"/>
            <w:tcMar>
              <w:top w:type="dxa" w:w="50"/>
              <w:left w:type="dxa" w:w="110"/>
              <w:bottom w:type="dxa" w:w="50"/>
              <w:right w:type="dxa" w:w="110"/>
            </w:tcMar>
          </w:tcPr>
          <w:p>
            <w:pPr>
              <w:spacing w:before="26" w:after="26"/>
            </w:pPr>
            <w:r>
              <w:rPr>
                <w:color w:val="232733"/>
                <w:sz w:val="16"/>
                <w:szCs w:val="16"/>
              </w:rPr>
              <w:t xml:space="preserve">flexible budget</w:t>
            </w:r>
          </w:p>
        </w:tc>
        <w:tc>
          <w:tcPr>
            <w:tcW w:type="pct" w:w="2471"/>
            <w:tcMar>
              <w:top w:type="dxa" w:w="50"/>
              <w:left w:type="dxa" w:w="110"/>
              <w:bottom w:type="dxa" w:w="50"/>
              <w:right w:type="dxa" w:w="110"/>
            </w:tcMar>
          </w:tcPr>
          <w:p>
            <w:pPr>
              <w:spacing w:before="26" w:after="26"/>
            </w:pPr>
            <w:r>
              <w:rPr>
                <w:color w:val="232733"/>
                <w:sz w:val="16"/>
                <w:szCs w:val="16"/>
              </w:rPr>
              <w:t xml:space="preserve">الموازنة المرنة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5.6  Extended Example 5A: the 2028 budget review</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controller's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recommend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discretionary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described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calculate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differs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Approved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Selling price per jar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Rolling (quarterly)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Fixed costs per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Jars actually sold in the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Incremental analysis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80,000 × $11.80 = $944,000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head-office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80,000 × $8.20 = $656,000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approving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Review whether each support activity is still needed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continuous (rolling)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flexible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manufacturing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the controller's report to the board on the budget systems used for 2028. Head office: costs growing without clear reasons, mostly discretionary. Beverages sales: a market that changes every quarter. Beverages plant: volume that differs from the plan most months. Pricing: a proposal to raise the juice price.</w:t>
      </w:r>
    </w:p>
    <w:p>
      <w:pPr>
        <w:spacing w:before="20" w:after="20"/>
        <w:ind w:left="240" w:hanging="240"/>
      </w:pPr>
      <w:r>
        <w:rPr>
          <w:b/>
          <w:bCs/>
          <w:color w:val="353A7C"/>
          <w:sz w:val="15"/>
          <w:szCs w:val="15"/>
        </w:rPr>
        <w:t xml:space="preserve">Summary 2   </w:t>
      </w:r>
      <w:r>
        <w:rPr>
          <w:color w:val="6B7280"/>
          <w:sz w:val="15"/>
          <w:szCs w:val="15"/>
        </w:rPr>
        <w:t xml:space="preserve">The controller recommends adopting the zero-based head-office budget, the rolling sales forecast and the flexible plant budget. She also recommends approving the price rise if a market test confirms the volume loss.</w:t>
      </w:r>
    </w:p>
    <w:p>
      <w:pPr>
        <w:spacing w:before="20" w:after="20"/>
        <w:ind w:left="240" w:hanging="240"/>
      </w:pPr>
      <w:r>
        <w:rPr>
          <w:b/>
          <w:bCs/>
          <w:color w:val="353A7C"/>
          <w:sz w:val="15"/>
          <w:szCs w:val="15"/>
        </w:rPr>
        <w:t xml:space="preserve">Summary 3   </w:t>
      </w:r>
      <w:r>
        <w:rPr>
          <w:color w:val="6B7280"/>
          <w:sz w:val="15"/>
          <w:szCs w:val="15"/>
        </w:rPr>
        <w:t xml:space="preserve">The four quarters of the December budget total 900,000 cases, the volume agreed. Fixed manufacturing costs of $150,000 a month equal the Book 2 fixed overhead of $2.00 a case × 75,000 cases.</w:t>
      </w:r>
    </w:p>
    <w:p>
      <w:pPr>
        <w:spacing w:before="20" w:after="20"/>
        <w:ind w:left="240" w:hanging="240"/>
      </w:pPr>
      <w:r>
        <w:rPr>
          <w:b/>
          <w:bCs/>
          <w:color w:val="353A7C"/>
          <w:sz w:val="15"/>
          <w:szCs w:val="15"/>
        </w:rPr>
        <w:t xml:space="preserve">Summary 4   </w:t>
      </w:r>
      <w:r>
        <w:rPr>
          <w:color w:val="6B7280"/>
          <w:sz w:val="15"/>
          <w:szCs w:val="15"/>
        </w:rPr>
        <w:t xml:space="preserve">Expect to recommend a system for a described situation, to prepare a flexible budget at a given volume and to roll a budget forward. You may also have to calculate the effect of a price, volume or cost change on contribution margin or operating income.</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5.1 · Zero-based budgeting</w:t>
          </w:r>
        </w:p>
      </w:tc>
      <w:tc>
        <w:tcPr>
          <w:tcW w:type="pct" w:w="1400"/>
          <w:tcMar>
            <w:top w:type="dxa" w:w="-30"/>
            <w:left w:type="dxa" w:w="30"/>
            <w:bottom w:type="dxa" w:w="-30"/>
            <w:right w:type="dxa" w:w="30"/>
          </w:tcMar>
        </w:tcPr>
        <w:p>
          <w:pPr>
            <w:jc w:val="right"/>
          </w:pPr>
          <w:r>
            <w:rPr>
              <w:color w:val="6B7280"/>
              <w:sz w:val="16"/>
              <w:szCs w:val="16"/>
            </w:rPr>
            <w:t xml:space="preserve">Handout 5.1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5.2 · Continuous (rolling) budgets</w:t>
          </w:r>
        </w:p>
      </w:tc>
      <w:tc>
        <w:tcPr>
          <w:tcW w:type="pct" w:w="1400"/>
          <w:tcMar>
            <w:top w:type="dxa" w:w="-30"/>
            <w:left w:type="dxa" w:w="30"/>
            <w:bottom w:type="dxa" w:w="-30"/>
            <w:right w:type="dxa" w:w="30"/>
          </w:tcMar>
        </w:tcPr>
        <w:p>
          <w:pPr>
            <w:jc w:val="right"/>
          </w:pPr>
          <w:r>
            <w:rPr>
              <w:color w:val="6B7280"/>
              <w:sz w:val="16"/>
              <w:szCs w:val="16"/>
            </w:rPr>
            <w:t xml:space="preserve">Handout 5.2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5.3 · Flexible budgets</w:t>
          </w:r>
        </w:p>
      </w:tc>
      <w:tc>
        <w:tcPr>
          <w:tcW w:type="pct" w:w="1400"/>
          <w:tcMar>
            <w:top w:type="dxa" w:w="-30"/>
            <w:left w:type="dxa" w:w="30"/>
            <w:bottom w:type="dxa" w:w="-30"/>
            <w:right w:type="dxa" w:w="30"/>
          </w:tcMar>
        </w:tcPr>
        <w:p>
          <w:pPr>
            <w:jc w:val="right"/>
          </w:pPr>
          <w:r>
            <w:rPr>
              <w:color w:val="6B7280"/>
              <w:sz w:val="16"/>
              <w:szCs w:val="16"/>
            </w:rPr>
            <w:t xml:space="preserve">Handout 5.3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5.4 · Choosing a budget system</w:t>
          </w:r>
        </w:p>
      </w:tc>
      <w:tc>
        <w:tcPr>
          <w:tcW w:type="pct" w:w="1400"/>
          <w:tcMar>
            <w:top w:type="dxa" w:w="-30"/>
            <w:left w:type="dxa" w:w="30"/>
            <w:bottom w:type="dxa" w:w="-30"/>
            <w:right w:type="dxa" w:w="30"/>
          </w:tcMar>
        </w:tcPr>
        <w:p>
          <w:pPr>
            <w:jc w:val="right"/>
          </w:pPr>
          <w:r>
            <w:rPr>
              <w:color w:val="6B7280"/>
              <w:sz w:val="16"/>
              <w:szCs w:val="16"/>
            </w:rPr>
            <w:t xml:space="preserve">Handout 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5.5 · The effect of incremental changes</w:t>
          </w:r>
        </w:p>
      </w:tc>
      <w:tc>
        <w:tcPr>
          <w:tcW w:type="pct" w:w="1400"/>
          <w:tcMar>
            <w:top w:type="dxa" w:w="-30"/>
            <w:left w:type="dxa" w:w="30"/>
            <w:bottom w:type="dxa" w:w="-30"/>
            <w:right w:type="dxa" w:w="30"/>
          </w:tcMar>
        </w:tcPr>
        <w:p>
          <w:pPr>
            <w:jc w:val="right"/>
          </w:pPr>
          <w:r>
            <w:rPr>
              <w:color w:val="6B7280"/>
              <w:sz w:val="16"/>
              <w:szCs w:val="16"/>
            </w:rPr>
            <w:t xml:space="preserve">Handout 5.5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5.6 · Extended Example 5A: the 2028 budget review</w:t>
          </w:r>
        </w:p>
      </w:tc>
      <w:tc>
        <w:tcPr>
          <w:tcW w:type="pct" w:w="1400"/>
          <w:tcMar>
            <w:top w:type="dxa" w:w="-30"/>
            <w:left w:type="dxa" w:w="30"/>
            <w:bottom w:type="dxa" w:w="-30"/>
            <w:right w:type="dxa" w:w="30"/>
          </w:tcMar>
        </w:tcPr>
        <w:p>
          <w:pPr>
            <w:jc w:val="right"/>
          </w:pPr>
          <w:r>
            <w:rPr>
              <w:color w:val="6B7280"/>
              <w:sz w:val="16"/>
              <w:szCs w:val="16"/>
            </w:rPr>
            <w:t xml:space="preserve">Handout 5.6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61793eb13b4c2f813194bec34495465d3e05f818.png" Type="http://schemas.openxmlformats.org/officeDocument/2006/relationships/image"/><Relationship Id="rId102" Target="media/cde613ce3e8b821553e627da72c418e0e1058223.png" Type="http://schemas.openxmlformats.org/officeDocument/2006/relationships/image"/><Relationship Id="rId103" Target="media/fe197a341dd4c748f1602af220f1e9e17fb72e54.png" Type="http://schemas.openxmlformats.org/officeDocument/2006/relationships/image"/><Relationship Id="rId104" Target="media/e8f072cb31aebcaae63f2a8b9dfbf3fbd3c968a5.png" Type="http://schemas.openxmlformats.org/officeDocument/2006/relationships/image"/><Relationship Id="rId105" Target="media/35678fe94a1323db90ccbf0c7166a321d395471e.png" Type="http://schemas.openxmlformats.org/officeDocument/2006/relationships/image"/><Relationship Id="rId106" Target="media/e2b87f517937145132bba28cb9cfa3e67508cd31.png" Type="http://schemas.openxmlformats.org/officeDocument/2006/relationships/image"/><Relationship Id="rId107" Target="media/9a0877fe312d2baba04b4df492840ef55f741f2b.png" Type="http://schemas.openxmlformats.org/officeDocument/2006/relationships/image"/><Relationship Id="rId108" Target="media/101dff32a59603f6d5892cba34ffca1a5a9b26f8.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5</dc:title>
  <dc:subject>Summary handouts</dc:subject>
  <cp:category>Student Book</cp:category>
</cp:coreProperties>
</file>