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officedocument.wordprocessingml.numbering+xml" PartName="/word/numbering.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package.core-properties+xml" PartName="/docProps/cor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header+xml" PartName="/word/header4.xml"/>
  <Override ContentType="application/vnd.openxmlformats-officedocument.wordprocessingml.header+xml" PartName="/word/header5.xml"/>
  <Override ContentType="application/vnd.openxmlformats-officedocument.wordprocessingml.header+xml" PartName="/word/header6.xml"/>
  <Override ContentType="application/vnd.openxmlformats-officedocument.wordprocessingml.header+xml" PartName="/word/header7.xml"/>
  <Override ContentType="application/vnd.openxmlformats-officedocument.wordprocessingml.header+xml" PartName="/word/header8.xml"/>
  <Override ContentType="application/vnd.openxmlformats-officedocument.wordprocessingml.header+xml" PartName="/word/header9.xml"/>
  <Override ContentType="application/vnd.openxmlformats-officedocument.wordprocessingml.header+xml" PartName="/word/header10.xml"/>
  <Override ContentType="application/vnd.openxmlformats-officedocument.wordprocessingml.header+xml" PartName="/word/header11.xml"/>
  <Override ContentType="application/vnd.openxmlformats-officedocument.wordprocessingml.header+xml" PartName="/word/header12.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body>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6.1  The sales budget and the profit plan</w:t>
            </w:r>
          </w:p>
          <w:p>
            <w:pPr>
              <w:spacing w:before="0" w:after="46"/>
            </w:pPr>
            <w:r>
              <w:rPr>
                <w:color w:val="E8EAF6"/>
                <w:sz w:val="16"/>
                <w:szCs w:val="16"/>
              </w:rPr>
              <w:t xml:space="preserve">Chapter 6 · section 6.1</w:t>
            </w:r>
          </w:p>
        </w:tc>
      </w:tr>
    </w:tbl>
    <w:p/>
    <w:p>
      <w:pPr>
        <w:spacing w:before="10" w:after="40"/>
      </w:pPr>
      <w:r>
        <w:rPr>
          <w:color w:val="6B7280"/>
          <w:sz w:val="17"/>
          <w:szCs w:val="17"/>
        </w:rPr>
        <w:t xml:space="preserve">Fill every gap. Each word list holds one word more than there are gaps.</w:t>
      </w:r>
    </w:p>
    <w:p>
      <w:pPr>
        <w:spacing w:before="44" w:after="10"/>
      </w:pPr>
      <w:r>
        <w:rPr>
          <w:b/>
          <w:bCs/>
          <w:color w:val="353A7C"/>
          <w:sz w:val="18"/>
          <w:szCs w:val="18"/>
        </w:rPr>
        <w:t xml:space="preserve">Chapter 6, section by section</w:t>
      </w:r>
    </w:p>
    <w:p>
      <w:pPr>
        <w:spacing w:before="0" w:after="12"/>
      </w:pPr>
      <w:r>
        <w:rPr>
          <w:color w:val="6B7280"/>
          <w:sz w:val="15"/>
          <w:szCs w:val="15"/>
        </w:rPr>
        <w:t xml:space="preserve">Each stage leads to the next.</w:t>
      </w:r>
    </w:p>
    <w:p>
      <w:pPr>
        <w:spacing w:after="40" w:before="90"/>
        <w:jc w:val="center"/>
      </w:pPr>
      <w:r>
        <w:drawing>
          <wp:inline distT="0" distB="0" distL="0" distR="0">
            <wp:extent cx="5734050" cy="2263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5734050" cy="226345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Preparing the production budget   ·   From sales to production   ·   The sales budget and the profit plan   ·   Extended Example 6A: a late order for the summ</w:t>
            </w:r>
          </w:p>
        </w:tc>
      </w:tr>
    </w:tbl>
    <w:p/>
    <w:p>
      <w:pPr>
        <w:spacing w:before="44" w:after="14"/>
      </w:pPr>
      <w:r>
        <w:rPr>
          <w:b/>
          <w:bCs/>
          <w:color w:val="353A7C"/>
          <w:sz w:val="18"/>
          <w:szCs w:val="18"/>
        </w:rPr>
        <w:t xml:space="preserve">Summary 1</w:t>
      </w:r>
      <w:r>
        <w:rPr>
          <w:color w:val="6B7280"/>
          <w:sz w:val="16"/>
          <w:szCs w:val="16"/>
        </w:rPr>
        <w:t xml:space="preserve">      gaps 4–9</w:t>
      </w:r>
    </w:p>
    <w:p>
      <w:pPr>
        <w:spacing w:before="20" w:after="20" w:line="360" w:lineRule="auto"/>
        <w:ind w:left="200"/>
      </w:pPr>
      <w:r>
        <w:rPr>
          <w:sz w:val="19"/>
          <w:szCs w:val="19"/>
        </w:rPr>
        <w:t xml:space="preserve">The master budget is also called the annual profit plan,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it ends in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profit. </w:t>
      </w:r>
      <w:r>
        <w:rPr>
          <w:sz w:val="19"/>
          <w:szCs w:val="19"/>
        </w:rPr>
        <w:t xml:space="preserve">The sales budget is its first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the planned units and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for each period. </w:t>
      </w:r>
      <w:r>
        <w:rPr>
          <w:sz w:val="19"/>
          <w:szCs w:val="19"/>
        </w:rPr>
        <w:t xml:space="preserve"/>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every other budget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on it. </w:t>
      </w:r>
      <w:r>
        <w:rPr>
          <w:sz w:val="19"/>
          <w:szCs w:val="19"/>
        </w:rPr>
        <w:t xml:space="preserve">That is why the sales budget deserves the most care. </w:t>
      </w:r>
      <w:r>
        <w:rPr>
          <w:sz w:val="19"/>
          <w:szCs w:val="19"/>
        </w:rPr>
        <w:t xml:space="preserve">If sales are overstated, the company buys too much material, hires too many people and plans for cash it will never collect.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schedule   ·   revenue   ·   budgeted   ·   depends   ·   because   ·   deserves   ·   Almost</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6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4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600"/>
            <w:tcMar>
              <w:top w:type="dxa" w:w="50"/>
              <w:left w:type="dxa" w:w="110"/>
              <w:bottom w:type="dxa" w:w="50"/>
              <w:right w:type="dxa" w:w="110"/>
            </w:tcMar>
          </w:tcPr>
          <w:p>
            <w:pPr>
              <w:spacing w:before="26" w:after="26"/>
            </w:pPr>
            <w:r>
              <w:rPr>
                <w:color w:val="232733"/>
                <w:sz w:val="16"/>
                <w:szCs w:val="16"/>
              </w:rPr>
              <w:t xml:space="preserve">annual profit plan</w:t>
            </w:r>
          </w:p>
        </w:tc>
        <w:tc>
          <w:tcPr>
            <w:tcW w:type="pct" w:w="2400"/>
            <w:tcMar>
              <w:top w:type="dxa" w:w="50"/>
              <w:left w:type="dxa" w:w="110"/>
              <w:bottom w:type="dxa" w:w="50"/>
              <w:right w:type="dxa" w:w="110"/>
            </w:tcMar>
          </w:tcPr>
          <w:p>
            <w:pPr>
              <w:spacing w:before="26" w:after="26"/>
            </w:pPr>
            <w:r>
              <w:rPr>
                <w:color w:val="232733"/>
                <w:sz w:val="16"/>
                <w:szCs w:val="16"/>
              </w:rPr>
              <w:t xml:space="preserve">خطة الربح السنوية</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sales budget</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موازنة المبيعات</w:t>
            </w:r>
          </w:p>
        </w:tc>
      </w:tr>
    </w:tbl>
    <w:p/>
    <w:p>
      <w:pPr>
        <w:sectPr>
          <w:headerReference w:type="default" r:id="rIdHdr1"/>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6.1  The sales budget and the profit plan</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The sales budget and the profit plan</w:t>
            </w:r>
          </w:p>
        </w:tc>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schedule</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From sales to production</w:t>
            </w:r>
          </w:p>
        </w:tc>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revenue</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Extended Example 6A: a late order for the summ</w:t>
            </w:r>
          </w:p>
        </w:tc>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Almost</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because</w:t>
            </w:r>
          </w:p>
        </w:tc>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depends</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budgeted</w:t>
            </w:r>
          </w:p>
        </w:tc>
        <w:tc>
          <w:tcPr>
            <w:tcW w:type="pct" w:w="2500"/>
            <w:tcMar>
              <w:top w:type="dxa" w:w="20"/>
              <w:left w:type="dxa" w:w="80"/>
              <w:bottom w:type="dxa" w:w="20"/>
              <w:right w:type="dxa" w:w="80"/>
            </w:tcMar>
          </w:tcPr>
          <w:p>
            <w:pPr>
              <w:spacing w:before="24" w:after="24"/>
            </w:pPr>
            <w:r>
              <w:rPr>
                <w:sz w:val="16"/>
                <w:szCs w:val="16"/>
              </w:rPr>
              <w:t xml:space="preserve"/>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The master budget is also called the annual profit plan, because it ends in budgeted profit. The sales budget is its first schedule: the planned units and revenue for each period. Almost every other budget depends on it. That is why the sales budget deserves the most care. If sales are overstated, the company buys too much material, hires too many people and plans for cash it will never collect.</w:t>
      </w:r>
    </w:p>
    <w:p>
      <w:pPr>
        <w:sectPr>
          <w:headerReference w:type="default" r:id="rIdHdr2"/>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6.2  The sales forecast</w:t>
            </w:r>
          </w:p>
          <w:p>
            <w:pPr>
              <w:spacing w:before="0" w:after="46"/>
            </w:pPr>
            <w:r>
              <w:rPr>
                <w:color w:val="E8EAF6"/>
                <w:sz w:val="16"/>
                <w:szCs w:val="16"/>
              </w:rPr>
              <w:t xml:space="preserve">Chapter 6 · section 6.2</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1–2</w:t>
      </w:r>
    </w:p>
    <w:p>
      <w:pPr>
        <w:spacing w:before="20" w:after="20" w:line="360" w:lineRule="auto"/>
        <w:ind w:left="200"/>
      </w:pPr>
      <w:r>
        <w:rPr>
          <w:sz w:val="19"/>
          <w:szCs w:val="19"/>
        </w:rPr>
        <w:t xml:space="preserve">The sales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is an estimate of what the company could sell. </w:t>
      </w:r>
      <w:r>
        <w:rPr>
          <w:sz w:val="19"/>
          <w:szCs w:val="19"/>
        </w:rPr>
        <w:t xml:space="preserve">It becomes the sales budget only after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decides on prices, promotions and targets.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decisions   ·   forecast   ·   management</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Factors in the Beverages sales forecast</w:t>
            </w:r>
          </w:p>
        </w:tc>
      </w:tr>
      <w:tr>
        <w:tc>
          <w:tcPr>
            <w:tcW w:type="pct" w:w="2400"/>
            <w:shd w:fill="353A7C" w:val="clear"/>
            <w:tcMar>
              <w:top w:type="dxa" w:w="50"/>
              <w:left w:type="dxa" w:w="110"/>
              <w:bottom w:type="dxa" w:w="50"/>
              <w:right w:type="dxa" w:w="110"/>
            </w:tcMar>
          </w:tcPr>
          <w:p>
            <w:pPr>
              <w:spacing w:before="30" w:after="30"/>
            </w:pPr>
            <w:r>
              <w:rPr>
                <w:b/>
                <w:bCs/>
                <w:color w:val="FFFFFF"/>
                <w:sz w:val="15"/>
                <w:szCs w:val="15"/>
              </w:rPr>
              <w:t xml:space="preserve">Factor in the sales forecast (B.5.b)</w:t>
            </w:r>
          </w:p>
        </w:tc>
        <w:tc>
          <w:tcPr>
            <w:tcW w:type="pct" w:w="2600"/>
            <w:shd w:fill="353A7C" w:val="clear"/>
            <w:tcMar>
              <w:top w:type="dxa" w:w="50"/>
              <w:left w:type="dxa" w:w="110"/>
              <w:bottom w:type="dxa" w:w="50"/>
              <w:right w:type="dxa" w:w="110"/>
            </w:tcMar>
          </w:tcPr>
          <w:p>
            <w:pPr>
              <w:spacing w:before="30" w:after="30"/>
            </w:pPr>
            <w:r>
              <w:rPr>
                <w:b/>
                <w:bCs/>
                <w:color w:val="FFFFFF"/>
                <w:sz w:val="15"/>
                <w:szCs w:val="15"/>
              </w:rPr>
              <w:t xml:space="preserve">Beverages 2028</w:t>
            </w:r>
          </w:p>
        </w:tc>
      </w:tr>
      <w:tr>
        <w:tc>
          <w:tcPr>
            <w:tcW w:type="pct" w:w="2400"/>
            <w:tcMar>
              <w:top w:type="dxa" w:w="50"/>
              <w:left w:type="dxa" w:w="110"/>
              <w:bottom w:type="dxa" w:w="50"/>
              <w:right w:type="dxa" w:w="110"/>
            </w:tcMar>
          </w:tcPr>
          <w:p>
            <w:pPr>
              <w:spacing w:before="28" w:after="28"/>
            </w:pPr>
            <w:r>
              <w:rPr>
                <w:sz w:val="15"/>
                <w:szCs w:val="15"/>
              </w:rPr>
              <w:t xml:space="preserve">The market and the industry</w:t>
            </w:r>
          </w:p>
        </w:tc>
        <w:tc>
          <w:tcPr>
            <w:tcW w:type="pct" w:w="2600"/>
            <w:tcMar>
              <w:top w:type="dxa" w:w="50"/>
              <w:left w:type="dxa" w:w="110"/>
              <w:bottom w:type="dxa" w:w="50"/>
              <w:right w:type="dxa" w:w="110"/>
            </w:tcMar>
          </w:tcPr>
          <w:p>
            <w:pPr>
              <w:spacing w:before="28" w:after="28"/>
            </w:pPr>
            <w:r>
              <w:rPr>
                <w:sz w:val="15"/>
                <w:szCs w:val="15"/>
              </w:rPr>
              <w:t xml:space="preserve">Juice market growing 14.0% a year (Chapter 2)</w:t>
            </w:r>
          </w:p>
        </w:tc>
      </w:tr>
      <w:tr>
        <w:tc>
          <w:tcPr>
            <w:tcW w:type="pct" w:w="2400"/>
            <w:shd w:fill="FBFAF6" w:val="clear"/>
            <w:tcMar>
              <w:top w:type="dxa" w:w="50"/>
              <w:left w:type="dxa" w:w="110"/>
              <w:bottom w:type="dxa" w:w="50"/>
              <w:right w:type="dxa" w:w="110"/>
            </w:tcMar>
          </w:tcPr>
          <w:p>
            <w:pPr>
              <w:spacing w:before="28" w:after="28"/>
            </w:pPr>
            <w:r>
              <w:rPr>
                <w:sz w:val="15"/>
                <w:szCs w:val="15"/>
              </w:rPr>
              <w:t xml:space="preserve">The economy</w:t>
            </w:r>
          </w:p>
        </w:tc>
        <w:tc>
          <w:tcPr>
            <w:tcW w:type="pct" w:w="2600"/>
            <w:shd w:fill="FBFAF6" w:val="clear"/>
            <w:tcMar>
              <w:top w:type="dxa" w:w="50"/>
              <w:left w:type="dxa" w:w="110"/>
              <w:bottom w:type="dxa" w:w="50"/>
              <w:right w:type="dxa" w:w="110"/>
            </w:tcMar>
          </w:tcPr>
          <w:p>
            <w:pPr>
              <w:spacing w:before="28" w:after="28"/>
            </w:pPr>
            <w:r>
              <w:rPr>
                <w:sz w:val="15"/>
                <w:szCs w:val="15"/>
              </w:rPr>
              <w:t xml:space="preserve">Low inflation; the dinar pegged to the US dollar (Chapter 3)</w:t>
            </w:r>
          </w:p>
        </w:tc>
      </w:tr>
      <w:tr>
        <w:tc>
          <w:tcPr>
            <w:tcW w:type="pct" w:w="2400"/>
            <w:tcMar>
              <w:top w:type="dxa" w:w="50"/>
              <w:left w:type="dxa" w:w="110"/>
              <w:bottom w:type="dxa" w:w="50"/>
              <w:right w:type="dxa" w:w="110"/>
            </w:tcMar>
          </w:tcPr>
          <w:p>
            <w:pPr>
              <w:spacing w:before="28" w:after="28"/>
            </w:pPr>
            <w:r>
              <w:rPr>
                <w:sz w:val="15"/>
                <w:szCs w:val="15"/>
              </w:rPr>
              <w:t xml:space="preserve">Prices and promotions</w:t>
            </w:r>
          </w:p>
        </w:tc>
        <w:tc>
          <w:tcPr>
            <w:tcW w:type="pct" w:w="2600"/>
            <w:shd w:fill="FFFFFF" w:val="clear"/>
            <w:tcMar>
              <w:top w:type="dxa" w:w="50"/>
              <w:left w:type="dxa" w:w="110"/>
              <w:bottom w:type="dxa" w:w="50"/>
              <w:right w:type="dxa" w:w="110"/>
            </w:tcMar>
          </w:tcPr>
          <w:p>
            <w:pPr>
              <w:spacing w:before="46" w:after="46"/>
            </w:pPr>
            <w:r>
              <w:rPr>
                <w:b/>
                <w:bCs/>
                <w:color w:val="8186EF"/>
                <w:sz w:val="14"/>
                <w:szCs w:val="14"/>
              </w:rPr>
              <w:t xml:space="preserve">(3)</w:t>
            </w:r>
          </w:p>
        </w:tc>
      </w:tr>
      <w:tr>
        <w:tc>
          <w:tcPr>
            <w:tcW w:type="pct" w:w="2400"/>
            <w:shd w:fill="FBFAF6" w:val="clear"/>
            <w:tcMar>
              <w:top w:type="dxa" w:w="50"/>
              <w:left w:type="dxa" w:w="110"/>
              <w:bottom w:type="dxa" w:w="50"/>
              <w:right w:type="dxa" w:w="110"/>
            </w:tcMar>
          </w:tcPr>
          <w:p>
            <w:pPr>
              <w:spacing w:before="28" w:after="28"/>
            </w:pPr>
            <w:r>
              <w:rPr>
                <w:sz w:val="15"/>
                <w:szCs w:val="15"/>
              </w:rPr>
              <w:t xml:space="preserve">Competitors</w:t>
            </w:r>
          </w:p>
        </w:tc>
        <w:tc>
          <w:tcPr>
            <w:tcW w:type="pct" w:w="2600"/>
            <w:shd w:fill="FFFFFF" w:val="clear"/>
            <w:tcMar>
              <w:top w:type="dxa" w:w="50"/>
              <w:left w:type="dxa" w:w="110"/>
              <w:bottom w:type="dxa" w:w="50"/>
              <w:right w:type="dxa" w:w="110"/>
            </w:tcMar>
          </w:tcPr>
          <w:p>
            <w:pPr>
              <w:spacing w:before="46" w:after="46"/>
            </w:pPr>
            <w:r>
              <w:rPr>
                <w:b/>
                <w:bCs/>
                <w:color w:val="8186EF"/>
                <w:sz w:val="14"/>
                <w:szCs w:val="14"/>
              </w:rPr>
              <w:t xml:space="preserve">(4)</w:t>
            </w:r>
          </w:p>
        </w:tc>
      </w:tr>
      <w:tr>
        <w:tc>
          <w:tcPr>
            <w:tcW w:type="pct" w:w="2400"/>
            <w:tcMar>
              <w:top w:type="dxa" w:w="50"/>
              <w:left w:type="dxa" w:w="110"/>
              <w:bottom w:type="dxa" w:w="50"/>
              <w:right w:type="dxa" w:w="110"/>
            </w:tcMar>
          </w:tcPr>
          <w:p>
            <w:pPr>
              <w:spacing w:before="28" w:after="28"/>
            </w:pPr>
            <w:r>
              <w:rPr>
                <w:sz w:val="15"/>
                <w:szCs w:val="15"/>
              </w:rPr>
              <w:t xml:space="preserve">Sales team and customers</w:t>
            </w:r>
          </w:p>
        </w:tc>
        <w:tc>
          <w:tcPr>
            <w:tcW w:type="pct" w:w="2600"/>
            <w:shd w:fill="FFFFFF" w:val="clear"/>
            <w:tcMar>
              <w:top w:type="dxa" w:w="50"/>
              <w:left w:type="dxa" w:w="110"/>
              <w:bottom w:type="dxa" w:w="50"/>
              <w:right w:type="dxa" w:w="110"/>
            </w:tcMar>
          </w:tcPr>
          <w:p>
            <w:pPr>
              <w:spacing w:before="46" w:after="46"/>
            </w:pPr>
            <w:r>
              <w:rPr>
                <w:b/>
                <w:bCs/>
                <w:color w:val="8186EF"/>
                <w:sz w:val="14"/>
                <w:szCs w:val="14"/>
              </w:rPr>
              <w:t xml:space="preserve">(5)</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Juice market growing 14.0% a year (Chapter 2)   ·   Orders already agreed with Levant and the supermarkets   ·   Price held at $20.00 a case   ·   The market leader holds a much larger share</w:t>
            </w:r>
          </w:p>
        </w:tc>
      </w:tr>
    </w:tbl>
    <w:p/>
    <w:p>
      <w:pPr>
        <w:spacing w:before="44" w:after="14"/>
      </w:pPr>
      <w:r>
        <w:rPr>
          <w:b/>
          <w:bCs/>
          <w:color w:val="353A7C"/>
          <w:sz w:val="18"/>
          <w:szCs w:val="18"/>
        </w:rPr>
        <w:t xml:space="preserve">Summary 2</w:t>
      </w:r>
      <w:r>
        <w:rPr>
          <w:color w:val="6B7280"/>
          <w:sz w:val="16"/>
          <w:szCs w:val="16"/>
        </w:rPr>
        <w:t xml:space="preserve">      gaps 6–8</w:t>
      </w:r>
    </w:p>
    <w:p>
      <w:pPr>
        <w:spacing w:before="20" w:after="20" w:line="360" w:lineRule="auto"/>
        <w:ind w:left="200"/>
      </w:pPr>
      <w:r>
        <w:rPr>
          <w:sz w:val="19"/>
          <w:szCs w:val="19"/>
        </w:rPr>
        <w:t xml:space="preserve">Past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show trend and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w:t>
      </w:r>
      <w:r>
        <w:rPr>
          <w:sz w:val="19"/>
          <w:szCs w:val="19"/>
        </w:rPr>
        <w:t xml:space="preserve">A good forecast combines several sources: the industry forecast and market share of, the sales team's knowledge of customers, and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methods such as the regression of Book 2.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statistical   ·   results   ·   combines   ·   season</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Forecast is not budget</w:t>
            </w:r>
          </w:p>
        </w:tc>
      </w:tr>
    </w:tbl>
    <w:p/>
    <w:p>
      <w:pPr>
        <w:spacing w:before="44" w:after="14"/>
      </w:pPr>
      <w:r>
        <w:rPr>
          <w:b/>
          <w:bCs/>
          <w:color w:val="353A7C"/>
          <w:sz w:val="18"/>
          <w:szCs w:val="18"/>
        </w:rPr>
        <w:t xml:space="preserve">Summary 3</w:t>
      </w:r>
      <w:r>
        <w:rPr>
          <w:color w:val="6B7280"/>
          <w:sz w:val="16"/>
          <w:szCs w:val="16"/>
        </w:rPr>
        <w:t xml:space="preserve">      gaps 9–10</w:t>
      </w:r>
    </w:p>
    <w:p>
      <w:pPr>
        <w:spacing w:before="20" w:after="20" w:line="360" w:lineRule="auto"/>
        <w:ind w:left="200"/>
      </w:pPr>
      <w:r>
        <w:rPr>
          <w:sz w:val="19"/>
          <w:szCs w:val="19"/>
        </w:rPr>
        <w:t xml:space="preserve">The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says what could happen; the budget says what management plans and commits to. </w:t>
      </w:r>
      <w:r>
        <w:rPr>
          <w:sz w:val="19"/>
          <w:szCs w:val="19"/>
        </w:rPr>
        <w:t xml:space="preserve">An answer that treats them as the same thing misses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decisions on price and promotion.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management's   ·   forecast   ·   industry</w:t>
            </w:r>
          </w:p>
        </w:tc>
      </w:tr>
    </w:tbl>
    <w:p/>
    <w:p>
      <w:pPr>
        <w:pageBreakBefore w:val="true"/>
        <w:spacing w:after="0"/>
      </w:pPr>
      <w:r>
        <w:rPr>
          <w:sz w:val="2"/>
        </w:rPr>
        <w:t xml:space="preserve"> </w:t>
      </w:r>
    </w:p>
    <w:p>
      <w:pPr>
        <w:spacing w:before="44" w:after="10"/>
      </w:pPr>
      <w:r>
        <w:rPr>
          <w:b/>
          <w:bCs/>
          <w:color w:val="353A7C"/>
          <w:sz w:val="18"/>
          <w:szCs w:val="18"/>
        </w:rPr>
        <w:t xml:space="preserve">The English this section uses, and its Arabic</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1931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5734050" cy="193147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sales forecast   ·   sales budget   ·   production budget</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784"/>
        <w:gridCol w:w="4816"/>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492"/>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508"/>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492"/>
            <w:tcMar>
              <w:top w:type="dxa" w:w="50"/>
              <w:left w:type="dxa" w:w="110"/>
              <w:bottom w:type="dxa" w:w="50"/>
              <w:right w:type="dxa" w:w="110"/>
            </w:tcMar>
          </w:tcPr>
          <w:p>
            <w:pPr>
              <w:spacing w:before="26" w:after="26"/>
            </w:pPr>
            <w:r>
              <w:rPr>
                <w:color w:val="232733"/>
                <w:sz w:val="16"/>
                <w:szCs w:val="16"/>
              </w:rPr>
              <w:t xml:space="preserve">sales forecast</w:t>
            </w:r>
          </w:p>
        </w:tc>
        <w:tc>
          <w:tcPr>
            <w:tcW w:type="pct" w:w="2508"/>
            <w:tcMar>
              <w:top w:type="dxa" w:w="50"/>
              <w:left w:type="dxa" w:w="110"/>
              <w:bottom w:type="dxa" w:w="50"/>
              <w:right w:type="dxa" w:w="110"/>
            </w:tcMar>
          </w:tcPr>
          <w:p>
            <w:pPr>
              <w:spacing w:before="26" w:after="26"/>
            </w:pPr>
            <w:r>
              <w:rPr>
                <w:color w:val="232733"/>
                <w:sz w:val="16"/>
                <w:szCs w:val="16"/>
              </w:rPr>
              <w:t xml:space="preserve">التنبؤ بالمبيعات</w:t>
            </w:r>
          </w:p>
        </w:tc>
      </w:tr>
    </w:tbl>
    <w:p/>
    <w:p>
      <w:pPr>
        <w:sectPr>
          <w:headerReference w:type="default" r:id="rIdHdr3"/>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6.2  The sales forecast</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forecast</w:t>
            </w:r>
          </w:p>
        </w:tc>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season</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management</w:t>
            </w:r>
          </w:p>
        </w:tc>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statistical</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Price held at $20.00 a case</w:t>
            </w:r>
          </w:p>
        </w:tc>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forecast</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The market leader holds a much larger share</w:t>
            </w:r>
          </w:p>
        </w:tc>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management's</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Orders already agreed with Levant and the supermarkets</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sales forecast</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results</w:t>
            </w:r>
          </w:p>
        </w:tc>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sales budget</w:t>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The sales forecast is an estimate of what the company could sell. It becomes the sales budget only after management decides on prices, promotions and targets.</w:t>
      </w:r>
    </w:p>
    <w:p>
      <w:pPr>
        <w:spacing w:before="20" w:after="20"/>
        <w:ind w:left="240" w:hanging="240"/>
      </w:pPr>
      <w:r>
        <w:rPr>
          <w:b/>
          <w:bCs/>
          <w:color w:val="353A7C"/>
          <w:sz w:val="15"/>
          <w:szCs w:val="15"/>
        </w:rPr>
        <w:t xml:space="preserve">Summary 2   </w:t>
      </w:r>
      <w:r>
        <w:rPr>
          <w:color w:val="6B7280"/>
          <w:sz w:val="15"/>
          <w:szCs w:val="15"/>
        </w:rPr>
        <w:t xml:space="preserve">Past results show trend and season. A good forecast combines several sources: the industry forecast and market share of, the sales team's knowledge of customers, and statistical methods such as the regression of Book 2.</w:t>
      </w:r>
    </w:p>
    <w:p>
      <w:pPr>
        <w:spacing w:before="20" w:after="20"/>
        <w:ind w:left="240" w:hanging="240"/>
      </w:pPr>
      <w:r>
        <w:rPr>
          <w:b/>
          <w:bCs/>
          <w:color w:val="353A7C"/>
          <w:sz w:val="15"/>
          <w:szCs w:val="15"/>
        </w:rPr>
        <w:t xml:space="preserve">Summary 3   </w:t>
      </w:r>
      <w:r>
        <w:rPr>
          <w:color w:val="6B7280"/>
          <w:sz w:val="15"/>
          <w:szCs w:val="15"/>
        </w:rPr>
        <w:t xml:space="preserve">The forecast says what could happen; the budget says what management plans and commits to. An answer that treats them as the same thing misses management's decisions on price and promotion.</w:t>
      </w:r>
    </w:p>
    <w:p>
      <w:pPr>
        <w:sectPr>
          <w:headerReference w:type="default" r:id="rIdHdr4"/>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6.3  Preparing the sales budget</w:t>
            </w:r>
          </w:p>
          <w:p>
            <w:pPr>
              <w:spacing w:before="0" w:after="46"/>
            </w:pPr>
            <w:r>
              <w:rPr>
                <w:color w:val="E8EAF6"/>
                <w:sz w:val="16"/>
                <w:szCs w:val="16"/>
              </w:rPr>
              <w:t xml:space="preserve">Chapter 6 · section 6.3</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1–2</w:t>
      </w:r>
    </w:p>
    <w:p>
      <w:pPr>
        <w:spacing w:before="20" w:after="20" w:line="360" w:lineRule="auto"/>
        <w:ind w:left="200"/>
      </w:pPr>
      <w:r>
        <w:rPr>
          <w:sz w:val="19"/>
          <w:szCs w:val="19"/>
        </w:rPr>
        <w:t xml:space="preserve">A sales budget has three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for each period: units, price per unit and revenue. </w:t>
      </w:r>
      <w:r>
        <w:rPr>
          <w:sz w:val="19"/>
          <w:szCs w:val="19"/>
        </w:rPr>
        <w:t xml:space="preserve">Companies with several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or channels prepare a line for each and add them up.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products   ·   components   ·   pattern</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Worked example: the Beverages sales budget</w:t>
            </w:r>
          </w:p>
        </w:tc>
      </w:tr>
    </w:tbl>
    <w:p/>
    <w:p>
      <w:pPr>
        <w:spacing w:before="20" w:after="20" w:line="360" w:lineRule="auto"/>
        <w:ind w:left="200"/>
      </w:pPr>
      <w:r>
        <w:rPr>
          <w:sz w:val="19"/>
          <w:szCs w:val="19"/>
        </w:rPr>
        <w:t xml:space="preserve">First quarter: 210,000 cases × $20.00 = $4,200,000.</w:t>
      </w:r>
    </w:p>
    <w:p>
      <w:pPr>
        <w:spacing w:before="44" w:after="10"/>
      </w:pPr>
      <w:r>
        <w:rPr>
          <w:b/>
          <w:bCs/>
          <w:color w:val="353A7C"/>
          <w:sz w:val="18"/>
          <w:szCs w:val="18"/>
        </w:rPr>
        <w:t xml:space="preserve">Worked example: the Beverages sales budget for 2028</w:t>
      </w:r>
    </w:p>
    <w:p>
      <w:pPr>
        <w:spacing w:before="0" w:after="12"/>
      </w:pPr>
      <w:r>
        <w:rPr>
          <w:color w:val="6B7280"/>
          <w:sz w:val="15"/>
          <w:szCs w:val="15"/>
        </w:rPr>
        <w:t xml:space="preserve">Name each point on the scale from where it sits.</w:t>
      </w:r>
    </w:p>
    <w:p>
      <w:pPr>
        <w:spacing w:after="40" w:before="90"/>
        <w:jc w:val="center"/>
      </w:pPr>
      <w:r>
        <w:drawing>
          <wp:inline distT="0" distB="0" distL="0" distR="0">
            <wp:extent cx="5734050" cy="2452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5734050" cy="245205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Q4   ·   Q1   ·   Cases</w:t>
            </w:r>
          </w:p>
        </w:tc>
      </w:tr>
    </w:tbl>
    <w:p/>
    <w:p>
      <w:pPr>
        <w:spacing w:before="44" w:after="14"/>
      </w:pPr>
      <w:r>
        <w:rPr>
          <w:b/>
          <w:bCs/>
          <w:color w:val="353A7C"/>
          <w:sz w:val="18"/>
          <w:szCs w:val="18"/>
        </w:rPr>
        <w:t xml:space="preserve">Summary 2</w:t>
      </w:r>
      <w:r>
        <w:rPr>
          <w:color w:val="6B7280"/>
          <w:sz w:val="16"/>
          <w:szCs w:val="16"/>
        </w:rPr>
        <w:t xml:space="preserve">      gaps 5–6</w:t>
      </w:r>
    </w:p>
    <w:p>
      <w:pPr>
        <w:spacing w:before="20" w:after="20" w:line="360" w:lineRule="auto"/>
        <w:ind w:left="200"/>
      </w:pPr>
      <w:r>
        <w:rPr>
          <w:sz w:val="19"/>
          <w:szCs w:val="19"/>
        </w:rPr>
        <w:t xml:space="preserve">The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split matters as much as the total: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purchasing and cash are all planned by quarter or month, following the pattern of sales.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quarterly   ·   revenue   ·   production</w:t>
            </w:r>
          </w:p>
        </w:tc>
      </w:tr>
    </w:tbl>
    <w:p/>
    <w:p>
      <w:pPr>
        <w:sectPr>
          <w:headerReference w:type="default" r:id="rIdHdr5"/>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6.3  Preparing the sales budget</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components</w:t>
            </w:r>
          </w:p>
        </w:tc>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Q4</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products</w:t>
            </w:r>
          </w:p>
        </w:tc>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quarterly</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Q1</w:t>
            </w:r>
          </w:p>
        </w:tc>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production</w:t>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A sales budget has three components for each period: units, price per unit and revenue. Companies with several products or channels prepare a line for each and add them up.</w:t>
      </w:r>
    </w:p>
    <w:p>
      <w:pPr>
        <w:spacing w:before="20" w:after="20"/>
        <w:ind w:left="240" w:hanging="240"/>
      </w:pPr>
      <w:r>
        <w:rPr>
          <w:b/>
          <w:bCs/>
          <w:color w:val="353A7C"/>
          <w:sz w:val="15"/>
          <w:szCs w:val="15"/>
        </w:rPr>
        <w:t xml:space="preserve">Summary 2   </w:t>
      </w:r>
      <w:r>
        <w:rPr>
          <w:color w:val="6B7280"/>
          <w:sz w:val="15"/>
          <w:szCs w:val="15"/>
        </w:rPr>
        <w:t xml:space="preserve">The quarterly split matters as much as the total: production, purchasing and cash are all planned by quarter or month, following the pattern of sales.</w:t>
      </w:r>
    </w:p>
    <w:p>
      <w:pPr>
        <w:sectPr>
          <w:headerReference w:type="default" r:id="rIdHdr6"/>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6.4  From sales to production</w:t>
            </w:r>
          </w:p>
          <w:p>
            <w:pPr>
              <w:spacing w:before="0" w:after="46"/>
            </w:pPr>
            <w:r>
              <w:rPr>
                <w:color w:val="E8EAF6"/>
                <w:sz w:val="16"/>
                <w:szCs w:val="16"/>
              </w:rPr>
              <w:t xml:space="preserve">Chapter 6 · section 6.4</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1–8</w:t>
      </w:r>
    </w:p>
    <w:p>
      <w:pPr>
        <w:spacing w:before="20" w:after="20" w:line="360" w:lineRule="auto"/>
        <w:ind w:left="200"/>
      </w:pPr>
      <w:r>
        <w:rPr>
          <w:sz w:val="19"/>
          <w:szCs w:val="19"/>
        </w:rPr>
        <w:t xml:space="preserve">Production does not simply equal sales,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the company holds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goods. </w:t>
      </w:r>
      <w:r>
        <w:rPr>
          <w:sz w:val="19"/>
          <w:szCs w:val="19"/>
        </w:rPr>
        <w:t xml:space="preserve">The production budget adds the stock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at the end of the period and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the stock already on hand at the start. </w:t>
      </w:r>
      <w:r>
        <w:rPr>
          <w:sz w:val="19"/>
          <w:szCs w:val="19"/>
        </w:rPr>
        <w:t xml:space="preserve">The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stock comes from the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policy. </w:t>
      </w:r>
      <w:r>
        <w:rPr>
          <w:sz w:val="19"/>
          <w:szCs w:val="19"/>
        </w:rPr>
        <w:t xml:space="preserve"/>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keeps 20% of next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sales in stock, so that it can meet orders while the next batch is filled. </w:t>
      </w:r>
      <w:r>
        <w:rPr>
          <w:sz w:val="19"/>
          <w:szCs w:val="19"/>
        </w:rPr>
        <w:t xml:space="preserve">Other factors also shape the production budget: plant capacity, storage space, the shelf life of juice and the wish to keep the workforce stable.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inventory   ·   workforce   ·   because   ·   wanted   ·   subtracts   ·   quarter's   ·   Beverages   ·   finished   ·   ending</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Factors in the Beverages production budget</w:t>
            </w:r>
          </w:p>
        </w:tc>
      </w:tr>
      <w:tr>
        <w:tc>
          <w:tcPr>
            <w:tcW w:type="pct" w:w="2400"/>
            <w:shd w:fill="353A7C" w:val="clear"/>
            <w:tcMar>
              <w:top w:type="dxa" w:w="50"/>
              <w:left w:type="dxa" w:w="110"/>
              <w:bottom w:type="dxa" w:w="50"/>
              <w:right w:type="dxa" w:w="110"/>
            </w:tcMar>
          </w:tcPr>
          <w:p>
            <w:pPr>
              <w:spacing w:before="30" w:after="30"/>
            </w:pPr>
            <w:r>
              <w:rPr>
                <w:b/>
                <w:bCs/>
                <w:color w:val="FFFFFF"/>
                <w:sz w:val="15"/>
                <w:szCs w:val="15"/>
              </w:rPr>
              <w:t xml:space="preserve">Factor in the production budget (B.5.e)</w:t>
            </w:r>
          </w:p>
        </w:tc>
        <w:tc>
          <w:tcPr>
            <w:tcW w:type="pct" w:w="2600"/>
            <w:shd w:fill="353A7C" w:val="clear"/>
            <w:tcMar>
              <w:top w:type="dxa" w:w="50"/>
              <w:left w:type="dxa" w:w="110"/>
              <w:bottom w:type="dxa" w:w="50"/>
              <w:right w:type="dxa" w:w="110"/>
            </w:tcMar>
          </w:tcPr>
          <w:p>
            <w:pPr>
              <w:spacing w:before="30" w:after="30"/>
            </w:pPr>
            <w:r>
              <w:rPr>
                <w:b/>
                <w:bCs/>
                <w:color w:val="FFFFFF"/>
                <w:sz w:val="15"/>
                <w:szCs w:val="15"/>
              </w:rPr>
              <w:t xml:space="preserve">Beverages 2028</w:t>
            </w:r>
          </w:p>
        </w:tc>
      </w:tr>
      <w:tr>
        <w:tc>
          <w:tcPr>
            <w:tcW w:type="pct" w:w="2400"/>
            <w:tcMar>
              <w:top w:type="dxa" w:w="50"/>
              <w:left w:type="dxa" w:w="110"/>
              <w:bottom w:type="dxa" w:w="50"/>
              <w:right w:type="dxa" w:w="110"/>
            </w:tcMar>
          </w:tcPr>
          <w:p>
            <w:pPr>
              <w:spacing w:before="28" w:after="28"/>
            </w:pPr>
            <w:r>
              <w:rPr>
                <w:sz w:val="15"/>
                <w:szCs w:val="15"/>
              </w:rPr>
              <w:t xml:space="preserve">Inventory policy</w:t>
            </w:r>
          </w:p>
        </w:tc>
        <w:tc>
          <w:tcPr>
            <w:tcW w:type="pct" w:w="2600"/>
            <w:shd w:fill="FFFFFF" w:val="clear"/>
            <w:tcMar>
              <w:top w:type="dxa" w:w="50"/>
              <w:left w:type="dxa" w:w="110"/>
              <w:bottom w:type="dxa" w:w="50"/>
              <w:right w:type="dxa" w:w="110"/>
            </w:tcMar>
          </w:tcPr>
          <w:p>
            <w:pPr>
              <w:spacing w:before="46" w:after="46"/>
            </w:pPr>
            <w:r>
              <w:rPr>
                <w:b/>
                <w:bCs/>
                <w:color w:val="8186EF"/>
                <w:sz w:val="14"/>
                <w:szCs w:val="14"/>
              </w:rPr>
              <w:t xml:space="preserve">(9)</w:t>
            </w:r>
          </w:p>
        </w:tc>
      </w:tr>
      <w:tr>
        <w:tc>
          <w:tcPr>
            <w:tcW w:type="pct" w:w="2400"/>
            <w:shd w:fill="FBFAF6" w:val="clear"/>
            <w:tcMar>
              <w:top w:type="dxa" w:w="50"/>
              <w:left w:type="dxa" w:w="110"/>
              <w:bottom w:type="dxa" w:w="50"/>
              <w:right w:type="dxa" w:w="110"/>
            </w:tcMar>
          </w:tcPr>
          <w:p>
            <w:pPr>
              <w:spacing w:before="28" w:after="28"/>
            </w:pPr>
            <w:r>
              <w:rPr>
                <w:sz w:val="15"/>
                <w:szCs w:val="15"/>
              </w:rPr>
              <w:t xml:space="preserve">Capacity</w:t>
            </w:r>
          </w:p>
        </w:tc>
        <w:tc>
          <w:tcPr>
            <w:tcW w:type="pct" w:w="2600"/>
            <w:shd w:fill="FBFAF6" w:val="clear"/>
            <w:tcMar>
              <w:top w:type="dxa" w:w="50"/>
              <w:left w:type="dxa" w:w="110"/>
              <w:bottom w:type="dxa" w:w="50"/>
              <w:right w:type="dxa" w:w="110"/>
            </w:tcMar>
          </w:tcPr>
          <w:p>
            <w:pPr>
              <w:spacing w:before="28" w:after="28"/>
            </w:pPr>
            <w:r>
              <w:rPr>
                <w:sz w:val="15"/>
                <w:szCs w:val="15"/>
              </w:rPr>
              <w:t xml:space="preserve">240,000 cases a quarter (4,800 machine hours)</w:t>
            </w:r>
          </w:p>
        </w:tc>
      </w:tr>
      <w:tr>
        <w:tc>
          <w:tcPr>
            <w:tcW w:type="pct" w:w="2400"/>
            <w:tcMar>
              <w:top w:type="dxa" w:w="50"/>
              <w:left w:type="dxa" w:w="110"/>
              <w:bottom w:type="dxa" w:w="50"/>
              <w:right w:type="dxa" w:w="110"/>
            </w:tcMar>
          </w:tcPr>
          <w:p>
            <w:pPr>
              <w:spacing w:before="28" w:after="28"/>
            </w:pPr>
            <w:r>
              <w:rPr>
                <w:sz w:val="15"/>
                <w:szCs w:val="15"/>
              </w:rPr>
              <w:t xml:space="preserve">Storage space</w:t>
            </w:r>
          </w:p>
        </w:tc>
        <w:tc>
          <w:tcPr>
            <w:tcW w:type="pct" w:w="2600"/>
            <w:tcMar>
              <w:top w:type="dxa" w:w="50"/>
              <w:left w:type="dxa" w:w="110"/>
              <w:bottom w:type="dxa" w:w="50"/>
              <w:right w:type="dxa" w:w="110"/>
            </w:tcMar>
          </w:tcPr>
          <w:p>
            <w:pPr>
              <w:spacing w:before="28" w:after="28"/>
            </w:pPr>
            <w:r>
              <w:rPr>
                <w:sz w:val="15"/>
                <w:szCs w:val="15"/>
              </w:rPr>
              <w:t xml:space="preserve">Room for 50,000 cases</w:t>
            </w:r>
          </w:p>
        </w:tc>
      </w:tr>
      <w:tr>
        <w:tc>
          <w:tcPr>
            <w:tcW w:type="pct" w:w="2400"/>
            <w:shd w:fill="FBFAF6" w:val="clear"/>
            <w:tcMar>
              <w:top w:type="dxa" w:w="50"/>
              <w:left w:type="dxa" w:w="110"/>
              <w:bottom w:type="dxa" w:w="50"/>
              <w:right w:type="dxa" w:w="110"/>
            </w:tcMar>
          </w:tcPr>
          <w:p>
            <w:pPr>
              <w:spacing w:before="28" w:after="28"/>
            </w:pPr>
            <w:r>
              <w:rPr>
                <w:sz w:val="15"/>
                <w:szCs w:val="15"/>
              </w:rPr>
              <w:t xml:space="preserve">Shelf life</w:t>
            </w:r>
          </w:p>
        </w:tc>
        <w:tc>
          <w:tcPr>
            <w:tcW w:type="pct" w:w="2600"/>
            <w:shd w:fill="FFFFFF" w:val="clear"/>
            <w:tcMar>
              <w:top w:type="dxa" w:w="50"/>
              <w:left w:type="dxa" w:w="110"/>
              <w:bottom w:type="dxa" w:w="50"/>
              <w:right w:type="dxa" w:w="110"/>
            </w:tcMar>
          </w:tcPr>
          <w:p>
            <w:pPr>
              <w:spacing w:before="46" w:after="46"/>
            </w:pPr>
            <w:r>
              <w:rPr>
                <w:b/>
                <w:bCs/>
                <w:color w:val="8186EF"/>
                <w:sz w:val="14"/>
                <w:szCs w:val="14"/>
              </w:rPr>
              <w:t xml:space="preserve">(10)</w:t>
            </w:r>
          </w:p>
        </w:tc>
      </w:tr>
      <w:tr>
        <w:tc>
          <w:tcPr>
            <w:tcW w:type="pct" w:w="2400"/>
            <w:tcMar>
              <w:top w:type="dxa" w:w="50"/>
              <w:left w:type="dxa" w:w="110"/>
              <w:bottom w:type="dxa" w:w="50"/>
              <w:right w:type="dxa" w:w="110"/>
            </w:tcMar>
          </w:tcPr>
          <w:p>
            <w:pPr>
              <w:spacing w:before="28" w:after="28"/>
            </w:pPr>
            <w:r>
              <w:rPr>
                <w:sz w:val="15"/>
                <w:szCs w:val="15"/>
              </w:rPr>
              <w:t xml:space="preserve">Stable workforce</w:t>
            </w:r>
          </w:p>
        </w:tc>
        <w:tc>
          <w:tcPr>
            <w:tcW w:type="pct" w:w="2600"/>
            <w:shd w:fill="FFFFFF" w:val="clear"/>
            <w:tcMar>
              <w:top w:type="dxa" w:w="50"/>
              <w:left w:type="dxa" w:w="110"/>
              <w:bottom w:type="dxa" w:w="50"/>
              <w:right w:type="dxa" w:w="110"/>
            </w:tcMar>
          </w:tcPr>
          <w:p>
            <w:pPr>
              <w:spacing w:before="46" w:after="46"/>
            </w:pPr>
            <w:r>
              <w:rPr>
                <w:b/>
                <w:bCs/>
                <w:color w:val="8186EF"/>
                <w:sz w:val="14"/>
                <w:szCs w:val="14"/>
              </w:rPr>
              <w:t xml:space="preserve">(11)</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Juice must be sold within nine months   ·   Ending stock = 20% of next quarter's sales   ·   Avoid large swings in production between quarters   ·   240,000 cases a quarter (4,800 machine hours)</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6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4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600"/>
            <w:tcMar>
              <w:top w:type="dxa" w:w="50"/>
              <w:left w:type="dxa" w:w="110"/>
              <w:bottom w:type="dxa" w:w="50"/>
              <w:right w:type="dxa" w:w="110"/>
            </w:tcMar>
          </w:tcPr>
          <w:p>
            <w:pPr>
              <w:spacing w:before="26" w:after="26"/>
            </w:pPr>
            <w:r>
              <w:rPr>
                <w:color w:val="232733"/>
                <w:sz w:val="16"/>
                <w:szCs w:val="16"/>
              </w:rPr>
              <w:t xml:space="preserve">production budget</w:t>
            </w:r>
          </w:p>
        </w:tc>
        <w:tc>
          <w:tcPr>
            <w:tcW w:type="pct" w:w="2400"/>
            <w:tcMar>
              <w:top w:type="dxa" w:w="50"/>
              <w:left w:type="dxa" w:w="110"/>
              <w:bottom w:type="dxa" w:w="50"/>
              <w:right w:type="dxa" w:w="110"/>
            </w:tcMar>
          </w:tcPr>
          <w:p>
            <w:pPr>
              <w:spacing w:before="26" w:after="26"/>
            </w:pPr>
            <w:r>
              <w:rPr>
                <w:color w:val="232733"/>
                <w:sz w:val="16"/>
                <w:szCs w:val="16"/>
              </w:rPr>
              <w:t xml:space="preserve">موازنة الإنتاج</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inventory policy</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سياسة المخزون</w:t>
            </w:r>
          </w:p>
        </w:tc>
      </w:tr>
    </w:tbl>
    <w:p/>
    <w:p>
      <w:pPr>
        <w:sectPr>
          <w:headerReference w:type="default" r:id="rIdHdr7"/>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6.4  From sales to production</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because</w:t>
            </w:r>
          </w:p>
        </w:tc>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Beverages</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finished</w:t>
            </w:r>
          </w:p>
        </w:tc>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quarter's</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wanted</w:t>
            </w:r>
          </w:p>
        </w:tc>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Ending stock = 20% of next quarter's sales</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subtracts</w:t>
            </w:r>
          </w:p>
        </w:tc>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Juice must be sold within nine months</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ending</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Avoid large swings in production between quarters</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inventory</w:t>
            </w:r>
          </w:p>
        </w:tc>
        <w:tc>
          <w:tcPr>
            <w:tcW w:type="pct" w:w="2500"/>
            <w:tcMar>
              <w:top w:type="dxa" w:w="20"/>
              <w:left w:type="dxa" w:w="80"/>
              <w:bottom w:type="dxa" w:w="20"/>
              <w:right w:type="dxa" w:w="80"/>
            </w:tcMar>
          </w:tcPr>
          <w:p>
            <w:pPr>
              <w:spacing w:before="24" w:after="24"/>
            </w:pPr>
            <w:r>
              <w:rPr>
                <w:sz w:val="16"/>
                <w:szCs w:val="16"/>
              </w:rPr>
              <w:t xml:space="preserve"/>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Production does not simply equal sales, because the company holds finished goods. The production budget adds the stock wanted at the end of the period and subtracts the stock already on hand at the start. The ending stock comes from the inventory policy. Beverages keeps 20% of next quarter's sales in stock, so that it can meet orders while the next batch is filled. Other factors also shape the production budget: plant capacity, storage space, the shelf life of juice and the wish to keep the workforce stable.</w:t>
      </w:r>
    </w:p>
    <w:p>
      <w:pPr>
        <w:sectPr>
          <w:headerReference w:type="default" r:id="rIdHdr8"/>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6.5  Preparing the production budget</w:t>
            </w:r>
          </w:p>
          <w:p>
            <w:pPr>
              <w:spacing w:before="0" w:after="46"/>
            </w:pPr>
            <w:r>
              <w:rPr>
                <w:color w:val="E8EAF6"/>
                <w:sz w:val="16"/>
                <w:szCs w:val="16"/>
              </w:rPr>
              <w:t xml:space="preserve">Chapter 6 · section 6.5</w:t>
            </w:r>
          </w:p>
        </w:tc>
      </w:tr>
    </w:tbl>
    <w:p/>
    <w:p>
      <w:pPr>
        <w:spacing w:before="10" w:after="40"/>
      </w:pPr>
      <w:r>
        <w:rPr>
          <w:color w:val="6B7280"/>
          <w:sz w:val="17"/>
          <w:szCs w:val="17"/>
        </w:rPr>
        <w:t xml:space="preserve">Fill every gap. Each word list holds one word more than there are gaps.</w:t>
      </w:r>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Worked example: the first quarter</w:t>
            </w:r>
          </w:p>
        </w:tc>
      </w:tr>
    </w:tbl>
    <w:p/>
    <w:p>
      <w:pPr>
        <w:spacing w:before="44" w:after="14"/>
      </w:pPr>
      <w:r>
        <w:rPr>
          <w:b/>
          <w:bCs/>
          <w:color w:val="353A7C"/>
          <w:sz w:val="18"/>
          <w:szCs w:val="18"/>
        </w:rPr>
        <w:t xml:space="preserve">Summary 1</w:t>
      </w:r>
      <w:r>
        <w:rPr>
          <w:color w:val="6B7280"/>
          <w:sz w:val="16"/>
          <w:szCs w:val="16"/>
        </w:rPr>
        <w:t xml:space="preserve">      gaps 1–2</w:t>
      </w:r>
    </w:p>
    <w:p>
      <w:pPr>
        <w:spacing w:before="20" w:after="20" w:line="360" w:lineRule="auto"/>
        <w:ind w:left="200"/>
      </w:pPr>
      <w:r>
        <w:rPr>
          <w:sz w:val="19"/>
          <w:szCs w:val="19"/>
        </w:rPr>
        <w:t xml:space="preserve">Sales 210,000 + ending stock 45,000 (20% of 225,000) = 255,000 needed; −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stock 42,000 = 213,000 cases to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produce   ·   beginning   ·   quarter</w:t>
            </w:r>
          </w:p>
        </w:tc>
      </w:tr>
    </w:tbl>
    <w:p/>
    <w:p>
      <w:pPr>
        <w:spacing w:before="44" w:after="10"/>
      </w:pPr>
      <w:r>
        <w:rPr>
          <w:b/>
          <w:bCs/>
          <w:color w:val="353A7C"/>
          <w:sz w:val="18"/>
          <w:szCs w:val="18"/>
        </w:rPr>
        <w:t xml:space="preserve">Worked example: the Beverages production budget for 2028</w:t>
      </w:r>
    </w:p>
    <w:p>
      <w:pPr>
        <w:spacing w:before="0" w:after="12"/>
      </w:pPr>
      <w:r>
        <w:rPr>
          <w:color w:val="6B7280"/>
          <w:sz w:val="15"/>
          <w:szCs w:val="15"/>
        </w:rPr>
        <w:t xml:space="preserve">The bars are drawn to scale.</w:t>
      </w:r>
    </w:p>
    <w:p>
      <w:pPr>
        <w:spacing w:after="40" w:before="90"/>
        <w:jc w:val="center"/>
      </w:pPr>
      <w:r>
        <w:drawing>
          <wp:inline distT="0" distB="0" distL="0" distR="0">
            <wp:extent cx="5734050" cy="1946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5734050" cy="194655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 Units needed   ·   Budgeted sales   ·   sales forecast</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The third and fourth quarters</w:t>
            </w:r>
          </w:p>
        </w:tc>
      </w:tr>
    </w:tbl>
    <w:p/>
    <w:p>
      <w:pPr>
        <w:spacing w:before="44" w:after="14"/>
      </w:pPr>
      <w:r>
        <w:rPr>
          <w:b/>
          <w:bCs/>
          <w:color w:val="353A7C"/>
          <w:sz w:val="18"/>
          <w:szCs w:val="18"/>
        </w:rPr>
        <w:t xml:space="preserve">Summary 2</w:t>
      </w:r>
      <w:r>
        <w:rPr>
          <w:color w:val="6B7280"/>
          <w:sz w:val="16"/>
          <w:szCs w:val="16"/>
        </w:rPr>
        <w:t xml:space="preserve">      gaps 5–7</w:t>
      </w:r>
    </w:p>
    <w:p>
      <w:pPr>
        <w:spacing w:before="20" w:after="20" w:line="360" w:lineRule="auto"/>
        <w:ind w:left="200"/>
      </w:pPr>
      <w:r>
        <w:rPr>
          <w:sz w:val="19"/>
          <w:szCs w:val="19"/>
        </w:rPr>
        <w:t xml:space="preserve">Complete the blank cells. </w:t>
      </w:r>
      <w:r>
        <w:rPr>
          <w:sz w:val="19"/>
          <w:szCs w:val="19"/>
        </w:rPr>
        <w:t xml:space="preserve">The first quarter of 2029 is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to sell 215,000 cases. </w:t>
      </w:r>
      <w:r>
        <w:rPr>
          <w:sz w:val="19"/>
          <w:szCs w:val="19"/>
        </w:rPr>
        <w:t xml:space="preserve">Over the year,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of 901,000 cases is 900,000 cases of sales plus the rise in stock from 42,000 to 43,000. </w:t>
      </w:r>
      <w:r>
        <w:rPr>
          <w:sz w:val="19"/>
          <w:szCs w:val="19"/>
        </w:rPr>
        <w:t xml:space="preserve">The budget must also be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feasible   ·   expected   ·   beginning   ·   production</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Watch the signs</w:t>
            </w:r>
          </w:p>
        </w:tc>
      </w:tr>
    </w:tbl>
    <w:p/>
    <w:p>
      <w:pPr>
        <w:spacing w:before="44" w:after="14"/>
      </w:pPr>
      <w:r>
        <w:rPr>
          <w:b/>
          <w:bCs/>
          <w:color w:val="353A7C"/>
          <w:sz w:val="18"/>
          <w:szCs w:val="18"/>
        </w:rPr>
        <w:t xml:space="preserve">Summary 3</w:t>
      </w:r>
      <w:r>
        <w:rPr>
          <w:color w:val="6B7280"/>
          <w:sz w:val="16"/>
          <w:szCs w:val="16"/>
        </w:rPr>
        <w:t xml:space="preserve">      gaps 8–9</w:t>
      </w:r>
    </w:p>
    <w:p>
      <w:pPr>
        <w:spacing w:before="20" w:after="20" w:line="360" w:lineRule="auto"/>
        <w:ind w:left="200"/>
      </w:pPr>
      <w:r>
        <w:rPr>
          <w:sz w:val="19"/>
          <w:szCs w:val="19"/>
        </w:rPr>
        <w:t xml:space="preserve">Ending inventory is added and beginning inventory is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w:t>
      </w:r>
      <w:r>
        <w:rPr>
          <w:sz w:val="19"/>
          <w:szCs w:val="19"/>
        </w:rPr>
        <w:t xml:space="preserve">Reversing the signs, or setting ending stock from this quarter's sales instead of next quarter's, gives the wrong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figure.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subtracted   ·   expected   ·   production</w:t>
            </w:r>
          </w:p>
        </w:tc>
      </w:tr>
    </w:tbl>
    <w:p/>
    <w:p>
      <w:pPr>
        <w:sectPr>
          <w:headerReference w:type="default" r:id="rIdHdr9"/>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6.5  Preparing the production budget</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beginning</w:t>
            </w:r>
          </w:p>
        </w:tc>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production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produce</w:t>
            </w:r>
          </w:p>
        </w:tc>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feasible</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Budgeted sales</w:t>
            </w:r>
          </w:p>
        </w:tc>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subtracted</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 Units needed</w:t>
            </w:r>
          </w:p>
        </w:tc>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production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expected</w:t>
            </w:r>
          </w:p>
        </w:tc>
        <w:tc>
          <w:tcPr>
            <w:tcW w:type="pct" w:w="2500"/>
            <w:tcMar>
              <w:top w:type="dxa" w:w="20"/>
              <w:left w:type="dxa" w:w="80"/>
              <w:bottom w:type="dxa" w:w="20"/>
              <w:right w:type="dxa" w:w="80"/>
            </w:tcMar>
          </w:tcPr>
          <w:p>
            <w:pPr>
              <w:spacing w:before="24" w:after="24"/>
            </w:pPr>
            <w:r>
              <w:rPr>
                <w:sz w:val="16"/>
                <w:szCs w:val="16"/>
              </w:rPr>
              <w:t xml:space="preserve"/>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Sales 210,000 + ending stock 45,000 (20% of 225,000) = 255,000 needed; − beginning stock 42,000 = 213,000 cases to produce.</w:t>
      </w:r>
    </w:p>
    <w:p>
      <w:pPr>
        <w:spacing w:before="20" w:after="20"/>
        <w:ind w:left="240" w:hanging="240"/>
      </w:pPr>
      <w:r>
        <w:rPr>
          <w:b/>
          <w:bCs/>
          <w:color w:val="353A7C"/>
          <w:sz w:val="15"/>
          <w:szCs w:val="15"/>
        </w:rPr>
        <w:t xml:space="preserve">Summary 2   </w:t>
      </w:r>
      <w:r>
        <w:rPr>
          <w:color w:val="6B7280"/>
          <w:sz w:val="15"/>
          <w:szCs w:val="15"/>
        </w:rPr>
        <w:t xml:space="preserve">Complete the blank cells. The first quarter of 2029 is expected to sell 215,000 cases. Over the year, production of 901,000 cases is 900,000 cases of sales plus the rise in stock from 42,000 to 43,000. The budget must also be feasible.</w:t>
      </w:r>
    </w:p>
    <w:p>
      <w:pPr>
        <w:spacing w:before="20" w:after="20"/>
        <w:ind w:left="240" w:hanging="240"/>
      </w:pPr>
      <w:r>
        <w:rPr>
          <w:b/>
          <w:bCs/>
          <w:color w:val="353A7C"/>
          <w:sz w:val="15"/>
          <w:szCs w:val="15"/>
        </w:rPr>
        <w:t xml:space="preserve">Summary 3   </w:t>
      </w:r>
      <w:r>
        <w:rPr>
          <w:color w:val="6B7280"/>
          <w:sz w:val="15"/>
          <w:szCs w:val="15"/>
        </w:rPr>
        <w:t xml:space="preserve">Ending inventory is added and beginning inventory is subtracted. Reversing the signs, or setting ending stock from this quarter's sales instead of next quarter's, gives the wrong production figure.</w:t>
      </w:r>
    </w:p>
    <w:p>
      <w:pPr>
        <w:sectPr>
          <w:headerReference w:type="default" r:id="rIdHdr10"/>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6.6  Extended Example 6A: a late order for the summer</w:t>
            </w:r>
          </w:p>
          <w:p>
            <w:pPr>
              <w:spacing w:before="0" w:after="46"/>
            </w:pPr>
            <w:r>
              <w:rPr>
                <w:color w:val="E8EAF6"/>
                <w:sz w:val="16"/>
                <w:szCs w:val="16"/>
              </w:rPr>
              <w:t xml:space="preserve">Chapter 6 · section 6.6</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1–4</w:t>
      </w:r>
    </w:p>
    <w:p>
      <w:pPr>
        <w:spacing w:before="20" w:after="20" w:line="360" w:lineRule="auto"/>
        <w:ind w:left="200"/>
      </w:pPr>
      <w:r>
        <w:rPr>
          <w:sz w:val="19"/>
          <w:szCs w:val="19"/>
        </w:rPr>
        <w:t xml:space="preserve">In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Levant asks for 10,000 extra cases in the third quarter for a hotel chain. </w:t>
      </w:r>
      <w:r>
        <w:rPr>
          <w:sz w:val="19"/>
          <w:szCs w:val="19"/>
        </w:rPr>
        <w:t xml:space="preserve">This example tests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the production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can absorb the order. </w:t>
      </w:r>
      <w:r>
        <w:rPr>
          <w:sz w:val="19"/>
          <w:szCs w:val="19"/>
        </w:rPr>
        <w:t xml:space="preserve">Higher third-quarter sales raise the second quarter's ending stock, and therefore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production, as well as third-quarter production.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February   ·   whether   ·   already   ·   budget   ·   second-quarter</w:t>
            </w:r>
          </w:p>
        </w:tc>
      </w:tr>
    </w:tbl>
    <w:p/>
    <w:p>
      <w:pPr>
        <w:spacing w:before="44" w:after="10"/>
      </w:pPr>
      <w:r>
        <w:rPr>
          <w:b/>
          <w:bCs/>
          <w:color w:val="353A7C"/>
          <w:sz w:val="18"/>
          <w:szCs w:val="18"/>
        </w:rPr>
        <w:t xml:space="preserve">Extended Example: the production budget with the late order</w:t>
      </w:r>
    </w:p>
    <w:p>
      <w:pPr>
        <w:spacing w:before="0" w:after="12"/>
      </w:pPr>
      <w:r>
        <w:rPr>
          <w:color w:val="6B7280"/>
          <w:sz w:val="15"/>
          <w:szCs w:val="15"/>
        </w:rPr>
        <w:t xml:space="preserve">The bars are drawn to scale.</w:t>
      </w:r>
    </w:p>
    <w:p>
      <w:pPr>
        <w:spacing w:after="40" w:before="90"/>
        <w:jc w:val="center"/>
      </w:pPr>
      <w:r>
        <w:drawing>
          <wp:inline distT="0" distB="0" distL="0" distR="0">
            <wp:extent cx="5734050" cy="1946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5734050" cy="194655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sales forecast   ·   Third-quarter production   ·   Second-quarter production</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2. Is it feasible?</w:t>
            </w:r>
          </w:p>
        </w:tc>
      </w:tr>
    </w:tbl>
    <w:p/>
    <w:p>
      <w:pPr>
        <w:spacing w:before="44" w:after="14"/>
      </w:pPr>
      <w:r>
        <w:rPr>
          <w:b/>
          <w:bCs/>
          <w:color w:val="353A7C"/>
          <w:sz w:val="18"/>
          <w:szCs w:val="18"/>
        </w:rPr>
        <w:t xml:space="preserve">Summary 2</w:t>
      </w:r>
      <w:r>
        <w:rPr>
          <w:color w:val="6B7280"/>
          <w:sz w:val="16"/>
          <w:szCs w:val="16"/>
        </w:rPr>
        <w:t xml:space="preserve">      gaps 7–8</w:t>
      </w:r>
    </w:p>
    <w:p>
      <w:pPr>
        <w:spacing w:before="20" w:after="20" w:line="360" w:lineRule="auto"/>
        <w:ind w:left="200"/>
      </w:pPr>
      <w:r>
        <w:rPr>
          <w:sz w:val="19"/>
          <w:szCs w:val="19"/>
        </w:rPr>
        <w:t xml:space="preserve">Third-quarter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would be 245,000 cases, 5,000 above capacity. </w:t>
      </w:r>
      <w:r>
        <w:rPr>
          <w:sz w:val="19"/>
          <w:szCs w:val="19"/>
        </w:rPr>
        <w:t xml:space="preserve"/>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ahead is not possible, because the store would already be full at 50,000 cases.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production   ·   Building   ·   storage</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Extended Example: options for the cases above capacity</w:t>
            </w:r>
          </w:p>
        </w:tc>
      </w:tr>
      <w:tr>
        <w:tc>
          <w:tcPr>
            <w:tcW w:type="pct" w:w="2400"/>
            <w:shd w:fill="353A7C" w:val="clear"/>
            <w:tcMar>
              <w:top w:type="dxa" w:w="50"/>
              <w:left w:type="dxa" w:w="110"/>
              <w:bottom w:type="dxa" w:w="50"/>
              <w:right w:type="dxa" w:w="110"/>
            </w:tcMar>
          </w:tcPr>
          <w:p>
            <w:pPr>
              <w:spacing w:before="30" w:after="30"/>
            </w:pPr>
            <w:r>
              <w:rPr>
                <w:b/>
                <w:bCs/>
                <w:color w:val="FFFFFF"/>
                <w:sz w:val="15"/>
                <w:szCs w:val="15"/>
              </w:rPr>
              <w:t xml:space="preserve">Options for the 5,000 extra cases</w:t>
            </w:r>
          </w:p>
        </w:tc>
        <w:tc>
          <w:tcPr>
            <w:tcW w:type="pct" w:w="2600"/>
            <w:shd w:fill="353A7C" w:val="clear"/>
            <w:tcMar>
              <w:top w:type="dxa" w:w="50"/>
              <w:left w:type="dxa" w:w="110"/>
              <w:bottom w:type="dxa" w:w="50"/>
              <w:right w:type="dxa" w:w="110"/>
            </w:tcMar>
          </w:tcPr>
          <w:p>
            <w:pPr>
              <w:spacing w:before="30" w:after="30"/>
            </w:pPr>
            <w:r>
              <w:rPr>
                <w:b/>
                <w:bCs/>
                <w:color w:val="FFFFFF"/>
                <w:sz w:val="15"/>
                <w:szCs w:val="15"/>
              </w:rPr>
              <w:t xml:space="preserve">Assessment</w:t>
            </w:r>
          </w:p>
        </w:tc>
      </w:tr>
      <w:tr>
        <w:tc>
          <w:tcPr>
            <w:tcW w:type="pct" w:w="2400"/>
            <w:tcMar>
              <w:top w:type="dxa" w:w="50"/>
              <w:left w:type="dxa" w:w="110"/>
              <w:bottom w:type="dxa" w:w="50"/>
              <w:right w:type="dxa" w:w="110"/>
            </w:tcMar>
          </w:tcPr>
          <w:p>
            <w:pPr>
              <w:spacing w:before="28" w:after="28"/>
            </w:pPr>
            <w:r>
              <w:rPr>
                <w:sz w:val="15"/>
                <w:szCs w:val="15"/>
              </w:rPr>
              <w:t xml:space="preserve">Build ahead in the second quarter</w:t>
            </w:r>
          </w:p>
        </w:tc>
        <w:tc>
          <w:tcPr>
            <w:tcW w:type="pct" w:w="2600"/>
            <w:tcMar>
              <w:top w:type="dxa" w:w="50"/>
              <w:left w:type="dxa" w:w="110"/>
              <w:bottom w:type="dxa" w:w="50"/>
              <w:right w:type="dxa" w:w="110"/>
            </w:tcMar>
          </w:tcPr>
          <w:p>
            <w:pPr>
              <w:spacing w:before="28" w:after="28"/>
            </w:pPr>
            <w:r>
              <w:rPr>
                <w:sz w:val="15"/>
                <w:szCs w:val="15"/>
              </w:rPr>
              <w:t xml:space="preserve">Not </w:t>
            </w:r>
            <w:r>
              <w:rPr>
                <w:b/>
                <w:bCs/>
                <w:color w:val="8186EF"/>
                <w:sz w:val="14"/>
                <w:szCs w:val="14"/>
              </w:rPr>
              <w:t xml:space="preserve"> (9) </w:t>
            </w:r>
            <w:r>
              <w:rPr>
                <w:u w:val="single"/>
                <w:sz w:val="15"/>
                <w:szCs w:val="15"/>
              </w:rPr>
              <w:t xml:space="preserve">              </w:t>
            </w:r>
            <w:r>
              <w:rPr>
                <w:sz w:val="15"/>
                <w:szCs w:val="15"/>
              </w:rPr>
              <w:t xml:space="preserve"> </w:t>
            </w:r>
            <w:r>
              <w:rPr>
                <w:sz w:val="15"/>
                <w:szCs w:val="15"/>
              </w:rPr>
              <w:t xml:space="preserve">: the store would already hold 50,000 cases, its limit</w:t>
            </w:r>
          </w:p>
        </w:tc>
      </w:tr>
      <w:tr>
        <w:tc>
          <w:tcPr>
            <w:tcW w:type="pct" w:w="2400"/>
            <w:shd w:fill="FBFAF6" w:val="clear"/>
            <w:tcMar>
              <w:top w:type="dxa" w:w="50"/>
              <w:left w:type="dxa" w:w="110"/>
              <w:bottom w:type="dxa" w:w="50"/>
              <w:right w:type="dxa" w:w="110"/>
            </w:tcMar>
          </w:tcPr>
          <w:p>
            <w:pPr>
              <w:spacing w:before="28" w:after="28"/>
            </w:pPr>
            <w:r>
              <w:rPr>
                <w:sz w:val="15"/>
                <w:szCs w:val="15"/>
              </w:rPr>
              <w:t xml:space="preserve">Overtime shifts in the third quarter</w:t>
            </w:r>
          </w:p>
        </w:tc>
        <w:tc>
          <w:tcPr>
            <w:tcW w:type="pct" w:w="2600"/>
            <w:shd w:fill="FFFFFF" w:val="clear"/>
            <w:tcMar>
              <w:top w:type="dxa" w:w="50"/>
              <w:left w:type="dxa" w:w="110"/>
              <w:bottom w:type="dxa" w:w="50"/>
              <w:right w:type="dxa" w:w="110"/>
            </w:tcMar>
          </w:tcPr>
          <w:p>
            <w:pPr>
              <w:spacing w:before="46" w:after="46"/>
            </w:pPr>
            <w:r>
              <w:rPr>
                <w:b/>
                <w:bCs/>
                <w:color w:val="8186EF"/>
                <w:sz w:val="14"/>
                <w:szCs w:val="14"/>
              </w:rPr>
              <w:t xml:space="preserve">(10)</w:t>
            </w:r>
          </w:p>
        </w:tc>
      </w:tr>
      <w:tr>
        <w:tc>
          <w:tcPr>
            <w:tcW w:type="pct" w:w="2400"/>
            <w:tcMar>
              <w:top w:type="dxa" w:w="50"/>
              <w:left w:type="dxa" w:w="110"/>
              <w:bottom w:type="dxa" w:w="50"/>
              <w:right w:type="dxa" w:w="110"/>
            </w:tcMar>
          </w:tcPr>
          <w:p>
            <w:pPr>
              <w:spacing w:before="28" w:after="28"/>
            </w:pPr>
            <w:r>
              <w:rPr>
                <w:sz w:val="15"/>
                <w:szCs w:val="15"/>
              </w:rPr>
              <w:t xml:space="preserve">Outsource filling of the extra cases</w:t>
            </w:r>
          </w:p>
        </w:tc>
        <w:tc>
          <w:tcPr>
            <w:tcW w:type="pct" w:w="2600"/>
            <w:tcMar>
              <w:top w:type="dxa" w:w="50"/>
              <w:left w:type="dxa" w:w="110"/>
              <w:bottom w:type="dxa" w:w="50"/>
              <w:right w:type="dxa" w:w="110"/>
            </w:tcMar>
          </w:tcPr>
          <w:p>
            <w:pPr>
              <w:spacing w:before="28" w:after="28"/>
            </w:pPr>
            <w:r>
              <w:rPr>
                <w:sz w:val="15"/>
                <w:szCs w:val="15"/>
              </w:rPr>
              <w:t xml:space="preserve">Uses outside capacity (Book 2, Chapter 17); check quality</w:t>
            </w:r>
          </w:p>
        </w:tc>
      </w:tr>
      <w:tr>
        <w:tc>
          <w:tcPr>
            <w:tcW w:type="pct" w:w="2400"/>
            <w:shd w:fill="FBFAF6" w:val="clear"/>
            <w:tcMar>
              <w:top w:type="dxa" w:w="50"/>
              <w:left w:type="dxa" w:w="110"/>
              <w:bottom w:type="dxa" w:w="50"/>
              <w:right w:type="dxa" w:w="110"/>
            </w:tcMar>
          </w:tcPr>
          <w:p>
            <w:pPr>
              <w:spacing w:before="28" w:after="28"/>
            </w:pPr>
            <w:r>
              <w:rPr>
                <w:sz w:val="15"/>
                <w:szCs w:val="15"/>
              </w:rPr>
              <w:t xml:space="preserve">Accept only part of the order</w:t>
            </w:r>
          </w:p>
        </w:tc>
        <w:tc>
          <w:tcPr>
            <w:tcW w:type="pct" w:w="2600"/>
            <w:shd w:fill="FBFAF6" w:val="clear"/>
            <w:tcMar>
              <w:top w:type="dxa" w:w="50"/>
              <w:left w:type="dxa" w:w="110"/>
              <w:bottom w:type="dxa" w:w="50"/>
              <w:right w:type="dxa" w:w="110"/>
            </w:tcMar>
          </w:tcPr>
          <w:p>
            <w:pPr>
              <w:spacing w:before="28" w:after="28"/>
            </w:pPr>
            <w:r>
              <w:rPr>
                <w:sz w:val="15"/>
                <w:szCs w:val="15"/>
              </w:rPr>
              <w:t xml:space="preserve">Loses $41,000 of contribution margin</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Adds capacity; costs more per case   ·   possible   ·   Production budget</w:t>
            </w:r>
          </w:p>
        </w:tc>
      </w:tr>
    </w:tbl>
    <w:p/>
    <w:p>
      <w:pPr>
        <w:pageBreakBefore w:val="true"/>
        <w:spacing w:after="0"/>
      </w:pPr>
      <w:r>
        <w:rPr>
          <w:sz w:val="2"/>
        </w:rPr>
        <w:t xml:space="preserve"> </w:t>
      </w:r>
    </w:p>
    <w:p>
      <w:pPr>
        <w:spacing w:before="44" w:after="14"/>
      </w:pPr>
      <w:r>
        <w:rPr>
          <w:b/>
          <w:bCs/>
          <w:color w:val="353A7C"/>
          <w:sz w:val="18"/>
          <w:szCs w:val="18"/>
        </w:rPr>
        <w:t xml:space="preserve">Summary 3</w:t>
      </w:r>
      <w:r>
        <w:rPr>
          <w:color w:val="6B7280"/>
          <w:sz w:val="16"/>
          <w:szCs w:val="16"/>
        </w:rPr>
        <w:t xml:space="preserve">      gaps 11–12</w:t>
      </w:r>
    </w:p>
    <w:p>
      <w:pPr>
        <w:spacing w:before="20" w:after="20" w:line="360" w:lineRule="auto"/>
        <w:ind w:left="200"/>
      </w:pPr>
      <w:r>
        <w:rPr>
          <w:sz w:val="19"/>
          <w:szCs w:val="19"/>
        </w:rPr>
        <w:t xml:space="preserve">The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plans overtime shifts for the third quarter, because the extra cost per case is well below the </w:t>
      </w:r>
      <w:r>
        <w:rPr>
          <w:b/>
          <w:bCs/>
          <w:color w:val="8186EF"/>
          <w:sz w:val="15"/>
          <w:szCs w:val="15"/>
        </w:rPr>
        <w:t xml:space="preserve"> (12) </w:t>
      </w:r>
      <w:r>
        <w:rPr>
          <w:u w:val="single"/>
          <w:sz w:val="19"/>
          <w:szCs w:val="19"/>
        </w:rPr>
        <w:t xml:space="preserve">              </w:t>
      </w:r>
      <w:r>
        <w:rPr>
          <w:sz w:val="19"/>
          <w:szCs w:val="19"/>
        </w:rPr>
        <w:t xml:space="preserve"> </w:t>
      </w:r>
      <w:r>
        <w:rPr>
          <w:sz w:val="19"/>
          <w:szCs w:val="19"/>
        </w:rPr>
        <w:t xml:space="preserve"> margin of $8.20 that each case earns.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division   ·   contribution   ·   because</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Everything ties</w:t>
            </w:r>
          </w:p>
        </w:tc>
      </w:tr>
    </w:tbl>
    <w:p/>
    <w:p>
      <w:pPr>
        <w:spacing w:before="44" w:after="14"/>
      </w:pPr>
      <w:r>
        <w:rPr>
          <w:b/>
          <w:bCs/>
          <w:color w:val="353A7C"/>
          <w:sz w:val="18"/>
          <w:szCs w:val="18"/>
        </w:rPr>
        <w:t xml:space="preserve">Summary 4</w:t>
      </w:r>
      <w:r>
        <w:rPr>
          <w:color w:val="6B7280"/>
          <w:sz w:val="16"/>
          <w:szCs w:val="16"/>
        </w:rPr>
        <w:t xml:space="preserve">      gaps 13–14</w:t>
      </w:r>
    </w:p>
    <w:p>
      <w:pPr>
        <w:spacing w:before="20" w:after="20" w:line="360" w:lineRule="auto"/>
        <w:ind w:left="200"/>
      </w:pPr>
      <w:r>
        <w:rPr>
          <w:sz w:val="19"/>
          <w:szCs w:val="19"/>
        </w:rPr>
        <w:t xml:space="preserve">Budget: 900,000 cases sold + 43,000 ending − 42,000 </w:t>
      </w:r>
      <w:r>
        <w:rPr>
          <w:b/>
          <w:bCs/>
          <w:color w:val="8186EF"/>
          <w:sz w:val="15"/>
          <w:szCs w:val="15"/>
        </w:rPr>
        <w:t xml:space="preserve"> (13) </w:t>
      </w:r>
      <w:r>
        <w:rPr>
          <w:u w:val="single"/>
          <w:sz w:val="19"/>
          <w:szCs w:val="19"/>
        </w:rPr>
        <w:t xml:space="preserve">           </w:t>
      </w:r>
      <w:r>
        <w:rPr>
          <w:sz w:val="19"/>
          <w:szCs w:val="19"/>
        </w:rPr>
        <w:t xml:space="preserve"> </w:t>
      </w:r>
      <w:r>
        <w:rPr>
          <w:sz w:val="19"/>
          <w:szCs w:val="19"/>
        </w:rPr>
        <w:t xml:space="preserve"> = 901,000 produced. </w:t>
      </w:r>
      <w:r>
        <w:rPr>
          <w:sz w:val="19"/>
          <w:szCs w:val="19"/>
        </w:rPr>
        <w:t xml:space="preserve">Sales </w:t>
      </w:r>
      <w:r>
        <w:rPr>
          <w:b/>
          <w:bCs/>
          <w:color w:val="8186EF"/>
          <w:sz w:val="15"/>
          <w:szCs w:val="15"/>
        </w:rPr>
        <w:t xml:space="preserve"> (14) </w:t>
      </w:r>
      <w:r>
        <w:rPr>
          <w:u w:val="single"/>
          <w:sz w:val="19"/>
          <w:szCs w:val="19"/>
        </w:rPr>
        <w:t xml:space="preserve">           </w:t>
      </w:r>
      <w:r>
        <w:rPr>
          <w:sz w:val="19"/>
          <w:szCs w:val="19"/>
        </w:rPr>
        <w:t xml:space="preserve"> </w:t>
      </w:r>
      <w:r>
        <w:rPr>
          <w:sz w:val="19"/>
          <w:szCs w:val="19"/>
        </w:rPr>
        <w:t xml:space="preserve"> $18,000,000 = the sales budget.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beginning   ·   revenue   ·   overtime</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Exam view</w:t>
            </w:r>
          </w:p>
        </w:tc>
      </w:tr>
    </w:tbl>
    <w:p/>
    <w:p>
      <w:pPr>
        <w:spacing w:before="44" w:after="14"/>
      </w:pPr>
      <w:r>
        <w:rPr>
          <w:b/>
          <w:bCs/>
          <w:color w:val="353A7C"/>
          <w:sz w:val="18"/>
          <w:szCs w:val="18"/>
        </w:rPr>
        <w:t xml:space="preserve">Summary 5</w:t>
      </w:r>
      <w:r>
        <w:rPr>
          <w:color w:val="6B7280"/>
          <w:sz w:val="16"/>
          <w:szCs w:val="16"/>
        </w:rPr>
        <w:t xml:space="preserve">      gaps 15–17</w:t>
      </w:r>
    </w:p>
    <w:p>
      <w:pPr>
        <w:spacing w:before="20" w:after="20" w:line="360" w:lineRule="auto"/>
        <w:ind w:left="200"/>
      </w:pPr>
      <w:r>
        <w:rPr>
          <w:sz w:val="19"/>
          <w:szCs w:val="19"/>
        </w:rPr>
        <w:t xml:space="preserve">Expect a table of sales by period and an </w:t>
      </w:r>
      <w:r>
        <w:rPr>
          <w:b/>
          <w:bCs/>
          <w:color w:val="8186EF"/>
          <w:sz w:val="15"/>
          <w:szCs w:val="15"/>
        </w:rPr>
        <w:t xml:space="preserve"> (15) </w:t>
      </w:r>
      <w:r>
        <w:rPr>
          <w:u w:val="single"/>
          <w:sz w:val="19"/>
          <w:szCs w:val="19"/>
        </w:rPr>
        <w:t xml:space="preserve">           </w:t>
      </w:r>
      <w:r>
        <w:rPr>
          <w:sz w:val="19"/>
          <w:szCs w:val="19"/>
        </w:rPr>
        <w:t xml:space="preserve"> </w:t>
      </w:r>
      <w:r>
        <w:rPr>
          <w:sz w:val="19"/>
          <w:szCs w:val="19"/>
        </w:rPr>
        <w:t xml:space="preserve"> policy. </w:t>
      </w:r>
      <w:r>
        <w:rPr>
          <w:sz w:val="19"/>
          <w:szCs w:val="19"/>
        </w:rPr>
        <w:t xml:space="preserve">Compute ending and </w:t>
      </w:r>
      <w:r>
        <w:rPr>
          <w:b/>
          <w:bCs/>
          <w:color w:val="8186EF"/>
          <w:sz w:val="15"/>
          <w:szCs w:val="15"/>
        </w:rPr>
        <w:t xml:space="preserve"> (16) </w:t>
      </w:r>
      <w:r>
        <w:rPr>
          <w:u w:val="single"/>
          <w:sz w:val="19"/>
          <w:szCs w:val="19"/>
        </w:rPr>
        <w:t xml:space="preserve">           </w:t>
      </w:r>
      <w:r>
        <w:rPr>
          <w:sz w:val="19"/>
          <w:szCs w:val="19"/>
        </w:rPr>
        <w:t xml:space="preserve"> </w:t>
      </w:r>
      <w:r>
        <w:rPr>
          <w:sz w:val="19"/>
          <w:szCs w:val="19"/>
        </w:rPr>
        <w:t xml:space="preserve"> stock for each period, the units to produce, and the sales revenue. </w:t>
      </w:r>
      <w:r>
        <w:rPr>
          <w:sz w:val="19"/>
          <w:szCs w:val="19"/>
        </w:rPr>
        <w:t xml:space="preserve">Then check </w:t>
      </w:r>
      <w:r>
        <w:rPr>
          <w:b/>
          <w:bCs/>
          <w:color w:val="8186EF"/>
          <w:sz w:val="15"/>
          <w:szCs w:val="15"/>
        </w:rPr>
        <w:t xml:space="preserve"> (17) </w:t>
      </w:r>
      <w:r>
        <w:rPr>
          <w:u w:val="single"/>
          <w:sz w:val="19"/>
          <w:szCs w:val="19"/>
        </w:rPr>
        <w:t xml:space="preserve">           </w:t>
      </w:r>
      <w:r>
        <w:rPr>
          <w:sz w:val="19"/>
          <w:szCs w:val="19"/>
        </w:rPr>
        <w:t xml:space="preserve"> </w:t>
      </w:r>
      <w:r>
        <w:rPr>
          <w:sz w:val="19"/>
          <w:szCs w:val="19"/>
        </w:rPr>
        <w:t xml:space="preserve"> and storage if the question gives them.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beginning   ·   capacity   ·   division   ·   inventory</w:t>
            </w:r>
          </w:p>
        </w:tc>
      </w:tr>
    </w:tbl>
    <w:p/>
    <w:p>
      <w:pPr>
        <w:spacing w:before="44" w:after="10"/>
      </w:pPr>
      <w:r>
        <w:rPr>
          <w:b/>
          <w:bCs/>
          <w:color w:val="353A7C"/>
          <w:sz w:val="18"/>
          <w:szCs w:val="18"/>
        </w:rPr>
        <w:t xml:space="preserve">Exam view</w:t>
      </w:r>
    </w:p>
    <w:p>
      <w:pPr>
        <w:spacing w:before="0" w:after="12"/>
      </w:pPr>
      <w:r>
        <w:rPr>
          <w:color w:val="6B7280"/>
          <w:sz w:val="15"/>
          <w:szCs w:val="15"/>
        </w:rPr>
        <w:t xml:space="preserve">Name each point on the scale from where it sits.</w:t>
      </w:r>
    </w:p>
    <w:p>
      <w:pPr>
        <w:spacing w:after="40" w:before="90"/>
        <w:jc w:val="center"/>
      </w:pPr>
      <w:r>
        <w:drawing>
          <wp:inline distT="0" distB="0" distL="0" distR="0">
            <wp:extent cx="5734050" cy="2452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5734050" cy="245205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Q2 2028   ·   Q1 2028   ·   Q1 2029</w:t>
            </w:r>
          </w:p>
        </w:tc>
      </w:tr>
    </w:tbl>
    <w:p/>
    <w:p>
      <w:pPr>
        <w:pageBreakBefore w:val="true"/>
        <w:spacing w:after="0"/>
      </w:pPr>
      <w:r>
        <w:rPr>
          <w:sz w:val="2"/>
        </w:rPr>
        <w:t xml:space="preserve"> </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Item — Answer</w:t>
            </w:r>
          </w:p>
        </w:tc>
      </w:tr>
      <w:tr>
        <w:tc>
          <w:tcPr>
            <w:tcW w:type="pct" w:w="2400"/>
            <w:shd w:fill="353A7C" w:val="clear"/>
            <w:tcMar>
              <w:top w:type="dxa" w:w="50"/>
              <w:left w:type="dxa" w:w="110"/>
              <w:bottom w:type="dxa" w:w="50"/>
              <w:right w:type="dxa" w:w="110"/>
            </w:tcMar>
          </w:tcPr>
          <w:p>
            <w:pPr>
              <w:spacing w:before="30" w:after="30"/>
            </w:pPr>
            <w:r>
              <w:rPr>
                <w:b/>
                <w:bCs/>
                <w:color w:val="FFFFFF"/>
                <w:sz w:val="15"/>
                <w:szCs w:val="15"/>
              </w:rPr>
              <w:t xml:space="preserve">Item</w:t>
            </w:r>
          </w:p>
        </w:tc>
        <w:tc>
          <w:tcPr>
            <w:tcW w:type="pct" w:w="2600"/>
            <w:shd w:fill="353A7C" w:val="clear"/>
            <w:tcMar>
              <w:top w:type="dxa" w:w="50"/>
              <w:left w:type="dxa" w:w="110"/>
              <w:bottom w:type="dxa" w:w="50"/>
              <w:right w:type="dxa" w:w="110"/>
            </w:tcMar>
          </w:tcPr>
          <w:p>
            <w:pPr>
              <w:spacing w:before="30" w:after="30"/>
            </w:pPr>
            <w:r>
              <w:rPr>
                <w:b/>
                <w:bCs/>
                <w:color w:val="FFFFFF"/>
                <w:sz w:val="15"/>
                <w:szCs w:val="15"/>
              </w:rPr>
              <w:t xml:space="preserve">Answer</w:t>
            </w:r>
          </w:p>
        </w:tc>
      </w:tr>
      <w:tr>
        <w:tc>
          <w:tcPr>
            <w:tcW w:type="pct" w:w="2400"/>
            <w:tcMar>
              <w:top w:type="dxa" w:w="50"/>
              <w:left w:type="dxa" w:w="110"/>
              <w:bottom w:type="dxa" w:w="50"/>
              <w:right w:type="dxa" w:w="110"/>
            </w:tcMar>
          </w:tcPr>
          <w:p>
            <w:pPr>
              <w:spacing w:before="28" w:after="28"/>
            </w:pPr>
            <w:r>
              <w:rPr>
                <w:sz w:val="15"/>
                <w:szCs w:val="15"/>
              </w:rPr>
              <w:t xml:space="preserve">Q3</w:t>
            </w:r>
          </w:p>
        </w:tc>
        <w:tc>
          <w:tcPr>
            <w:tcW w:type="pct" w:w="2600"/>
            <w:shd w:fill="FFFFFF" w:val="clear"/>
            <w:tcMar>
              <w:top w:type="dxa" w:w="50"/>
              <w:left w:type="dxa" w:w="110"/>
              <w:bottom w:type="dxa" w:w="50"/>
              <w:right w:type="dxa" w:w="110"/>
            </w:tcMar>
          </w:tcPr>
          <w:p>
            <w:pPr>
              <w:spacing w:before="46" w:after="46"/>
            </w:pPr>
            <w:r>
              <w:rPr>
                <w:b/>
                <w:bCs/>
                <w:color w:val="8186EF"/>
                <w:sz w:val="14"/>
                <w:szCs w:val="14"/>
              </w:rPr>
              <w:t xml:space="preserve">(20)</w:t>
            </w:r>
          </w:p>
        </w:tc>
      </w:tr>
      <w:tr>
        <w:tc>
          <w:tcPr>
            <w:tcW w:type="pct" w:w="2400"/>
            <w:shd w:fill="FBFAF6" w:val="clear"/>
            <w:tcMar>
              <w:top w:type="dxa" w:w="50"/>
              <w:left w:type="dxa" w:w="110"/>
              <w:bottom w:type="dxa" w:w="50"/>
              <w:right w:type="dxa" w:w="110"/>
            </w:tcMar>
          </w:tcPr>
          <w:p>
            <w:pPr>
              <w:spacing w:before="28" w:after="28"/>
            </w:pPr>
            <w:r>
              <w:rPr>
                <w:sz w:val="15"/>
                <w:szCs w:val="15"/>
              </w:rPr>
              <w:t xml:space="preserve">Q4</w:t>
            </w:r>
          </w:p>
        </w:tc>
        <w:tc>
          <w:tcPr>
            <w:tcW w:type="pct" w:w="2600"/>
            <w:shd w:fill="FBFAF6" w:val="clear"/>
            <w:tcMar>
              <w:top w:type="dxa" w:w="50"/>
              <w:left w:type="dxa" w:w="110"/>
              <w:bottom w:type="dxa" w:w="50"/>
              <w:right w:type="dxa" w:w="110"/>
            </w:tcMar>
          </w:tcPr>
          <w:p>
            <w:pPr>
              <w:spacing w:before="28" w:after="28"/>
            </w:pPr>
            <w:r>
              <w:rPr>
                <w:sz w:val="15"/>
                <w:szCs w:val="15"/>
              </w:rPr>
              <w:t xml:space="preserve">225,000 + 43,000 (20% of 215,000) = 268,000; − 45,000 = 223,000</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Uses outside capacity (Book 2, Chapter 17); check quality   ·   240,000 + 45,000 = 285,000; − 48,000 = 237,000</w:t>
            </w:r>
          </w:p>
        </w:tc>
      </w:tr>
    </w:tbl>
    <w:p/>
    <w:p>
      <w:pPr>
        <w:spacing w:before="44" w:after="10"/>
      </w:pPr>
      <w:r>
        <w:rPr>
          <w:b/>
          <w:bCs/>
          <w:color w:val="353A7C"/>
          <w:sz w:val="18"/>
          <w:szCs w:val="18"/>
        </w:rPr>
        <w:t xml:space="preserve">Factor — Category</w:t>
      </w:r>
    </w:p>
    <w:p>
      <w:pPr>
        <w:spacing w:before="0" w:after="12"/>
      </w:pPr>
      <w:r>
        <w:rPr>
          <w:color w:val="6B7280"/>
          <w:sz w:val="15"/>
          <w:szCs w:val="15"/>
        </w:rPr>
        <w:t xml:space="preserve">Every item belongs to exactly one group.</w:t>
      </w:r>
    </w:p>
    <w:p>
      <w:pPr>
        <w:spacing w:after="40" w:before="90"/>
        <w:jc w:val="center"/>
      </w:pPr>
      <w:r>
        <w:drawing>
          <wp:inline distT="0" distB="0" distL="0" distR="0">
            <wp:extent cx="5734050" cy="1871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5734050" cy="187110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Ending-stock policy of 10%   ·   Capacity of the filling line   ·   Planned price of the jars   ·   Shelf life of tahini</w:t>
            </w:r>
          </w:p>
        </w:tc>
      </w:tr>
    </w:tbl>
    <w:p/>
    <w:p>
      <w:pPr>
        <w:spacing w:before="44" w:after="10"/>
      </w:pPr>
      <w:r>
        <w:rPr>
          <w:b/>
          <w:bCs/>
          <w:color w:val="353A7C"/>
          <w:sz w:val="18"/>
          <w:szCs w:val="18"/>
        </w:rPr>
        <w:t xml:space="preserve">The English this section uses, and its Arabic</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1931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5734050" cy="193147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inventory policy   ·   sales budget   ·   production budget</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6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4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600"/>
            <w:tcMar>
              <w:top w:type="dxa" w:w="50"/>
              <w:left w:type="dxa" w:w="110"/>
              <w:bottom w:type="dxa" w:w="50"/>
              <w:right w:type="dxa" w:w="110"/>
            </w:tcMar>
          </w:tcPr>
          <w:p>
            <w:pPr>
              <w:spacing w:before="26" w:after="26"/>
            </w:pPr>
            <w:r>
              <w:rPr>
                <w:color w:val="232733"/>
                <w:sz w:val="16"/>
                <w:szCs w:val="16"/>
              </w:rPr>
              <w:t xml:space="preserve">sales budget</w:t>
            </w:r>
          </w:p>
        </w:tc>
        <w:tc>
          <w:tcPr>
            <w:tcW w:type="pct" w:w="2400"/>
            <w:tcMar>
              <w:top w:type="dxa" w:w="50"/>
              <w:left w:type="dxa" w:w="110"/>
              <w:bottom w:type="dxa" w:w="50"/>
              <w:right w:type="dxa" w:w="110"/>
            </w:tcMar>
          </w:tcPr>
          <w:p>
            <w:pPr>
              <w:spacing w:before="26" w:after="26"/>
            </w:pPr>
            <w:r>
              <w:rPr>
                <w:color w:val="232733"/>
                <w:sz w:val="16"/>
                <w:szCs w:val="16"/>
              </w:rPr>
              <w:t xml:space="preserve">موازنة المبيعات</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production budget</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موازنة الإنتاج</w:t>
            </w:r>
          </w:p>
        </w:tc>
      </w:tr>
      <w:tr>
        <w:tc>
          <w:tcPr>
            <w:tcW w:type="pct" w:w="2600"/>
            <w:tcMar>
              <w:top w:type="dxa" w:w="50"/>
              <w:left w:type="dxa" w:w="110"/>
              <w:bottom w:type="dxa" w:w="50"/>
              <w:right w:type="dxa" w:w="110"/>
            </w:tcMar>
          </w:tcPr>
          <w:p>
            <w:pPr>
              <w:spacing w:before="26" w:after="26"/>
            </w:pPr>
            <w:r>
              <w:rPr>
                <w:color w:val="232733"/>
                <w:sz w:val="16"/>
                <w:szCs w:val="16"/>
              </w:rPr>
              <w:t xml:space="preserve">inventory policy</w:t>
            </w:r>
          </w:p>
        </w:tc>
        <w:tc>
          <w:tcPr>
            <w:tcW w:type="pct" w:w="2400"/>
            <w:tcMar>
              <w:top w:type="dxa" w:w="50"/>
              <w:left w:type="dxa" w:w="110"/>
              <w:bottom w:type="dxa" w:w="50"/>
              <w:right w:type="dxa" w:w="110"/>
            </w:tcMar>
          </w:tcPr>
          <w:p>
            <w:pPr>
              <w:spacing w:before="26" w:after="26"/>
            </w:pPr>
            <w:r>
              <w:rPr>
                <w:color w:val="232733"/>
                <w:sz w:val="16"/>
                <w:szCs w:val="16"/>
              </w:rPr>
              <w:t xml:space="preserve">سياسة المخزون</w:t>
            </w:r>
          </w:p>
        </w:tc>
      </w:tr>
    </w:tbl>
    <w:p/>
    <w:p>
      <w:pPr>
        <w:sectPr>
          <w:headerReference w:type="default" r:id="rIdHdr11"/>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6.6  Extended Example 6A: a late order for the summer</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February</w:t>
            </w:r>
          </w:p>
        </w:tc>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revenue</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whether</w:t>
            </w:r>
          </w:p>
        </w:tc>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inventory</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budget</w:t>
            </w:r>
          </w:p>
        </w:tc>
        <w:tc>
          <w:tcPr>
            <w:tcW w:type="pct" w:w="2500"/>
            <w:tcMar>
              <w:top w:type="dxa" w:w="20"/>
              <w:left w:type="dxa" w:w="80"/>
              <w:bottom w:type="dxa" w:w="20"/>
              <w:right w:type="dxa" w:w="80"/>
            </w:tcMar>
          </w:tcPr>
          <w:p>
            <w:pPr>
              <w:spacing w:before="12" w:after="12"/>
            </w:pPr>
            <w:r>
              <w:rPr>
                <w:b/>
                <w:bCs/>
                <w:color w:val="8186EF"/>
                <w:sz w:val="16"/>
                <w:szCs w:val="16"/>
              </w:rPr>
              <w:t xml:space="preserve">16  </w:t>
            </w:r>
            <w:r>
              <w:rPr>
                <w:sz w:val="16"/>
                <w:szCs w:val="16"/>
              </w:rPr>
              <w:t xml:space="preserve">beginning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second-quarter</w:t>
            </w:r>
          </w:p>
        </w:tc>
        <w:tc>
          <w:tcPr>
            <w:tcW w:type="pct" w:w="2500"/>
            <w:tcMar>
              <w:top w:type="dxa" w:w="20"/>
              <w:left w:type="dxa" w:w="80"/>
              <w:bottom w:type="dxa" w:w="20"/>
              <w:right w:type="dxa" w:w="80"/>
            </w:tcMar>
          </w:tcPr>
          <w:p>
            <w:pPr>
              <w:spacing w:before="12" w:after="12"/>
            </w:pPr>
            <w:r>
              <w:rPr>
                <w:b/>
                <w:bCs/>
                <w:color w:val="8186EF"/>
                <w:sz w:val="16"/>
                <w:szCs w:val="16"/>
              </w:rPr>
              <w:t xml:space="preserve">17  </w:t>
            </w:r>
            <w:r>
              <w:rPr>
                <w:sz w:val="16"/>
                <w:szCs w:val="16"/>
              </w:rPr>
              <w:t xml:space="preserve">capacity</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Second-quarter production</w:t>
            </w:r>
          </w:p>
        </w:tc>
        <w:tc>
          <w:tcPr>
            <w:tcW w:type="pct" w:w="2500"/>
            <w:tcMar>
              <w:top w:type="dxa" w:w="20"/>
              <w:left w:type="dxa" w:w="80"/>
              <w:bottom w:type="dxa" w:w="20"/>
              <w:right w:type="dxa" w:w="80"/>
            </w:tcMar>
          </w:tcPr>
          <w:p>
            <w:pPr>
              <w:spacing w:before="12" w:after="12"/>
            </w:pPr>
            <w:r>
              <w:rPr>
                <w:b/>
                <w:bCs/>
                <w:color w:val="8186EF"/>
                <w:sz w:val="16"/>
                <w:szCs w:val="16"/>
              </w:rPr>
              <w:t xml:space="preserve">18  </w:t>
            </w:r>
            <w:r>
              <w:rPr>
                <w:sz w:val="16"/>
                <w:szCs w:val="16"/>
              </w:rPr>
              <w:t xml:space="preserve">Q1 2028</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Third-quarter production</w:t>
            </w:r>
          </w:p>
        </w:tc>
        <w:tc>
          <w:tcPr>
            <w:tcW w:type="pct" w:w="2500"/>
            <w:tcMar>
              <w:top w:type="dxa" w:w="20"/>
              <w:left w:type="dxa" w:w="80"/>
              <w:bottom w:type="dxa" w:w="20"/>
              <w:right w:type="dxa" w:w="80"/>
            </w:tcMar>
          </w:tcPr>
          <w:p>
            <w:pPr>
              <w:spacing w:before="12" w:after="12"/>
            </w:pPr>
            <w:r>
              <w:rPr>
                <w:b/>
                <w:bCs/>
                <w:color w:val="8186EF"/>
                <w:sz w:val="16"/>
                <w:szCs w:val="16"/>
              </w:rPr>
              <w:t xml:space="preserve">19  </w:t>
            </w:r>
            <w:r>
              <w:rPr>
                <w:sz w:val="16"/>
                <w:szCs w:val="16"/>
              </w:rPr>
              <w:t xml:space="preserve">Q1 2029</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production</w:t>
            </w:r>
          </w:p>
        </w:tc>
        <w:tc>
          <w:tcPr>
            <w:tcW w:type="pct" w:w="2500"/>
            <w:tcMar>
              <w:top w:type="dxa" w:w="20"/>
              <w:left w:type="dxa" w:w="80"/>
              <w:bottom w:type="dxa" w:w="20"/>
              <w:right w:type="dxa" w:w="80"/>
            </w:tcMar>
          </w:tcPr>
          <w:p>
            <w:pPr>
              <w:spacing w:before="12" w:after="12"/>
            </w:pPr>
            <w:r>
              <w:rPr>
                <w:b/>
                <w:bCs/>
                <w:color w:val="8186EF"/>
                <w:sz w:val="16"/>
                <w:szCs w:val="16"/>
              </w:rPr>
              <w:t xml:space="preserve">20  </w:t>
            </w:r>
            <w:r>
              <w:rPr>
                <w:sz w:val="16"/>
                <w:szCs w:val="16"/>
              </w:rPr>
              <w:t xml:space="preserve">240,000 + 45,000 = 285,000; − 48,000 = 237,000</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Building</w:t>
            </w:r>
          </w:p>
        </w:tc>
        <w:tc>
          <w:tcPr>
            <w:tcW w:type="pct" w:w="2500"/>
            <w:tcMar>
              <w:top w:type="dxa" w:w="20"/>
              <w:left w:type="dxa" w:w="80"/>
              <w:bottom w:type="dxa" w:w="20"/>
              <w:right w:type="dxa" w:w="80"/>
            </w:tcMar>
          </w:tcPr>
          <w:p>
            <w:pPr>
              <w:spacing w:before="12" w:after="12"/>
            </w:pPr>
            <w:r>
              <w:rPr>
                <w:b/>
                <w:bCs/>
                <w:color w:val="8186EF"/>
                <w:sz w:val="16"/>
                <w:szCs w:val="16"/>
              </w:rPr>
              <w:t xml:space="preserve">21  </w:t>
            </w:r>
            <w:r>
              <w:rPr>
                <w:sz w:val="16"/>
                <w:szCs w:val="16"/>
              </w:rPr>
              <w:t xml:space="preserve">Planned price of the jars</w:t>
            </w:r>
          </w:p>
        </w:tc>
      </w:tr>
      <w:tr>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possible</w:t>
            </w:r>
          </w:p>
        </w:tc>
        <w:tc>
          <w:tcPr>
            <w:tcW w:type="pct" w:w="2500"/>
            <w:tcMar>
              <w:top w:type="dxa" w:w="20"/>
              <w:left w:type="dxa" w:w="80"/>
              <w:bottom w:type="dxa" w:w="20"/>
              <w:right w:type="dxa" w:w="80"/>
            </w:tcMar>
          </w:tcPr>
          <w:p>
            <w:pPr>
              <w:spacing w:before="12" w:after="12"/>
            </w:pPr>
            <w:r>
              <w:rPr>
                <w:b/>
                <w:bCs/>
                <w:color w:val="8186EF"/>
                <w:sz w:val="16"/>
                <w:szCs w:val="16"/>
              </w:rPr>
              <w:t xml:space="preserve">22  </w:t>
            </w:r>
            <w:r>
              <w:rPr>
                <w:sz w:val="16"/>
                <w:szCs w:val="16"/>
              </w:rPr>
              <w:t xml:space="preserve">Ending-stock policy of 10%</w:t>
            </w:r>
          </w:p>
        </w:tc>
      </w:tr>
      <w:tr>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Adds capacity; costs more per case</w:t>
            </w:r>
          </w:p>
        </w:tc>
        <w:tc>
          <w:tcPr>
            <w:tcW w:type="pct" w:w="2500"/>
            <w:tcMar>
              <w:top w:type="dxa" w:w="20"/>
              <w:left w:type="dxa" w:w="80"/>
              <w:bottom w:type="dxa" w:w="20"/>
              <w:right w:type="dxa" w:w="80"/>
            </w:tcMar>
          </w:tcPr>
          <w:p>
            <w:pPr>
              <w:spacing w:before="12" w:after="12"/>
            </w:pPr>
            <w:r>
              <w:rPr>
                <w:b/>
                <w:bCs/>
                <w:color w:val="8186EF"/>
                <w:sz w:val="16"/>
                <w:szCs w:val="16"/>
              </w:rPr>
              <w:t xml:space="preserve">23  </w:t>
            </w:r>
            <w:r>
              <w:rPr>
                <w:sz w:val="16"/>
                <w:szCs w:val="16"/>
              </w:rPr>
              <w:t xml:space="preserve">Capacity of the filling line</w:t>
            </w:r>
          </w:p>
        </w:tc>
      </w:tr>
      <w:tr>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division</w:t>
            </w:r>
          </w:p>
        </w:tc>
        <w:tc>
          <w:tcPr>
            <w:tcW w:type="pct" w:w="2500"/>
            <w:tcMar>
              <w:top w:type="dxa" w:w="20"/>
              <w:left w:type="dxa" w:w="80"/>
              <w:bottom w:type="dxa" w:w="20"/>
              <w:right w:type="dxa" w:w="80"/>
            </w:tcMar>
          </w:tcPr>
          <w:p>
            <w:pPr>
              <w:spacing w:before="12" w:after="12"/>
            </w:pPr>
            <w:r>
              <w:rPr>
                <w:b/>
                <w:bCs/>
                <w:color w:val="8186EF"/>
                <w:sz w:val="16"/>
                <w:szCs w:val="16"/>
              </w:rPr>
              <w:t xml:space="preserve">24  </w:t>
            </w:r>
            <w:r>
              <w:rPr>
                <w:sz w:val="16"/>
                <w:szCs w:val="16"/>
              </w:rPr>
              <w:t xml:space="preserve">production budget</w:t>
            </w:r>
          </w:p>
        </w:tc>
      </w:tr>
      <w:tr>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contribution</w:t>
            </w:r>
          </w:p>
        </w:tc>
        <w:tc>
          <w:tcPr>
            <w:tcW w:type="pct" w:w="2500"/>
            <w:tcMar>
              <w:top w:type="dxa" w:w="20"/>
              <w:left w:type="dxa" w:w="80"/>
              <w:bottom w:type="dxa" w:w="20"/>
              <w:right w:type="dxa" w:w="80"/>
            </w:tcMar>
          </w:tcPr>
          <w:p>
            <w:pPr>
              <w:spacing w:before="12" w:after="12"/>
            </w:pPr>
            <w:r>
              <w:rPr>
                <w:b/>
                <w:bCs/>
                <w:color w:val="8186EF"/>
                <w:sz w:val="16"/>
                <w:szCs w:val="16"/>
              </w:rPr>
              <w:t xml:space="preserve">25  </w:t>
            </w:r>
            <w:r>
              <w:rPr>
                <w:sz w:val="16"/>
                <w:szCs w:val="16"/>
              </w:rPr>
              <w:t xml:space="preserve">inventory policy</w:t>
            </w:r>
          </w:p>
        </w:tc>
      </w:tr>
      <w:tr>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beginning</w:t>
            </w:r>
          </w:p>
        </w:tc>
        <w:tc>
          <w:tcPr>
            <w:tcW w:type="pct" w:w="2500"/>
            <w:tcMar>
              <w:top w:type="dxa" w:w="20"/>
              <w:left w:type="dxa" w:w="80"/>
              <w:bottom w:type="dxa" w:w="20"/>
              <w:right w:type="dxa" w:w="80"/>
            </w:tcMar>
          </w:tcPr>
          <w:p>
            <w:pPr>
              <w:spacing w:before="24" w:after="24"/>
            </w:pPr>
            <w:r>
              <w:rPr>
                <w:sz w:val="16"/>
                <w:szCs w:val="16"/>
              </w:rPr>
              <w:t xml:space="preserve"/>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In February, Levant asks for 10,000 extra cases in the third quarter for a hotel chain. This example tests whether the production budget can absorb the order. Higher third-quarter sales raise the second quarter's ending stock, and therefore second-quarter production, as well as third-quarter production.</w:t>
      </w:r>
    </w:p>
    <w:p>
      <w:pPr>
        <w:spacing w:before="20" w:after="20"/>
        <w:ind w:left="240" w:hanging="240"/>
      </w:pPr>
      <w:r>
        <w:rPr>
          <w:b/>
          <w:bCs/>
          <w:color w:val="353A7C"/>
          <w:sz w:val="15"/>
          <w:szCs w:val="15"/>
        </w:rPr>
        <w:t xml:space="preserve">Summary 2   </w:t>
      </w:r>
      <w:r>
        <w:rPr>
          <w:color w:val="6B7280"/>
          <w:sz w:val="15"/>
          <w:szCs w:val="15"/>
        </w:rPr>
        <w:t xml:space="preserve">Third-quarter production would be 245,000 cases, 5,000 above capacity. Building ahead is not possible, because the store would already be full at 50,000 cases.</w:t>
      </w:r>
    </w:p>
    <w:p>
      <w:pPr>
        <w:spacing w:before="20" w:after="20"/>
        <w:ind w:left="240" w:hanging="240"/>
      </w:pPr>
      <w:r>
        <w:rPr>
          <w:b/>
          <w:bCs/>
          <w:color w:val="353A7C"/>
          <w:sz w:val="15"/>
          <w:szCs w:val="15"/>
        </w:rPr>
        <w:t xml:space="preserve">Summary 3   </w:t>
      </w:r>
      <w:r>
        <w:rPr>
          <w:color w:val="6B7280"/>
          <w:sz w:val="15"/>
          <w:szCs w:val="15"/>
        </w:rPr>
        <w:t xml:space="preserve">The division plans overtime shifts for the third quarter, because the extra cost per case is well below the contribution margin of $8.20 that each case earns.</w:t>
      </w:r>
    </w:p>
    <w:p>
      <w:pPr>
        <w:spacing w:before="20" w:after="20"/>
        <w:ind w:left="240" w:hanging="240"/>
      </w:pPr>
      <w:r>
        <w:rPr>
          <w:b/>
          <w:bCs/>
          <w:color w:val="353A7C"/>
          <w:sz w:val="15"/>
          <w:szCs w:val="15"/>
        </w:rPr>
        <w:t xml:space="preserve">Summary 4   </w:t>
      </w:r>
      <w:r>
        <w:rPr>
          <w:color w:val="6B7280"/>
          <w:sz w:val="15"/>
          <w:szCs w:val="15"/>
        </w:rPr>
        <w:t xml:space="preserve">Budget: 900,000 cases sold + 43,000 ending − 42,000 beginning = 901,000 produced. Sales revenue $18,000,000 = the sales budget.</w:t>
      </w:r>
    </w:p>
    <w:p>
      <w:pPr>
        <w:spacing w:before="20" w:after="20"/>
        <w:ind w:left="240" w:hanging="240"/>
      </w:pPr>
      <w:r>
        <w:rPr>
          <w:b/>
          <w:bCs/>
          <w:color w:val="353A7C"/>
          <w:sz w:val="15"/>
          <w:szCs w:val="15"/>
        </w:rPr>
        <w:t xml:space="preserve">Summary 5   </w:t>
      </w:r>
      <w:r>
        <w:rPr>
          <w:color w:val="6B7280"/>
          <w:sz w:val="15"/>
          <w:szCs w:val="15"/>
        </w:rPr>
        <w:t xml:space="preserve">Expect a table of sales by period and an inventory policy. Compute ending and beginning stock for each period, the units to produce, and the sales revenue. Then check capacity and storage if the question gives them.</w:t>
      </w:r>
    </w:p>
    <w:p>
      <w:pPr>
        <w:sectPr>
          <w:headerReference w:type="default" r:id="rIdHdr12"/>
          <w:pgSz w:w="11906" w:h="16838" w:orient="portrait"/>
          <w:pgMar w:top="1180" w:right="1000" w:bottom="900" w:left="1000" w:header="708" w:footer="708" w:gutter="0"/>
          <w:docGrid w:linePitch="360"/>
          <w:pgNumType w:start="1"/>
        </w:sectPr>
      </w:pPr>
    </w:p>
    <w:sectPr>
      <w:headerReference w:type="default" r:id="rIdHdr12"/>
      <w:pgSz w:w="11906" w:h="16838" w:orient="portrait"/>
      <w:pgMar w:top="1180" w:right="1000" w:bottom="900" w:left="1000" w:header="708" w:footer="708" w:gutter="0"/>
      <w:docGrid w:linePitch="360"/>
      <w:pgNumTyp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6.1 · The sales budget and the profit plan</w:t>
          </w:r>
        </w:p>
      </w:tc>
      <w:tc>
        <w:tcPr>
          <w:tcW w:type="pct" w:w="1400"/>
          <w:tcMar>
            <w:top w:type="dxa" w:w="-30"/>
            <w:left w:type="dxa" w:w="30"/>
            <w:bottom w:type="dxa" w:w="-30"/>
            <w:right w:type="dxa" w:w="30"/>
          </w:tcMar>
        </w:tcPr>
        <w:p>
          <w:pPr>
            <w:jc w:val="right"/>
          </w:pPr>
          <w:r>
            <w:rPr>
              <w:color w:val="6B7280"/>
              <w:sz w:val="16"/>
              <w:szCs w:val="16"/>
            </w:rPr>
            <w:t xml:space="preserve">Handout 6.1 — Page </w:t>
          </w:r>
          <w:fldSimple w:instr=" PAGE ">
            <w:r>
              <w:rPr>
                <w:b/>
                <w:bCs/>
                <w:color w:val="23265A"/>
                <w:sz w:val="16"/>
                <w:szCs w:val="16"/>
              </w:rPr>
              <w:t xml:space="preserve">1</w:t>
            </w:r>
          </w:fldSimple>
          <w:r>
            <w:rPr>
              <w:color w:val="6B7280"/>
              <w:sz w:val="16"/>
              <w:szCs w:val="16"/>
            </w:rPr>
            <w:t xml:space="preserve"> of 1</w:t>
          </w:r>
        </w:p>
      </w:tc>
    </w:tr>
  </w:tbl>
  <w:p>
    <w:pPr>
      <w:spacing w:after="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6.1</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6.2 · The sales forecast</w:t>
          </w:r>
        </w:p>
      </w:tc>
      <w:tc>
        <w:tcPr>
          <w:tcW w:type="pct" w:w="1400"/>
          <w:tcMar>
            <w:top w:type="dxa" w:w="-30"/>
            <w:left w:type="dxa" w:w="30"/>
            <w:bottom w:type="dxa" w:w="-30"/>
            <w:right w:type="dxa" w:w="30"/>
          </w:tcMar>
        </w:tcPr>
        <w:p>
          <w:pPr>
            <w:jc w:val="right"/>
          </w:pPr>
          <w:r>
            <w:rPr>
              <w:color w:val="6B7280"/>
              <w:sz w:val="16"/>
              <w:szCs w:val="16"/>
            </w:rPr>
            <w:t xml:space="preserve">Handout 6.2 — Page </w:t>
          </w:r>
          <w:fldSimple w:instr=" PAGE ">
            <w:r>
              <w:rPr>
                <w:b/>
                <w:bCs/>
                <w:color w:val="23265A"/>
                <w:sz w:val="16"/>
                <w:szCs w:val="16"/>
              </w:rPr>
              <w:t xml:space="preserve">1</w:t>
            </w:r>
          </w:fldSimple>
          <w:r>
            <w:rPr>
              <w:color w:val="6B7280"/>
              <w:sz w:val="16"/>
              <w:szCs w:val="16"/>
            </w:rPr>
            <w:t xml:space="preserve"> of 2</w:t>
          </w:r>
        </w:p>
      </w:tc>
    </w:tr>
  </w:tbl>
  <w:p>
    <w:pPr>
      <w:spacing w:after="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6.2</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6.3 · Preparing the sales budget</w:t>
          </w:r>
        </w:p>
      </w:tc>
      <w:tc>
        <w:tcPr>
          <w:tcW w:type="pct" w:w="1400"/>
          <w:tcMar>
            <w:top w:type="dxa" w:w="-30"/>
            <w:left w:type="dxa" w:w="30"/>
            <w:bottom w:type="dxa" w:w="-30"/>
            <w:right w:type="dxa" w:w="30"/>
          </w:tcMar>
        </w:tcPr>
        <w:p>
          <w:pPr>
            <w:jc w:val="right"/>
          </w:pPr>
          <w:r>
            <w:rPr>
              <w:color w:val="6B7280"/>
              <w:sz w:val="16"/>
              <w:szCs w:val="16"/>
            </w:rPr>
            <w:t xml:space="preserve">Handout 6.3 — Page </w:t>
          </w:r>
          <w:fldSimple w:instr=" PAGE ">
            <w:r>
              <w:rPr>
                <w:b/>
                <w:bCs/>
                <w:color w:val="23265A"/>
                <w:sz w:val="16"/>
                <w:szCs w:val="16"/>
              </w:rPr>
              <w:t xml:space="preserve">1</w:t>
            </w:r>
          </w:fldSimple>
          <w:r>
            <w:rPr>
              <w:color w:val="6B7280"/>
              <w:sz w:val="16"/>
              <w:szCs w:val="16"/>
            </w:rPr>
            <w:t xml:space="preserve"> of 1</w:t>
          </w:r>
        </w:p>
      </w:tc>
    </w:tr>
  </w:tbl>
  <w:p>
    <w:pPr>
      <w:spacing w:after="0"/>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6.3</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6.4 · From sales to production</w:t>
          </w:r>
        </w:p>
      </w:tc>
      <w:tc>
        <w:tcPr>
          <w:tcW w:type="pct" w:w="1400"/>
          <w:tcMar>
            <w:top w:type="dxa" w:w="-30"/>
            <w:left w:type="dxa" w:w="30"/>
            <w:bottom w:type="dxa" w:w="-30"/>
            <w:right w:type="dxa" w:w="30"/>
          </w:tcMar>
        </w:tcPr>
        <w:p>
          <w:pPr>
            <w:jc w:val="right"/>
          </w:pPr>
          <w:r>
            <w:rPr>
              <w:color w:val="6B7280"/>
              <w:sz w:val="16"/>
              <w:szCs w:val="16"/>
            </w:rPr>
            <w:t xml:space="preserve">Handout 6.4 — Page </w:t>
          </w:r>
          <w:fldSimple w:instr=" PAGE ">
            <w:r>
              <w:rPr>
                <w:b/>
                <w:bCs/>
                <w:color w:val="23265A"/>
                <w:sz w:val="16"/>
                <w:szCs w:val="16"/>
              </w:rPr>
              <w:t xml:space="preserve">1</w:t>
            </w:r>
          </w:fldSimple>
          <w:r>
            <w:rPr>
              <w:color w:val="6B7280"/>
              <w:sz w:val="16"/>
              <w:szCs w:val="16"/>
            </w:rPr>
            <w:t xml:space="preserve"> of 1</w:t>
          </w:r>
        </w:p>
      </w:tc>
    </w:tr>
  </w:tbl>
  <w:p>
    <w:pPr>
      <w:spacing w:after="0"/>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6.4</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6.5 · Preparing the production budget</w:t>
          </w:r>
        </w:p>
      </w:tc>
      <w:tc>
        <w:tcPr>
          <w:tcW w:type="pct" w:w="1400"/>
          <w:tcMar>
            <w:top w:type="dxa" w:w="-30"/>
            <w:left w:type="dxa" w:w="30"/>
            <w:bottom w:type="dxa" w:w="-30"/>
            <w:right w:type="dxa" w:w="30"/>
          </w:tcMar>
        </w:tcPr>
        <w:p>
          <w:pPr>
            <w:jc w:val="right"/>
          </w:pPr>
          <w:r>
            <w:rPr>
              <w:color w:val="6B7280"/>
              <w:sz w:val="16"/>
              <w:szCs w:val="16"/>
            </w:rPr>
            <w:t xml:space="preserve">Handout 6.5 — Page </w:t>
          </w:r>
          <w:fldSimple w:instr=" PAGE ">
            <w:r>
              <w:rPr>
                <w:b/>
                <w:bCs/>
                <w:color w:val="23265A"/>
                <w:sz w:val="16"/>
                <w:szCs w:val="16"/>
              </w:rPr>
              <w:t xml:space="preserve">1</w:t>
            </w:r>
          </w:fldSimple>
          <w:r>
            <w:rPr>
              <w:color w:val="6B7280"/>
              <w:sz w:val="16"/>
              <w:szCs w:val="16"/>
            </w:rPr>
            <w:t xml:space="preserve"> of 1</w:t>
          </w:r>
        </w:p>
      </w:tc>
    </w:tr>
  </w:tbl>
  <w:p>
    <w:pPr>
      <w:spacing w:after="0"/>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6.5</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6.6 · Extended Example 6A: a late order for the summer</w:t>
          </w:r>
        </w:p>
      </w:tc>
      <w:tc>
        <w:tcPr>
          <w:tcW w:type="pct" w:w="1400"/>
          <w:tcMar>
            <w:top w:type="dxa" w:w="-30"/>
            <w:left w:type="dxa" w:w="30"/>
            <w:bottom w:type="dxa" w:w="-30"/>
            <w:right w:type="dxa" w:w="30"/>
          </w:tcMar>
        </w:tcPr>
        <w:p>
          <w:pPr>
            <w:jc w:val="right"/>
          </w:pPr>
          <w:r>
            <w:rPr>
              <w:color w:val="6B7280"/>
              <w:sz w:val="16"/>
              <w:szCs w:val="16"/>
            </w:rPr>
            <w:t xml:space="preserve">Handout 6.6 — Page </w:t>
          </w:r>
          <w:fldSimple w:instr=" PAGE ">
            <w:r>
              <w:rPr>
                <w:b/>
                <w:bCs/>
                <w:color w:val="23265A"/>
                <w:sz w:val="16"/>
                <w:szCs w:val="16"/>
              </w:rPr>
              <w:t xml:space="preserve">1</w:t>
            </w:r>
          </w:fldSimple>
          <w:r>
            <w:rPr>
              <w:color w:val="6B7280"/>
              <w:sz w:val="16"/>
              <w:szCs w:val="16"/>
            </w:rPr>
            <w:t xml:space="preserve"> of 3</w:t>
          </w:r>
        </w:p>
      </w:tc>
    </w:tr>
  </w:tbl>
  <w:p>
    <w:pPr>
      <w:spacing w:after="0"/>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6.6</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defaultTabStop w:val="720"/>
  <w:compat>
    <w:compatSetting w:name="compatibilityMode" w:uri="http://schemas.microsoft.com/office/word" w:val="15"/>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Relationships xmlns="http://schemas.openxmlformats.org/package/2006/relationships"><Relationship Id="rIdstyles" Target="styles.xml" Type="http://schemas.openxmlformats.org/officeDocument/2006/relationships/styles"/><Relationship Id="rIdnumbering" Target="numbering.xml" Type="http://schemas.openxmlformats.org/officeDocument/2006/relationships/numbering"/><Relationship Id="rIdfontTable" Target="fontTable.xml" Type="http://schemas.openxmlformats.org/officeDocument/2006/relationships/fontTable"/><Relationship Id="rIdsettings" Target="settings.xml" Type="http://schemas.openxmlformats.org/officeDocument/2006/relationships/settings"/><Relationship Id="rId101" Target="media/d3cce01c77884802d5f2d64b9788719bf24ba6ee.png" Type="http://schemas.openxmlformats.org/officeDocument/2006/relationships/image"/><Relationship Id="rId102" Target="media/80fc30f33672facba6bec09e7e23181e8696fe7a.png" Type="http://schemas.openxmlformats.org/officeDocument/2006/relationships/image"/><Relationship Id="rId103" Target="media/db06ee167b14b61239ff99d177dfea011ffc5863.png" Type="http://schemas.openxmlformats.org/officeDocument/2006/relationships/image"/><Relationship Id="rId104" Target="media/ed4f35ba54c7941b59820b34445664d99253df6a.png" Type="http://schemas.openxmlformats.org/officeDocument/2006/relationships/image"/><Relationship Id="rId105" Target="media/f9d45e3f95817223e14f7852a303fbf93a265190.png" Type="http://schemas.openxmlformats.org/officeDocument/2006/relationships/image"/><Relationship Id="rId106" Target="media/90073b4623b9d7b8d02096a2b7715dbe3b2e2131.png" Type="http://schemas.openxmlformats.org/officeDocument/2006/relationships/image"/><Relationship Id="rId107" Target="media/551d57209fe664344af439dae60815540dffb067.png" Type="http://schemas.openxmlformats.org/officeDocument/2006/relationships/image"/><Relationship Id="rId108" Target="media/5d47734eabced02a366819a76a31361707546dd2.png" Type="http://schemas.openxmlformats.org/officeDocument/2006/relationships/image"/><Relationship Id="rIdHdr1" Target="header1.xml" Type="http://schemas.openxmlformats.org/officeDocument/2006/relationships/header"/><Relationship Id="rIdHdr2" Target="header2.xml" Type="http://schemas.openxmlformats.org/officeDocument/2006/relationships/header"/><Relationship Id="rIdHdr3" Target="header3.xml" Type="http://schemas.openxmlformats.org/officeDocument/2006/relationships/header"/><Relationship Id="rIdHdr4" Target="header4.xml" Type="http://schemas.openxmlformats.org/officeDocument/2006/relationships/header"/><Relationship Id="rIdHdr5" Target="header5.xml" Type="http://schemas.openxmlformats.org/officeDocument/2006/relationships/header"/><Relationship Id="rIdHdr6" Target="header6.xml" Type="http://schemas.openxmlformats.org/officeDocument/2006/relationships/header"/><Relationship Id="rIdHdr7" Target="header7.xml" Type="http://schemas.openxmlformats.org/officeDocument/2006/relationships/header"/><Relationship Id="rIdHdr8" Target="header8.xml" Type="http://schemas.openxmlformats.org/officeDocument/2006/relationships/header"/><Relationship Id="rIdHdr9" Target="header9.xml" Type="http://schemas.openxmlformats.org/officeDocument/2006/relationships/header"/><Relationship Id="rIdHdr10" Target="header10.xml" Type="http://schemas.openxmlformats.org/officeDocument/2006/relationships/header"/><Relationship Id="rIdHdr11" Target="header11.xml" Type="http://schemas.openxmlformats.org/officeDocument/2006/relationships/header"/><Relationship Id="rIdHdr12" Target="header12.xml" Type="http://schemas.openxmlformats.org/officeDocument/2006/relationships/header"/></Relationships>
</file>

<file path=docProps/core.xml><?xml version="1.0" encoding="utf-8"?>
<cp:coreProperties xmlns:cp="http://schemas.openxmlformats.org/package/2006/metadata/core-properties" xmlns:dc="http://purl.org/dc/elements/1.1/" xmlns:dcterms="http://purl.org/dc/terms/" xmlns:xsi="http://www.w3.org/2001/XMLSchema-instance">
  <dc:title>CMA Part 1 · Book 3 · Chapter 6</dc:title>
  <dc:subject>Summary handouts</dc:subject>
  <cp:category>Student Book</cp:category>
</cp:coreProperties>
</file>