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therefore carry the same cost for every unit, 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Inventory   ·   therefore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Reasons for adopting a standard costing system</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Reason for a standard costing system (C.1.j)</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Orontes</w:t>
            </w:r>
          </w:p>
        </w:tc>
      </w:tr>
      <w:tr>
        <w:tc>
          <w:tcPr>
            <w:tcW w:type="pct" w:w="2400"/>
            <w:tcMar>
              <w:top w:type="dxa" w:w="50"/>
              <w:left w:type="dxa" w:w="110"/>
              <w:bottom w:type="dxa" w:w="50"/>
              <w:right w:type="dxa" w:w="110"/>
            </w:tcMar>
          </w:tcPr>
          <w:p>
            <w:pPr>
              <w:spacing w:before="28" w:after="28"/>
            </w:pPr>
            <w:r>
              <w:rPr>
                <w:sz w:val="15"/>
                <w:szCs w:val="15"/>
              </w:rPr>
              <w:t xml:space="preserve">Simpler record keeping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and cost of goods sold are recorded at standard, so every unit carries the same cost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 by exception</w:t>
            </w:r>
          </w:p>
        </w:tc>
        <w:tc>
          <w:tcPr>
            <w:tcW w:type="pct" w:w="2600"/>
            <w:shd w:fill="FBFAF6" w:val="clear"/>
            <w:tcMar>
              <w:top w:type="dxa" w:w="50"/>
              <w:left w:type="dxa" w:w="110"/>
              <w:bottom w:type="dxa" w:w="50"/>
              <w:right w:type="dxa" w:w="110"/>
            </w:tcMar>
          </w:tcPr>
          <w:p>
            <w:pPr>
              <w:spacing w:before="28" w:after="28"/>
            </w:pPr>
            <w:r>
              <w:rPr>
                <w:sz w:val="15"/>
                <w:szCs w:val="15"/>
              </w:rPr>
              <w:t xml:space="preserve">Variances point to what differed from the plan (Chapter 11)</w:t>
            </w:r>
          </w:p>
        </w:tc>
      </w:tr>
      <w:tr>
        <w:tc>
          <w:tcPr>
            <w:tcW w:type="pct" w:w="2400"/>
            <w:tcMar>
              <w:top w:type="dxa" w:w="50"/>
              <w:left w:type="dxa" w:w="110"/>
              <w:bottom w:type="dxa" w:w="50"/>
              <w:right w:type="dxa" w:w="110"/>
            </w:tcMar>
          </w:tcPr>
          <w:p>
            <w:pPr>
              <w:spacing w:before="28" w:after="28"/>
            </w:pPr>
            <w:r>
              <w:rPr>
                <w:sz w:val="15"/>
                <w:szCs w:val="15"/>
              </w:rPr>
              <w:t xml:space="preserve">Responsibility</w:t>
            </w:r>
          </w:p>
        </w:tc>
        <w:tc>
          <w:tcPr>
            <w:tcW w:type="pct" w:w="2600"/>
            <w:tcMar>
              <w:top w:type="dxa" w:w="50"/>
              <w:left w:type="dxa" w:w="110"/>
              <w:bottom w:type="dxa" w:w="50"/>
              <w:right w:type="dxa" w:w="110"/>
            </w:tcMar>
          </w:tcPr>
          <w:p>
            <w:pPr>
              <w:spacing w:before="28" w:after="28"/>
            </w:pPr>
            <w:r>
              <w:rPr>
                <w:sz w:val="15"/>
                <w:szCs w:val="15"/>
              </w:rPr>
              <w:t xml:space="preserve">Each variance has an owner: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the plant, the sales team</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Budgeting and pricing</w:t>
            </w:r>
          </w:p>
        </w:tc>
        <w:tc>
          <w:tcPr>
            <w:tcW w:type="pct" w:w="2600"/>
            <w:shd w:fill="FBFAF6" w:val="clear"/>
            <w:tcMar>
              <w:top w:type="dxa" w:w="50"/>
              <w:left w:type="dxa" w:w="110"/>
              <w:bottom w:type="dxa" w:w="50"/>
              <w:right w:type="dxa" w:w="110"/>
            </w:tcMar>
          </w:tcPr>
          <w:p>
            <w:pPr>
              <w:spacing w:before="28" w:after="28"/>
            </w:pPr>
            <w:r>
              <w:rPr>
                <w:sz w:val="15"/>
                <w:szCs w:val="15"/>
              </w:rPr>
              <w:t xml:space="preserve">The standard card builds the budget (Chapters 6 to 8) and supports price decisions</w:t>
            </w:r>
          </w:p>
        </w:tc>
      </w:tr>
      <w:tr>
        <w:tc>
          <w:tcPr>
            <w:tcW w:type="pct" w:w="2400"/>
            <w:tcMar>
              <w:top w:type="dxa" w:w="50"/>
              <w:left w:type="dxa" w:w="110"/>
              <w:bottom w:type="dxa" w:w="50"/>
              <w:right w:type="dxa" w:w="110"/>
            </w:tcMar>
          </w:tcPr>
          <w:p>
            <w:pPr>
              <w:spacing w:before="28" w:after="28"/>
            </w:pPr>
            <w:r>
              <w:rPr>
                <w:sz w:val="15"/>
                <w:szCs w:val="15"/>
              </w:rPr>
              <w:t xml:space="preserve">Motivation</w:t>
            </w:r>
          </w:p>
        </w:tc>
        <w:tc>
          <w:tcPr>
            <w:tcW w:type="pct" w:w="2600"/>
            <w:tcMar>
              <w:top w:type="dxa" w:w="50"/>
              <w:left w:type="dxa" w:w="110"/>
              <w:bottom w:type="dxa" w:w="50"/>
              <w:right w:type="dxa" w:w="110"/>
            </w:tcMar>
          </w:tcPr>
          <w:p>
            <w:pPr>
              <w:spacing w:before="28" w:after="28"/>
            </w:pPr>
            <w:r>
              <w:rPr>
                <w:sz w:val="15"/>
                <w:szCs w:val="15"/>
              </w:rPr>
              <w:t xml:space="preserve">Clear,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targets for each input (Book 2,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decisions   ·   purchasing   ·   attainable</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has costs of its own.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reviewed as prices and methods change, as Book 2, and a standard that is out of date produces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Standards   ·   between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as.</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allowed is the heart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column: it is the input the standard permits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columns   ·   right-hand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liters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(0.92 − 0.90) × 437,000 = 8,740 U   ·   (437,000 − 432,000) × 0.90 = 4,500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consumed   ·   conventions</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bought in June   ·   direct material usage variance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reports the variance earlier, which helps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act in time, and values the stock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was consumed.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Together   ·   material   ·   matches   ·   standard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The price variance always uses an actual quantity,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double-counts   ·   difference   ·   usually   ·   bought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Liters bought in June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tcMar>
              <w:top w:type="dxa" w:w="50"/>
              <w:left w:type="dxa" w:w="110"/>
              <w:bottom w:type="dxa" w:w="50"/>
              <w:right w:type="dxa" w:w="110"/>
            </w:tcMar>
          </w:tcPr>
          <w:p>
            <w:pPr>
              <w:spacing w:before="28" w:after="28"/>
            </w:pPr>
            <w:r>
              <w:rPr>
                <w:sz w:val="15"/>
                <w:szCs w:val="15"/>
              </w:rPr>
              <w:t xml:space="preserve">Actual hours worked</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rate an hour   ·   Actual hours worked   ·   Efficiency variance   ·   Standard hours allowed (0.050 a case)   ·   Rate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7–8</w:t>
      </w:r>
    </w:p>
    <w:p>
      <w:pPr>
        <w:spacing w:before="20" w:after="20" w:line="360" w:lineRule="auto"/>
        <w:ind w:left="200"/>
      </w:pPr>
      <w:r>
        <w:rPr>
          <w:sz w:val="19"/>
          <w:szCs w:val="19"/>
        </w:rPr>
        <w:t xml:space="preserve">The Tahini figures show a pattern worth noticing: the sesame price variance is favorable while the usage variance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Section 12.5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unfavorable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actual 56,200 kg at $2.45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efficiency   ·   Material usage</w:t>
            </w:r>
          </w:p>
        </w:tc>
      </w:tr>
    </w:tbl>
    <w:p/>
    <w:p>
      <w:pPr>
        <w:spacing w:before="44" w:after="14"/>
      </w:pPr>
      <w:r>
        <w:rPr>
          <w:b/>
          <w:bCs/>
          <w:color w:val="353A7C"/>
          <w:sz w:val="18"/>
          <w:szCs w:val="18"/>
        </w:rPr>
        <w:t xml:space="preserve">Summary 1</w:t>
      </w:r>
      <w:r>
        <w:rPr>
          <w:color w:val="6B7280"/>
          <w:sz w:val="16"/>
          <w:szCs w:val="16"/>
        </w:rPr>
        <w:t xml:space="preserve">      gaps 2–3</w:t>
      </w:r>
    </w:p>
    <w:p>
      <w:pPr>
        <w:spacing w:before="20" w:after="20" w:line="360" w:lineRule="auto"/>
        <w:ind w:left="200"/>
      </w:pPr>
      <w:r>
        <w:rPr>
          <w:sz w:val="19"/>
          <w:szCs w:val="19"/>
        </w:rPr>
        <w:t xml:space="preserve">Ownership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purchasing buys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lower-grade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favorable price variance beside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usage variance usually points to one decision, not two separate results. </w:t>
      </w:r>
      <w:r>
        <w:rPr>
          <w:sz w:val="19"/>
          <w:szCs w:val="19"/>
        </w:rPr>
        <w:t xml:space="preserve">Judging either one alone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conclusion   ·   unfavorable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lower-grade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Efficiency unfavorable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puts the four variances into the report the division sends to head office.</w:t>
      </w:r>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Labor rate variance   ·   Labor efficiency variance</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Concentrate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produced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standard quantity allowed first, then the price variance on the actual quantity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Calculate   ·   produced   ·   outside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Standard labor rate   ·   Standard labor hours a liter   ·   Actual hours worked   ·   Liters bottled   ·   Bottles actually used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($12.10 − $12.00) × 3,680 = $368 unfavorable   ·   (1,350 − 1,320) × $15.00 = $450 unfavorable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price variance   ·   direct labor efficiency variance   ·   direct material usage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Labor 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Labor 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 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 material usage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Liters bottled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2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d4fe0077490213a9eac56ded6895ec24f99b2eb.png" Type="http://schemas.openxmlformats.org/officeDocument/2006/relationships/image"/><Relationship Id="rId102" Target="media/49e1ea99e9fe6e53e340a729cdb82a460a62c544.png" Type="http://schemas.openxmlformats.org/officeDocument/2006/relationships/image"/><Relationship Id="rId103" Target="media/3f5a538c1ff11b43a9793b818cac4d5701538de9.png" Type="http://schemas.openxmlformats.org/officeDocument/2006/relationships/image"/><Relationship Id="rId104" Target="media/c898dd7f90c4bfb8ac8a10ed86b7ff441d7edd97.png" Type="http://schemas.openxmlformats.org/officeDocument/2006/relationships/image"/><Relationship Id="rId105" Target="media/cd573f6771d34d235fc9bc798f52b9fe5a88f1dc.png" Type="http://schemas.openxmlformats.org/officeDocument/2006/relationships/image"/><Relationship Id="rId106" Target="media/f1bef0dd93e816955f8586ab5cb94082eee7c44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12</dc:title>
  <dc:subject>Summary handouts</dc:subject>
  <cp:category>Student Book</cp:category>
</cp:coreProperties>
</file>