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objectives of a transfer price</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Objective (C.2.h)</w:t>
            </w:r>
          </w:p>
        </w:tc>
        <w:tc>
          <w:tcPr>
            <w:tcW w:type="pct" w:w="1548"/>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252"/>
            <w:tcMar>
              <w:top w:type="dxa" w:w="50"/>
              <w:left w:type="dxa" w:w="110"/>
              <w:bottom w:type="dxa" w:w="50"/>
              <w:right w:type="dxa" w:w="110"/>
            </w:tcMar>
          </w:tcPr>
          <w:p>
            <w:pPr>
              <w:spacing w:before="28" w:after="28"/>
            </w:pPr>
            <w:r>
              <w:rPr>
                <w:sz w:val="15"/>
                <w:szCs w:val="15"/>
              </w:rPr>
              <w:t xml:space="preserve">Goal congruence</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 floor of variable cost keeps internal supply attractive</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Fair performance evaluation</w:t>
            </w:r>
          </w:p>
        </w:tc>
        <w:tc>
          <w:tcPr>
            <w:tcW w:type="pct" w:w="1548"/>
            <w:shd w:fill="FBFAF6" w:val="clear"/>
            <w:tcMar>
              <w:top w:type="dxa" w:w="50"/>
              <w:left w:type="dxa" w:w="110"/>
              <w:bottom w:type="dxa" w:w="50"/>
              <w:right w:type="dxa" w:w="110"/>
            </w:tcMar>
          </w:tcPr>
          <w:p>
            <w:pPr>
              <w:spacing w:before="28" w:after="28"/>
            </w:pPr>
            <w:r>
              <w:rPr>
                <w:sz w:val="15"/>
                <w:szCs w:val="15"/>
              </w:rPr>
              <w:t xml:space="preserve">Each division's profit reflects its own work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tcMar>
              <w:top w:type="dxa" w:w="50"/>
              <w:left w:type="dxa" w:w="110"/>
              <w:bottom w:type="dxa" w:w="50"/>
              <w:right w:type="dxa" w:w="110"/>
            </w:tcMar>
          </w:tcPr>
          <w:p>
            <w:pPr>
              <w:spacing w:before="28" w:after="28"/>
            </w:pPr>
            <w:r>
              <w:rPr>
                <w:sz w:val="15"/>
                <w:szCs w:val="15"/>
              </w:rPr>
              <w:t xml:space="preserve">Divisional autonomy</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 negotiated price respects both managers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Company profit after tax</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Set within the rules, not to shift 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price below cost makes the supplier look bad   ·   A floor of variable cost keeps internal supply attractive   ·   Cross-border prices affect tariffs and tax   ·   Managers keep the right to decide   ·   Each manager's best choice is also best for the company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objectives   ·   should   ·   Beverages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Each manager's best choice is also best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price below cost makes the supplier look bad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Managers keep the right to 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Cross-border prices affect tariffs and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prices in five ways: 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Dual-rate   ·   negotiate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Supplier earns nothing; looks like a poor performer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tcMar>
              <w:top w:type="dxa" w:w="50"/>
              <w:left w:type="dxa" w:w="110"/>
              <w:bottom w:type="dxa" w:w="50"/>
              <w:right w:type="dxa" w:w="110"/>
            </w:tcMar>
          </w:tcPr>
          <w:p>
            <w:pPr>
              <w:spacing w:before="28" w:after="28"/>
            </w:pPr>
            <w:r>
              <w:rPr>
                <w:sz w:val="15"/>
                <w:szCs w:val="15"/>
              </w:rPr>
              <w:t xml:space="preserve">$1.10 / $0.50</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to both; good when a competitive market exists   ·   Dual rate   ·   Simple; covers the supplier's costs   ·   Leads to the right decision for the company   ·   Respects autonomy; managers know their own costs   ·   consolidation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Beverages needs 900,000 cases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p>
      <w:pPr>
        <w:pageBreakBefore w:val="true"/>
        <w:spacing w:after="0"/>
      </w:pPr>
      <w:r>
        <w:rPr>
          <w:sz w:val="2"/>
        </w:rPr>
        <w:t xml:space="preserve"> </w:t>
      </w:r>
    </w:p>
    <w:p>
      <w:pPr>
        <w:spacing w:before="44" w:after="10"/>
      </w:pPr>
      <w:r>
        <w:rPr>
          <w:b/>
          <w:bCs/>
          <w:color w:val="353A7C"/>
          <w:sz w:val="18"/>
          <w:szCs w:val="18"/>
        </w:rPr>
        <w:t xml:space="preserve">Worked example: the same year at five transfer prices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 rate   ·   Negotiated   ·   transfer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credits Levant with the market price and charges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the variable cost, so each manager faces the figure that leads to the right decision. </w:t>
      </w:r>
      <w:r>
        <w:rPr>
          <w:sz w:val="19"/>
          <w:szCs w:val="19"/>
        </w:rPr>
        <w:t xml:space="preserve">The $540,000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removed when the divisions are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Dual-rate   ·   Beverages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moves profit between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If an answer shows the company better or worse off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reporting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negotiated   ·   transfer   ·   double-counted   ·   divisions   ·   everywhere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Leads to the right decision for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Fair to both; good when a competitive market exists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Negotiated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minimum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is what the supplier must receive to be no worse off: variable cost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of anything it gives up.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what the buyer could pay outside.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maximum   ·   outside   ·   transfer   ·   opportunity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no internal transfer should happen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transfer</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opportunity</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maximum</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At full capacity, because $1.10 is above $1.00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 cost + opportunity cost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outside carrier offers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$1.00 a case. </w:t>
      </w:r>
      <w:r>
        <w:rPr>
          <w:sz w:val="19"/>
          <w:szCs w:val="19"/>
        </w:rPr>
        <w:t xml:space="preserve">With spare capacity,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transfer   ·   Beverages   ·   company's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negotiated transfer price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This is why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sees a cost above the outside offer and refuses internal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Beverages   ·   delivering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minimum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cannot be found without knowing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contribution   ·   Everything   ·   supplier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transfer price   ·   market-based transfer price   ·   full-cost transfer price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Profit is taxed where it is reported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pull in opposite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transfer price moves profit to the buying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cuts tax if the rate there is lower. </w:t>
      </w:r>
      <w:r>
        <w:rPr>
          <w:sz w:val="19"/>
          <w:szCs w:val="19"/>
        </w:rPr>
        <w:t xml:space="preserve">It also raises the duty paid at the border,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duty is charged 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w:t>
      </w:r>
      <w:r>
        <w:rPr>
          <w:sz w:val="19"/>
          <w:szCs w:val="19"/>
        </w:rPr>
        <w:t xml:space="preserve">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defensible as one that unrelated parties would have agreed, and documentation is usually required. </w:t>
      </w:r>
      <w:r>
        <w:rPr>
          <w:sz w:val="19"/>
          <w:szCs w:val="19"/>
        </w:rPr>
        <w:t xml:space="preserve">A price chosen only to move profit invites adjustment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directions   ·   authorities   ·   adjustment   ·   tariffs   ·   because   ·   invoice   ·   country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tariffs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country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delivery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saved   ·   shifted   ·   Extra tariff at 5%</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changing   ·   against   ·   controller   ·   adjustment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9–10</w:t>
      </w:r>
    </w:p>
    <w:p>
      <w:pPr>
        <w:spacing w:before="20" w:after="20" w:line="360" w:lineRule="auto"/>
        <w:ind w:left="200"/>
      </w:pPr>
      <w:r>
        <w:rPr>
          <w:sz w:val="19"/>
          <w:szCs w:val="19"/>
        </w:rPr>
        <w:t xml:space="preserve">Company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11–13</w:t>
      </w:r>
    </w:p>
    <w:p>
      <w:pPr>
        <w:spacing w:before="20" w:after="20" w:line="360" w:lineRule="auto"/>
        <w:ind w:left="200"/>
      </w:pPr>
      <w:r>
        <w:rPr>
          <w:sz w:val="19"/>
          <w:szCs w:val="19"/>
        </w:rPr>
        <w:t xml:space="preserve">Expect a supplying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variable and full cost, an outside market price, an outside offer to the buyer, and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capacity. </w:t>
      </w:r>
      <w:r>
        <w:rPr>
          <w:sz w:val="19"/>
          <w:szCs w:val="19"/>
        </w:rPr>
        <w:t xml:space="preserve">Find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maximum, say whether a range exists, and state what the company should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statement   ·   minimum   ·   adjustment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Price Oils charges outside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(17)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Extra tariff at 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minimum transfer price   ·   variable-cost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adjustment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market-based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minimum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division's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135eadc14cb72d76a5a2cf8640b260f442349c.png" Type="http://schemas.openxmlformats.org/officeDocument/2006/relationships/image"/><Relationship Id="rId102" Target="media/f4af55abc95f2173a6cb2e6c8cb54807d4b2c622.png" Type="http://schemas.openxmlformats.org/officeDocument/2006/relationships/image"/><Relationship Id="rId103" Target="media/7bbdd8796e1b557cacea1c9eb846073d7975aade.png" Type="http://schemas.openxmlformats.org/officeDocument/2006/relationships/image"/><Relationship Id="rId104" Target="media/0ae6f562ef2358bdb3fbca1bea6cd99dd101be3f.png" Type="http://schemas.openxmlformats.org/officeDocument/2006/relationships/image"/><Relationship Id="rId105" Target="media/ec19f149be24dc6933adb9a210f3fac49f856a0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16</dc:title>
  <dc:subject>Summary handouts</dc:subject>
  <cp:category>Student Book</cp:category>
</cp:coreProperties>
</file>