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18.1  Critical success factors and KPIs</w:t>
            </w:r>
          </w:p>
          <w:p>
            <w:pPr>
              <w:spacing w:before="0" w:after="46"/>
            </w:pPr>
            <w:r>
              <w:rPr>
                <w:color w:val="E8EAF6"/>
                <w:sz w:val="16"/>
                <w:szCs w:val="16"/>
              </w:rPr>
              <w:t xml:space="preserve">Chapter 18 · section 18.1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18A: recommending measures fo   ·   Reading a scorecard and reporting it   ·   The strategy map   ·   The balanced scorecard and its four perspectiv</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success factor (CSF) is something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must do well if its strategy is to succeed. </w:t>
      </w:r>
      <w:r>
        <w:rPr>
          <w:sz w:val="19"/>
          <w:szCs w:val="19"/>
        </w:rPr>
        <w:t xml:space="preserve">A key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indicator (KPI) is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shows how well it is being done. </w:t>
      </w:r>
      <w:r>
        <w:rPr>
          <w:sz w:val="19"/>
          <w:szCs w:val="19"/>
        </w:rPr>
        <w:t xml:space="preserve">The CSF is the thing; the KPI is the number.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performance   ·   matters   ·   measure   ·   organization   ·   critical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312"/>
        <w:gridCol w:w="30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Critical success factors and the KPI for each</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Critical success factor</w:t>
            </w:r>
          </w:p>
        </w:tc>
        <w:tc>
          <w:tcPr>
            <w:tcW w:type="pct" w:w="1204"/>
            <w:shd w:fill="353A7C" w:val="clear"/>
            <w:tcMar>
              <w:top w:type="dxa" w:w="50"/>
              <w:left w:type="dxa" w:w="110"/>
              <w:bottom w:type="dxa" w:w="50"/>
              <w:right w:type="dxa" w:w="110"/>
            </w:tcMar>
          </w:tcPr>
          <w:p>
            <w:pPr>
              <w:spacing w:before="30" w:after="30"/>
            </w:pPr>
            <w:r>
              <w:rPr>
                <w:b/>
                <w:bCs/>
                <w:color w:val="FFFFFF"/>
                <w:sz w:val="15"/>
                <w:szCs w:val="15"/>
              </w:rPr>
              <w:t xml:space="preserve">KPI that measures it</w:t>
            </w:r>
          </w:p>
        </w:tc>
        <w:tc>
          <w:tcPr>
            <w:tcW w:type="pct" w:w="1596"/>
            <w:shd w:fill="353A7C" w:val="clear"/>
            <w:tcMar>
              <w:top w:type="dxa" w:w="50"/>
              <w:left w:type="dxa" w:w="110"/>
              <w:bottom w:type="dxa" w:w="50"/>
              <w:right w:type="dxa" w:w="110"/>
            </w:tcMar>
          </w:tcPr>
          <w:p>
            <w:pPr>
              <w:spacing w:before="30" w:after="30"/>
            </w:pPr>
            <w:r>
              <w:rPr>
                <w:b/>
                <w:bCs/>
                <w:color w:val="FFFFFF"/>
                <w:sz w:val="15"/>
                <w:szCs w:val="15"/>
              </w:rPr>
              <w:t xml:space="preserve">2028</w:t>
            </w:r>
          </w:p>
        </w:tc>
      </w:tr>
      <w:tr>
        <w:tc>
          <w:tcPr>
            <w:tcW w:type="pct" w:w="2200"/>
            <w:tcMar>
              <w:top w:type="dxa" w:w="50"/>
              <w:left w:type="dxa" w:w="110"/>
              <w:bottom w:type="dxa" w:w="50"/>
              <w:right w:type="dxa" w:w="110"/>
            </w:tcMar>
          </w:tcPr>
          <w:p>
            <w:pPr>
              <w:spacing w:before="28" w:after="28"/>
            </w:pPr>
            <w:r>
              <w:rPr>
                <w:sz w:val="15"/>
                <w:szCs w:val="15"/>
              </w:rPr>
              <w:t xml:space="preserve">Win export customers in the Gulf</w:t>
            </w:r>
          </w:p>
        </w:tc>
        <w:tc>
          <w:tcPr>
            <w:tcW w:type="pct" w:w="1204"/>
            <w:tcMar>
              <w:top w:type="dxa" w:w="50"/>
              <w:left w:type="dxa" w:w="110"/>
              <w:bottom w:type="dxa" w:w="50"/>
              <w:right w:type="dxa" w:w="110"/>
            </w:tcMar>
          </w:tcPr>
          <w:p>
            <w:pPr>
              <w:spacing w:before="28" w:after="28"/>
            </w:pPr>
            <w:r>
              <w:rPr>
                <w:sz w:val="15"/>
                <w:szCs w:val="15"/>
              </w:rPr>
              <w:t xml:space="preserve">Export share of revenue</w:t>
            </w:r>
          </w:p>
        </w:tc>
        <w:tc>
          <w:tcPr>
            <w:tcW w:type="pct" w:w="1596"/>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Deliver reliably</w:t>
            </w:r>
          </w:p>
        </w:tc>
        <w:tc>
          <w:tcPr>
            <w:tcW w:type="pct" w:w="1204"/>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596"/>
            <w:shd w:fill="FBFAF6" w:val="clear"/>
            <w:tcMar>
              <w:top w:type="dxa" w:w="50"/>
              <w:left w:type="dxa" w:w="110"/>
              <w:bottom w:type="dxa" w:w="50"/>
              <w:right w:type="dxa" w:w="110"/>
            </w:tcMar>
          </w:tcPr>
          <w:p>
            <w:pPr>
              <w:spacing w:before="28" w:after="28"/>
            </w:pPr>
            <w:r>
              <w:rPr>
                <w:sz w:val="15"/>
                <w:szCs w:val="15"/>
              </w:rPr>
              <w:t xml:space="preserve">target 97%, actual 94%</w:t>
            </w:r>
          </w:p>
        </w:tc>
      </w:tr>
      <w:tr>
        <w:tc>
          <w:tcPr>
            <w:tcW w:type="pct" w:w="2200"/>
            <w:tcMar>
              <w:top w:type="dxa" w:w="50"/>
              <w:left w:type="dxa" w:w="110"/>
              <w:bottom w:type="dxa" w:w="50"/>
              <w:right w:type="dxa" w:w="110"/>
            </w:tcMar>
          </w:tcPr>
          <w:p>
            <w:pPr>
              <w:spacing w:before="28" w:after="28"/>
            </w:pPr>
            <w:r>
              <w:rPr>
                <w:sz w:val="15"/>
                <w:szCs w:val="15"/>
              </w:rPr>
              <w:t xml:space="preserve">Run the plant without long stoppages</w:t>
            </w:r>
          </w:p>
        </w:tc>
        <w:tc>
          <w:tcPr>
            <w:tcW w:type="pct" w:w="1204"/>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596"/>
            <w:tcMar>
              <w:top w:type="dxa" w:w="50"/>
              <w:left w:type="dxa" w:w="110"/>
              <w:bottom w:type="dxa" w:w="50"/>
              <w:right w:type="dxa" w:w="110"/>
            </w:tcMar>
          </w:tcPr>
          <w:p>
            <w:pPr>
              <w:spacing w:before="28" w:after="28"/>
            </w:pPr>
            <w:r>
              <w:rPr>
                <w:sz w:val="15"/>
                <w:szCs w:val="15"/>
              </w:rPr>
              <w:t xml:space="preserve">target 30 minutes, actual 42</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Keep skilled operators</w:t>
            </w:r>
          </w:p>
        </w:tc>
        <w:tc>
          <w:tcPr>
            <w:tcW w:type="pct" w:w="1204"/>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596"/>
            <w:shd w:fill="FBFAF6" w:val="clear"/>
            <w:tcMar>
              <w:top w:type="dxa" w:w="50"/>
              <w:left w:type="dxa" w:w="110"/>
              <w:bottom w:type="dxa" w:w="50"/>
              <w:right w:type="dxa" w:w="110"/>
            </w:tcMar>
          </w:tcPr>
          <w:p>
            <w:pPr>
              <w:spacing w:before="28" w:after="28"/>
            </w:pPr>
            <w:r>
              <w:rPr>
                <w:sz w:val="15"/>
                <w:szCs w:val="15"/>
              </w:rPr>
              <w:t xml:space="preserve">turnover target 8%, actual 7%</w:t>
            </w:r>
          </w:p>
        </w:tc>
      </w:tr>
      <w:tr>
        <w:tc>
          <w:tcPr>
            <w:tcW w:type="pct" w:w="2200"/>
            <w:tcMar>
              <w:top w:type="dxa" w:w="50"/>
              <w:left w:type="dxa" w:w="110"/>
              <w:bottom w:type="dxa" w:w="50"/>
              <w:right w:type="dxa" w:w="110"/>
            </w:tcMar>
          </w:tcPr>
          <w:p>
            <w:pPr>
              <w:spacing w:before="28" w:after="28"/>
            </w:pPr>
            <w:r>
              <w:rPr>
                <w:sz w:val="15"/>
                <w:szCs w:val="15"/>
              </w:rPr>
              <w:t xml:space="preserve">Earn the return the group requires</w:t>
            </w:r>
          </w:p>
        </w:tc>
        <w:tc>
          <w:tcPr>
            <w:tcW w:type="pct" w:w="1204"/>
            <w:tcMar>
              <w:top w:type="dxa" w:w="50"/>
              <w:left w:type="dxa" w:w="110"/>
              <w:bottom w:type="dxa" w:w="50"/>
              <w:right w:type="dxa" w:w="110"/>
            </w:tcMar>
          </w:tcPr>
          <w:p>
            <w:pPr>
              <w:spacing w:before="28" w:after="28"/>
            </w:pPr>
            <w:r>
              <w:rPr>
                <w:sz w:val="15"/>
                <w:szCs w:val="15"/>
              </w:rPr>
              <w:t xml:space="preserve">Return on investment</w:t>
            </w:r>
          </w:p>
        </w:tc>
        <w:tc>
          <w:tcPr>
            <w:tcW w:type="pct" w:w="1596"/>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Training hours and staff turnover   ·   target 20.4%, actual 19.6%   ·   Changeover time   ·   balanced scorecard   ·   On-time delivery   ·   target 11.8%, actual 12.6%</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The pair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because a measure without a factor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it is noise, and a factor without a measure is a wish. </w:t>
      </w:r>
      <w:r>
        <w:rPr>
          <w:sz w:val="19"/>
          <w:szCs w:val="19"/>
        </w:rPr>
        <w:t xml:space="preserve">Together they tell a manager what to work on and show whether the work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without   ·   behind   ·   matters   ·   succeeding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critical success factor (CSF)</w:t>
            </w:r>
          </w:p>
        </w:tc>
        <w:tc>
          <w:tcPr>
            <w:tcW w:type="pct" w:w="2400"/>
            <w:tcMar>
              <w:top w:type="dxa" w:w="50"/>
              <w:left w:type="dxa" w:w="110"/>
              <w:bottom w:type="dxa" w:w="50"/>
              <w:right w:type="dxa" w:w="110"/>
            </w:tcMar>
          </w:tcPr>
          <w:p>
            <w:pPr>
              <w:spacing w:before="26" w:after="26"/>
            </w:pPr>
            <w:r>
              <w:rPr>
                <w:color w:val="232733"/>
                <w:sz w:val="16"/>
                <w:szCs w:val="16"/>
              </w:rPr>
              <w:t xml:space="preserve">عامل النجاح الحاسم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key performance indicator (KPI)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مؤشر الأداء الرئيسي</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18.1  Critical success factors and KPIs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balanced scorecard and its four perspectiv</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On-time delivery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strategy map</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Changeover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18A: recommending measures fo</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Training hours and staff turnover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critical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target 11.8%, actual 12.6%</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matters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behind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succeeding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target 20.4%, actual 19.6%</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critical success factor (CSF) is something an organization must do well if its strategy is to succeed. A key performance indicator (KPI) is the measure that shows how well it is being done. The CSF is the thing; the KPI is the number.</w:t>
      </w:r>
    </w:p>
    <w:p>
      <w:pPr>
        <w:spacing w:before="20" w:after="20"/>
        <w:ind w:left="240" w:hanging="240"/>
      </w:pPr>
      <w:r>
        <w:rPr>
          <w:b/>
          <w:bCs/>
          <w:color w:val="353A7C"/>
          <w:sz w:val="15"/>
          <w:szCs w:val="15"/>
        </w:rPr>
        <w:t xml:space="preserve">Summary 2   </w:t>
      </w:r>
      <w:r>
        <w:rPr>
          <w:color w:val="6B7280"/>
          <w:sz w:val="15"/>
          <w:szCs w:val="15"/>
        </w:rPr>
        <w:t xml:space="preserve">The pair matters because a measure without a factor behind it is noise, and a factor without a measure is a wish. Together they tell a manager what to work on and show whether the work is succeeding.</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18.2  The balanced scorecard and its four perspectives</w:t>
            </w:r>
          </w:p>
          <w:p>
            <w:pPr>
              <w:spacing w:before="0" w:after="46"/>
            </w:pPr>
            <w:r>
              <w:rPr>
                <w:color w:val="E8EAF6"/>
                <w:sz w:val="16"/>
                <w:szCs w:val="16"/>
              </w:rPr>
              <w:t xml:space="preserve">Chapter 18 · section 18.2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balanced scorecard is a set of measures drawn from four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each with its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measures, targets and the actions planned to reach them. </w:t>
      </w:r>
      <w:r>
        <w:rPr>
          <w:sz w:val="19"/>
          <w:szCs w:val="19"/>
        </w:rPr>
        <w:t xml:space="preserve">It is balanced because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results alone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only what has already happened. </w:t>
      </w:r>
      <w:r>
        <w:rPr>
          <w:sz w:val="19"/>
          <w:szCs w:val="19"/>
        </w:rPr>
        <w:t xml:space="preserve">Each perspective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same four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what the company wants to achieve, the measure that tracks it, the target for the period and the action planned to reach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describe   ·   perspectives   ·   objectives   ·   carries   ·   information   ·   financial   ·   components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Orontes scorecard for 2028</w:t>
            </w:r>
          </w:p>
        </w:tc>
      </w:tr>
    </w:tbl>
    <w:p/>
    <w:p>
      <w:pPr>
        <w:spacing w:before="44" w:after="10"/>
      </w:pPr>
      <w:r>
        <w:rPr>
          <w:b/>
          <w:bCs/>
          <w:color w:val="353A7C"/>
          <w:sz w:val="18"/>
          <w:szCs w:val="18"/>
        </w:rPr>
        <w:t xml:space="preserve">Worked example: the Orontes balanced scorecard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process   ·   Learning and growth   ·   Customer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last two perspectives</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Balanced means four perspectives, not four financial ratios</w:t>
            </w:r>
          </w:p>
        </w:tc>
      </w:tr>
    </w:tbl>
    <w:p/>
    <w:p>
      <w:pPr>
        <w:spacing w:before="44" w:after="14"/>
      </w:pPr>
      <w:r>
        <w:rPr>
          <w:b/>
          <w:bCs/>
          <w:color w:val="353A7C"/>
          <w:sz w:val="18"/>
          <w:szCs w:val="18"/>
        </w:rPr>
        <w:t xml:space="preserve">Summary 2</w:t>
      </w:r>
      <w:r>
        <w:rPr>
          <w:color w:val="6B7280"/>
          <w:sz w:val="16"/>
          <w:szCs w:val="16"/>
        </w:rPr>
        <w:t xml:space="preserve">      gaps 9–13</w:t>
      </w:r>
    </w:p>
    <w:p>
      <w:pPr>
        <w:spacing w:before="20" w:after="20" w:line="360" w:lineRule="auto"/>
        <w:ind w:left="200"/>
      </w:pPr>
      <w:r>
        <w:rPr>
          <w:sz w:val="19"/>
          <w:szCs w:val="19"/>
        </w:rPr>
        <w:t xml:space="preserve">A scorecard with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margin, return and growth on it is not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it measures the same thing four ways. </w:t>
      </w:r>
      <w:r>
        <w:rPr>
          <w:sz w:val="19"/>
          <w:szCs w:val="19"/>
        </w:rPr>
        <w:t xml:space="preserve">Each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must bring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others do not. </w:t>
      </w:r>
      <w:r>
        <w:rPr>
          <w:sz w:val="19"/>
          <w:szCs w:val="19"/>
        </w:rPr>
        <w:t xml:space="preserve">The scorecard is not a report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after the year. </w:t>
      </w:r>
      <w:r>
        <w:rPr>
          <w:sz w:val="19"/>
          <w:szCs w:val="19"/>
        </w:rPr>
        <w:t xml:space="preserve">It is agreed with the plan, reviewed during the year, and used to decide what to do next, which is why.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   ·   perspective   ·   actions   ·   produced   ·   balanced   ·   information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learning and growth perspective   ·   customer perspective   ·   key performance indicator (KPI)</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balanced scorecard</w:t>
            </w:r>
          </w:p>
        </w:tc>
        <w:tc>
          <w:tcPr>
            <w:tcW w:type="pct" w:w="2400"/>
            <w:tcMar>
              <w:top w:type="dxa" w:w="50"/>
              <w:left w:type="dxa" w:w="110"/>
              <w:bottom w:type="dxa" w:w="50"/>
              <w:right w:type="dxa" w:w="110"/>
            </w:tcMar>
          </w:tcPr>
          <w:p>
            <w:pPr>
              <w:spacing w:before="26" w:after="26"/>
            </w:pPr>
            <w:r>
              <w:rPr>
                <w:color w:val="232733"/>
                <w:sz w:val="16"/>
                <w:szCs w:val="16"/>
              </w:rPr>
              <w:t xml:space="preserve">بطاقة الأداء المتوازن</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financial perspective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المنظور المالي</w:t>
            </w:r>
          </w:p>
        </w:tc>
      </w:tr>
      <w:tr>
        <w:tc>
          <w:tcPr>
            <w:tcW w:type="pct" w:w="2600"/>
            <w:tcMar>
              <w:top w:type="dxa" w:w="50"/>
              <w:left w:type="dxa" w:w="110"/>
              <w:bottom w:type="dxa" w:w="50"/>
              <w:right w:type="dxa" w:w="110"/>
            </w:tcMar>
          </w:tcPr>
          <w:p>
            <w:pPr>
              <w:spacing w:before="26" w:after="26"/>
            </w:pPr>
            <w:r>
              <w:rPr>
                <w:color w:val="232733"/>
                <w:sz w:val="16"/>
                <w:szCs w:val="16"/>
              </w:rPr>
              <w:t xml:space="preserve">customer perspective</w:t>
            </w:r>
          </w:p>
        </w:tc>
        <w:tc>
          <w:tcPr>
            <w:tcW w:type="pct" w:w="2400"/>
            <w:tcMar>
              <w:top w:type="dxa" w:w="50"/>
              <w:left w:type="dxa" w:w="110"/>
              <w:bottom w:type="dxa" w:w="50"/>
              <w:right w:type="dxa" w:w="110"/>
            </w:tcMar>
          </w:tcPr>
          <w:p>
            <w:pPr>
              <w:spacing w:before="26" w:after="26"/>
            </w:pPr>
            <w:r>
              <w:rPr>
                <w:color w:val="232733"/>
                <w:sz w:val="16"/>
                <w:szCs w:val="16"/>
              </w:rPr>
              <w:t xml:space="preserve">منظور العملاء</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internal process perspective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منظور العمليات الداخلية</w:t>
            </w:r>
          </w:p>
        </w:tc>
      </w:tr>
      <w:tr>
        <w:tc>
          <w:tcPr>
            <w:tcW w:type="pct" w:w="2600"/>
            <w:tcMar>
              <w:top w:type="dxa" w:w="50"/>
              <w:left w:type="dxa" w:w="110"/>
              <w:bottom w:type="dxa" w:w="50"/>
              <w:right w:type="dxa" w:w="110"/>
            </w:tcMar>
          </w:tcPr>
          <w:p>
            <w:pPr>
              <w:spacing w:before="26" w:after="26"/>
            </w:pPr>
            <w:r>
              <w:rPr>
                <w:color w:val="232733"/>
                <w:sz w:val="16"/>
                <w:szCs w:val="16"/>
              </w:rPr>
              <w:t xml:space="preserve">learning and growth perspective</w:t>
            </w:r>
          </w:p>
        </w:tc>
        <w:tc>
          <w:tcPr>
            <w:tcW w:type="pct" w:w="2400"/>
            <w:tcMar>
              <w:top w:type="dxa" w:w="50"/>
              <w:left w:type="dxa" w:w="110"/>
              <w:bottom w:type="dxa" w:w="50"/>
              <w:right w:type="dxa" w:w="110"/>
            </w:tcMar>
          </w:tcPr>
          <w:p>
            <w:pPr>
              <w:spacing w:before="26" w:after="26"/>
            </w:pPr>
            <w:r>
              <w:rPr>
                <w:color w:val="232733"/>
                <w:sz w:val="16"/>
                <w:szCs w:val="16"/>
              </w:rPr>
              <w:t xml:space="preserve">منظور التعلم والنمو</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18.2  The balanced scorecard and its four perspectives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perspectives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objectives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balanced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perspective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describe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carries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produced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customer perspective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Customer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learning and growth perspective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Learning and growth</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balanced scorecard is a set of measures drawn from four perspectives, each with its objectives, measures, targets and the actions planned to reach them. It is balanced because financial results alone describe only what has already happened. Each perspective carries the same four components: what the company wants to achieve, the measure that tracks it, the target for the period and the action planned to reach it.</w:t>
      </w:r>
    </w:p>
    <w:p>
      <w:pPr>
        <w:spacing w:before="20" w:after="20"/>
        <w:ind w:left="240" w:hanging="240"/>
      </w:pPr>
      <w:r>
        <w:rPr>
          <w:b/>
          <w:bCs/>
          <w:color w:val="353A7C"/>
          <w:sz w:val="15"/>
          <w:szCs w:val="15"/>
        </w:rPr>
        <w:t xml:space="preserve">Summary 2   </w:t>
      </w:r>
      <w:r>
        <w:rPr>
          <w:color w:val="6B7280"/>
          <w:sz w:val="15"/>
          <w:szCs w:val="15"/>
        </w:rPr>
        <w:t xml:space="preserve">A scorecard with profit, margin, return and growth on it is not balanced; it measures the same thing four ways. Each perspective must bring information the others do not. The scorecard is not a report produced after the year. It is agreed with the plan, reviewed during the year, and used to decide what to do next, which is why.</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18.3  What makes a scorecard effective</w:t>
            </w:r>
          </w:p>
          <w:p>
            <w:pPr>
              <w:spacing w:before="0" w:after="46"/>
            </w:pPr>
            <w:r>
              <w:rPr>
                <w:color w:val="E8EAF6"/>
                <w:sz w:val="16"/>
                <w:szCs w:val="16"/>
              </w:rPr>
              <w:t xml:space="preserve">Chapter 18 · section 18.3</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A scorecard fails more often from its design than from its arithmetic.</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24"/>
        <w:gridCol w:w="4224"/>
        <w:gridCol w:w="315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Characteristics of an effective balanced scorecard</w:t>
            </w:r>
          </w:p>
        </w:tc>
      </w:tr>
      <w:tr>
        <w:tc>
          <w:tcPr>
            <w:tcW w:type="pct" w:w="1158"/>
            <w:shd w:fill="353A7C" w:val="clear"/>
            <w:tcMar>
              <w:top w:type="dxa" w:w="50"/>
              <w:left w:type="dxa" w:w="110"/>
              <w:bottom w:type="dxa" w:w="50"/>
              <w:right w:type="dxa" w:w="110"/>
            </w:tcMar>
          </w:tcPr>
          <w:p>
            <w:pPr>
              <w:spacing w:before="30" w:after="30"/>
            </w:pPr>
            <w:r>
              <w:rPr>
                <w:b/>
                <w:bCs/>
                <w:color w:val="FFFFFF"/>
                <w:sz w:val="15"/>
                <w:szCs w:val="15"/>
              </w:rPr>
              <w:t xml:space="preserve">Characteristic (C.3.o)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642"/>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158"/>
            <w:tcMar>
              <w:top w:type="dxa" w:w="50"/>
              <w:left w:type="dxa" w:w="110"/>
              <w:bottom w:type="dxa" w:w="50"/>
              <w:right w:type="dxa" w:w="110"/>
            </w:tcMar>
          </w:tcPr>
          <w:p>
            <w:pPr>
              <w:spacing w:before="28" w:after="28"/>
            </w:pPr>
            <w:r>
              <w:rPr>
                <w:sz w:val="15"/>
                <w:szCs w:val="15"/>
              </w:rPr>
              <w:t xml:space="preserve">Few measures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642"/>
            <w:tcMar>
              <w:top w:type="dxa" w:w="50"/>
              <w:left w:type="dxa" w:w="110"/>
              <w:bottom w:type="dxa" w:w="50"/>
              <w:right w:type="dxa" w:w="110"/>
            </w:tcMar>
          </w:tcPr>
          <w:p>
            <w:pPr>
              <w:spacing w:before="28" w:after="28"/>
            </w:pPr>
            <w:r>
              <w:rPr>
                <w:sz w:val="15"/>
                <w:szCs w:val="15"/>
              </w:rPr>
              <w:t xml:space="preserve">Orontes uses 12 in total</w:t>
            </w:r>
          </w:p>
        </w:tc>
      </w:tr>
      <w:tr>
        <w:tc>
          <w:tcPr>
            <w:tcW w:type="pct" w:w="1158"/>
            <w:shd w:fill="FBFAF6" w:val="clear"/>
            <w:tcMar>
              <w:top w:type="dxa" w:w="50"/>
              <w:left w:type="dxa" w:w="110"/>
              <w:bottom w:type="dxa" w:w="50"/>
              <w:right w:type="dxa" w:w="110"/>
            </w:tcMar>
          </w:tcPr>
          <w:p>
            <w:pPr>
              <w:spacing w:before="28" w:after="28"/>
            </w:pPr>
            <w:r>
              <w:rPr>
                <w:sz w:val="15"/>
                <w:szCs w:val="15"/>
              </w:rPr>
              <w:t xml:space="preserve">Linked to strategy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1642"/>
            <w:shd w:fill="FBFAF6" w:val="clear"/>
            <w:tcMar>
              <w:top w:type="dxa" w:w="50"/>
              <w:left w:type="dxa" w:w="110"/>
              <w:bottom w:type="dxa" w:w="50"/>
              <w:right w:type="dxa" w:w="110"/>
            </w:tcMar>
          </w:tcPr>
          <w:p>
            <w:pPr>
              <w:spacing w:before="28" w:after="28"/>
            </w:pPr>
            <w:r>
              <w:rPr>
                <w:sz w:val="15"/>
                <w:szCs w:val="15"/>
              </w:rPr>
              <w:t xml:space="preserve">Chapter 1 set the objectives</w:t>
            </w:r>
          </w:p>
        </w:tc>
      </w:tr>
      <w:tr>
        <w:tc>
          <w:tcPr>
            <w:tcW w:type="pct" w:w="1158"/>
            <w:tcMar>
              <w:top w:type="dxa" w:w="50"/>
              <w:left w:type="dxa" w:w="110"/>
              <w:bottom w:type="dxa" w:w="50"/>
              <w:right w:type="dxa" w:w="110"/>
            </w:tcMar>
          </w:tcPr>
          <w:p>
            <w:pPr>
              <w:spacing w:before="28" w:after="28"/>
            </w:pPr>
            <w:r>
              <w:rPr>
                <w:sz w:val="15"/>
                <w:szCs w:val="15"/>
              </w:rPr>
              <w:t xml:space="preserve">Balanced</w:t>
            </w:r>
          </w:p>
        </w:tc>
        <w:tc>
          <w:tcPr>
            <w:tcW w:type="pct" w:w="2200"/>
            <w:tcMar>
              <w:top w:type="dxa" w:w="50"/>
              <w:left w:type="dxa" w:w="110"/>
              <w:bottom w:type="dxa" w:w="50"/>
              <w:right w:type="dxa" w:w="110"/>
            </w:tcMar>
          </w:tcPr>
          <w:p>
            <w:pPr>
              <w:spacing w:before="28" w:after="28"/>
            </w:pPr>
            <w:r>
              <w:rPr>
                <w:sz w:val="15"/>
                <w:szCs w:val="15"/>
              </w:rPr>
              <w:t xml:space="preserve">Leading as well as lagging indicators</w:t>
            </w:r>
          </w:p>
        </w:tc>
        <w:tc>
          <w:tcPr>
            <w:tcW w:type="pct" w:w="1642"/>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158"/>
            <w:shd w:fill="FBFAF6" w:val="clear"/>
            <w:tcMar>
              <w:top w:type="dxa" w:w="50"/>
              <w:left w:type="dxa" w:w="110"/>
              <w:bottom w:type="dxa" w:w="50"/>
              <w:right w:type="dxa" w:w="110"/>
            </w:tcMar>
          </w:tcPr>
          <w:p>
            <w:pPr>
              <w:spacing w:before="28" w:after="28"/>
            </w:pPr>
            <w:r>
              <w:rPr>
                <w:sz w:val="15"/>
                <w:szCs w:val="15"/>
              </w:rPr>
              <w:t xml:space="preserve">Owned</w:t>
            </w:r>
          </w:p>
        </w:tc>
        <w:tc>
          <w:tcPr>
            <w:tcW w:type="pct" w:w="2200"/>
            <w:shd w:fill="FBFAF6" w:val="clear"/>
            <w:tcMar>
              <w:top w:type="dxa" w:w="50"/>
              <w:left w:type="dxa" w:w="110"/>
              <w:bottom w:type="dxa" w:w="50"/>
              <w:right w:type="dxa" w:w="110"/>
            </w:tcMar>
          </w:tcPr>
          <w:p>
            <w:pPr>
              <w:spacing w:before="28" w:after="28"/>
            </w:pPr>
            <w:r>
              <w:rPr>
                <w:sz w:val="15"/>
                <w:szCs w:val="15"/>
              </w:rPr>
              <w:t xml:space="preserve">Each measure has a manager who can influence it</w:t>
            </w:r>
          </w:p>
        </w:tc>
        <w:tc>
          <w:tcPr>
            <w:tcW w:type="pct" w:w="1642"/>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158"/>
            <w:tcMar>
              <w:top w:type="dxa" w:w="50"/>
              <w:left w:type="dxa" w:w="110"/>
              <w:bottom w:type="dxa" w:w="50"/>
              <w:right w:type="dxa" w:w="110"/>
            </w:tcMar>
          </w:tcPr>
          <w:p>
            <w:pPr>
              <w:spacing w:before="28" w:after="28"/>
            </w:pPr>
            <w:r>
              <w:rPr>
                <w:sz w:val="15"/>
                <w:szCs w:val="15"/>
              </w:rPr>
              <w:t xml:space="preserve">Measurable and timely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642"/>
            <w:tcMar>
              <w:top w:type="dxa" w:w="50"/>
              <w:left w:type="dxa" w:w="110"/>
              <w:bottom w:type="dxa" w:w="50"/>
              <w:right w:type="dxa" w:w="110"/>
            </w:tcMar>
          </w:tcPr>
          <w:p>
            <w:pPr>
              <w:spacing w:before="28" w:after="28"/>
            </w:pPr>
            <w:r>
              <w:rPr>
                <w:sz w:val="15"/>
                <w:szCs w:val="15"/>
              </w:rPr>
              <w:t xml:space="preserve">Delivery weekly, return quarterly</w:t>
            </w:r>
          </w:p>
        </w:tc>
      </w:tr>
      <w:tr>
        <w:tc>
          <w:tcPr>
            <w:tcW w:type="pct" w:w="1158"/>
            <w:shd w:fill="FBFAF6" w:val="clear"/>
            <w:tcMar>
              <w:top w:type="dxa" w:w="50"/>
              <w:left w:type="dxa" w:w="110"/>
              <w:bottom w:type="dxa" w:w="50"/>
              <w:right w:type="dxa" w:w="110"/>
            </w:tcMar>
          </w:tcPr>
          <w:p>
            <w:pPr>
              <w:spacing w:before="28" w:after="28"/>
            </w:pPr>
            <w:r>
              <w:rPr>
                <w:sz w:val="15"/>
                <w:szCs w:val="15"/>
              </w:rPr>
              <w:t xml:space="preserve">Reviewed</w:t>
            </w:r>
          </w:p>
        </w:tc>
        <w:tc>
          <w:tcPr>
            <w:tcW w:type="pct" w:w="2200"/>
            <w:shd w:fill="FBFAF6" w:val="clear"/>
            <w:tcMar>
              <w:top w:type="dxa" w:w="50"/>
              <w:left w:type="dxa" w:w="110"/>
              <w:bottom w:type="dxa" w:w="50"/>
              <w:right w:type="dxa" w:w="110"/>
            </w:tcMar>
          </w:tcPr>
          <w:p>
            <w:pPr>
              <w:spacing w:before="28" w:after="28"/>
            </w:pPr>
            <w:r>
              <w:rPr>
                <w:sz w:val="15"/>
                <w:szCs w:val="15"/>
              </w:rPr>
              <w:t xml:space="preserve">Measures change as the strategy changes</w:t>
            </w:r>
          </w:p>
        </w:tc>
        <w:tc>
          <w:tcPr>
            <w:tcW w:type="pct" w:w="1642"/>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Four to six a perspective, not forty   ·   Training and changeover time, not only return   ·   Every measure traces to a critical success factor   ·   Reviewed with the plan each year   ·   Data available often enough to act on   ·   Changeover time belongs to the plant   ·   Leading as well as lagging indicators</w:t>
            </w:r>
          </w:p>
        </w:tc>
      </w:tr>
    </w:tbl>
    <w:p/>
    <w:p>
      <w:pPr>
        <w:spacing w:before="44" w:after="14"/>
      </w:pPr>
      <w:r>
        <w:rPr>
          <w:b/>
          <w:bCs/>
          <w:color w:val="353A7C"/>
          <w:sz w:val="18"/>
          <w:szCs w:val="18"/>
        </w:rPr>
        <w:t xml:space="preserve">Summary 1</w:t>
      </w:r>
      <w:r>
        <w:rPr>
          <w:color w:val="6B7280"/>
          <w:sz w:val="16"/>
          <w:szCs w:val="16"/>
        </w:rPr>
        <w:t xml:space="preserve">      gaps 7–11</w:t>
      </w:r>
    </w:p>
    <w:p>
      <w:pPr>
        <w:spacing w:before="20" w:after="20" w:line="360" w:lineRule="auto"/>
        <w:ind w:left="200"/>
      </w:pPr>
      <w:r>
        <w:rPr>
          <w:sz w:val="19"/>
          <w:szCs w:val="19"/>
        </w:rPr>
        <w:t xml:space="preserve">The commonest fault is too many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board that reviews forty numbers reviews none of them,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whose bonus depends on a long list will work 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easiest to move.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commonest is a measure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owns. </w:t>
      </w:r>
      <w:r>
        <w:rPr>
          <w:sz w:val="19"/>
          <w:szCs w:val="19"/>
        </w:rPr>
        <w:t xml:space="preserve">Every measure on the Orontes scorecard has a manager who can influence it, which is the controllability principle.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reviews   ·   measures   ·   managers   ·   second   ·   whichever   ·   nobody</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18.3  What makes a scorecard effective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Four to six a perspective, not forty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Every measure traces to a critical success factor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Training and changeover time, not only return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whichever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Changeover time belongs to the plant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Data available often enough to act 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nobody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Reviewed with the plan each year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commonest fault is too many measures. A board that reviews forty numbers reviews none of them, and managers whose bonus depends on a long list will work on whichever is easiest to move. The second commonest is a measure nobody owns. Every measure on the Orontes scorecard has a manager who can influence it, which is the controllability principle.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18.4  The strategy map</w:t>
            </w:r>
          </w:p>
          <w:p>
            <w:pPr>
              <w:spacing w:before="0" w:after="46"/>
            </w:pPr>
            <w:r>
              <w:rPr>
                <w:color w:val="E8EAF6"/>
                <w:sz w:val="16"/>
                <w:szCs w:val="16"/>
              </w:rPr>
              <w:t xml:space="preserve">Chapter 18 · section 18.4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A strategy map draws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links between the objectives in the four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It is read upward: investment in people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processes, better processes satisfy customers,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customers produce the financial result. </w:t>
      </w:r>
      <w:r>
        <w:rPr>
          <w:sz w:val="19"/>
          <w:szCs w:val="19"/>
        </w:rPr>
        <w:t xml:space="preserve">The map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why leading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matter. </w:t>
      </w:r>
      <w:r>
        <w:rPr>
          <w:sz w:val="19"/>
          <w:szCs w:val="19"/>
        </w:rPr>
        <w:t xml:space="preserve">Training hours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time move before the financial result does, so they give warning while there is still time to act. </w:t>
      </w:r>
      <w:r>
        <w:rPr>
          <w:sz w:val="19"/>
          <w:szCs w:val="19"/>
        </w:rPr>
        <w:t xml:space="preserve">A lagging indicator such as return on investment reports a year that is already over.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satisfied   ·   improves   ·   changeover   ·   indicators   ·   perspectives   ·   cause-and-effect   ·   explains   ·   objectives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خريطة الاستراتيجية   ·   leading indicator   ·   strategy map</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54"/>
        <w:gridCol w:w="464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2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0"/>
            <w:tcMar>
              <w:top w:type="dxa" w:w="50"/>
              <w:left w:type="dxa" w:w="110"/>
              <w:bottom w:type="dxa" w:w="50"/>
              <w:right w:type="dxa" w:w="110"/>
            </w:tcMar>
          </w:tcPr>
          <w:p>
            <w:pPr>
              <w:spacing w:before="26" w:after="26"/>
            </w:pPr>
            <w:r>
              <w:rPr>
                <w:color w:val="232733"/>
                <w:sz w:val="16"/>
                <w:szCs w:val="16"/>
              </w:rPr>
              <w:t xml:space="preserve">strategy map</w:t>
            </w:r>
          </w:p>
        </w:tc>
        <w:tc>
          <w:tcPr>
            <w:tcW w:type="pct" w:w="2420"/>
            <w:tcMar>
              <w:top w:type="dxa" w:w="50"/>
              <w:left w:type="dxa" w:w="110"/>
              <w:bottom w:type="dxa" w:w="50"/>
              <w:right w:type="dxa" w:w="110"/>
            </w:tcMar>
          </w:tcPr>
          <w:p>
            <w:pPr>
              <w:spacing w:before="26" w:after="26"/>
            </w:pPr>
            <w:r>
              <w:rPr>
                <w:color w:val="232733"/>
                <w:sz w:val="16"/>
                <w:szCs w:val="16"/>
              </w:rPr>
              <w:t xml:space="preserve">خريطة الاستراتيجية</w:t>
            </w:r>
          </w:p>
        </w:tc>
      </w:tr>
      <w:tr>
        <w:tc>
          <w:tcPr>
            <w:tcW w:type="pct" w:w="2580"/>
            <w:shd w:fill="FBFAF6" w:val="clear"/>
            <w:tcMar>
              <w:top w:type="dxa" w:w="50"/>
              <w:left w:type="dxa" w:w="110"/>
              <w:bottom w:type="dxa" w:w="50"/>
              <w:right w:type="dxa" w:w="110"/>
            </w:tcMar>
          </w:tcPr>
          <w:p>
            <w:pPr>
              <w:spacing w:before="26" w:after="26"/>
            </w:pPr>
            <w:r>
              <w:rPr>
                <w:color w:val="232733"/>
                <w:sz w:val="16"/>
                <w:szCs w:val="16"/>
              </w:rPr>
              <w:t xml:space="preserve">leading indicator</w:t>
            </w:r>
          </w:p>
        </w:tc>
        <w:tc>
          <w:tcPr>
            <w:tcW w:type="pct" w:w="2420"/>
            <w:shd w:fill="FBFAF6" w:val="clear"/>
            <w:tcMar>
              <w:top w:type="dxa" w:w="50"/>
              <w:left w:type="dxa" w:w="110"/>
              <w:bottom w:type="dxa" w:w="50"/>
              <w:right w:type="dxa" w:w="110"/>
            </w:tcMar>
          </w:tcPr>
          <w:p>
            <w:pPr>
              <w:spacing w:before="26" w:after="26"/>
            </w:pPr>
            <w:r>
              <w:rPr>
                <w:color w:val="232733"/>
                <w:sz w:val="16"/>
                <w:szCs w:val="16"/>
              </w:rPr>
              <w:t xml:space="preserve">مؤشر استباقي</w:t>
            </w:r>
          </w:p>
        </w:tc>
      </w:tr>
      <w:tr>
        <w:tc>
          <w:tcPr>
            <w:tcW w:type="pct" w:w="2580"/>
            <w:tcMar>
              <w:top w:type="dxa" w:w="50"/>
              <w:left w:type="dxa" w:w="110"/>
              <w:bottom w:type="dxa" w:w="50"/>
              <w:right w:type="dxa" w:w="110"/>
            </w:tcMar>
          </w:tcPr>
          <w:p>
            <w:pPr>
              <w:spacing w:before="26" w:after="26"/>
            </w:pPr>
            <w:r>
              <w:rPr>
                <w:color w:val="232733"/>
                <w:sz w:val="16"/>
                <w:szCs w:val="16"/>
              </w:rPr>
              <w:t xml:space="preserve">lagging indicator</w:t>
            </w:r>
          </w:p>
        </w:tc>
        <w:tc>
          <w:tcPr>
            <w:tcW w:type="pct" w:w="2420"/>
            <w:tcMar>
              <w:top w:type="dxa" w:w="50"/>
              <w:left w:type="dxa" w:w="110"/>
              <w:bottom w:type="dxa" w:w="50"/>
              <w:right w:type="dxa" w:w="110"/>
            </w:tcMar>
          </w:tcPr>
          <w:p>
            <w:pPr>
              <w:spacing w:before="26" w:after="26"/>
            </w:pPr>
            <w:r>
              <w:rPr>
                <w:color w:val="232733"/>
                <w:sz w:val="16"/>
                <w:szCs w:val="16"/>
              </w:rPr>
              <w:t xml:space="preserve">مؤشر لاحق</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18.4  The strategy map</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cause-and-effect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indicators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perspectives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changeover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improves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strategy map</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satisfied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leading indicator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explains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strategy map draws the cause-and-effect links between the objectives in the four perspectives. It is read upward: investment in people improves processes, better processes satisfy customers, and satisfied customers produce the financial result. The map explains why leading indicators matter. Training hours and changeover time move before the financial result does, so they give warning while there is still time to act. A lagging indicator such as return on investment reports a year that is already over.</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18.5  Reading a scorecard and reporting it</w:t>
            </w:r>
          </w:p>
          <w:p>
            <w:pPr>
              <w:spacing w:before="0" w:after="46"/>
            </w:pPr>
            <w:r>
              <w:rPr>
                <w:color w:val="E8EAF6"/>
                <w:sz w:val="16"/>
                <w:szCs w:val="16"/>
              </w:rPr>
              <w:t xml:space="preserve">Chapter 18 · section 18.5</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what the 2028 scorecard says</w:t>
            </w:r>
          </w:p>
        </w:tc>
      </w:tr>
    </w:tbl>
    <w:p/>
    <w:p>
      <w:pPr>
        <w:spacing w:before="20" w:after="20" w:line="360" w:lineRule="auto"/>
        <w:ind w:left="200"/>
      </w:pPr>
      <w:r>
        <w:rPr>
          <w:sz w:val="19"/>
          <w:szCs w:val="19"/>
        </w:rPr>
        <w:t xml:space="preserve">Every financial measure was met, and only two of the six customer and internal-process measures.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reading the 2028 scorecard</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Perspective</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Result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says</w:t>
            </w:r>
          </w:p>
        </w:tc>
      </w:tr>
      <w:tr>
        <w:tc>
          <w:tcPr>
            <w:tcW w:type="pct" w:w="2042"/>
            <w:tcMar>
              <w:top w:type="dxa" w:w="50"/>
              <w:left w:type="dxa" w:w="110"/>
              <w:bottom w:type="dxa" w:w="50"/>
              <w:right w:type="dxa" w:w="110"/>
            </w:tcMar>
          </w:tcPr>
          <w:p>
            <w:pPr>
              <w:spacing w:before="28" w:after="28"/>
            </w:pPr>
            <w:r>
              <w:rPr>
                <w:sz w:val="15"/>
                <w:szCs w:val="15"/>
              </w:rPr>
              <w:t xml:space="preserve">The financial perspective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200"/>
            <w:tcMar>
              <w:top w:type="dxa" w:w="50"/>
              <w:left w:type="dxa" w:w="110"/>
              <w:bottom w:type="dxa" w:w="50"/>
              <w:right w:type="dxa" w:w="110"/>
            </w:tcMar>
          </w:tcPr>
          <w:p>
            <w:pPr>
              <w:spacing w:before="28" w:after="28"/>
            </w:pPr>
            <w:r>
              <w:rPr>
                <w:sz w:val="15"/>
                <w:szCs w:val="15"/>
              </w:rPr>
              <w:t xml:space="preserve">The year was good. These are lagging indicators</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The customer perspective</w:t>
            </w:r>
          </w:p>
        </w:tc>
        <w:tc>
          <w:tcPr>
            <w:tcW w:type="pct" w:w="758"/>
            <w:shd w:fill="FBFAF6" w:val="clear"/>
            <w:tcMar>
              <w:top w:type="dxa" w:w="50"/>
              <w:left w:type="dxa" w:w="110"/>
              <w:bottom w:type="dxa" w:w="50"/>
              <w:right w:type="dxa" w:w="110"/>
            </w:tcMar>
          </w:tcPr>
          <w:p>
            <w:pPr>
              <w:spacing w:before="28" w:after="28"/>
            </w:pPr>
            <w:r>
              <w:rPr>
                <w:sz w:val="15"/>
                <w:szCs w:val="15"/>
              </w:rPr>
              <w:t xml:space="preserve">1 of 3 met</w:t>
            </w:r>
          </w:p>
        </w:tc>
        <w:tc>
          <w:tcPr>
            <w:tcW w:type="pct" w:w="2200"/>
            <w:shd w:fill="FBFAF6" w:val="clear"/>
            <w:tcMar>
              <w:top w:type="dxa" w:w="50"/>
              <w:left w:type="dxa" w:w="110"/>
              <w:bottom w:type="dxa" w:w="50"/>
              <w:right w:type="dxa" w:w="110"/>
            </w:tcMar>
          </w:tcPr>
          <w:p>
            <w:pPr>
              <w:spacing w:before="28" w:after="28"/>
            </w:pPr>
            <w:r>
              <w:rPr>
                <w:sz w:val="15"/>
                <w:szCs w:val="15"/>
              </w:rPr>
              <w:t xml:space="preserve">Export share and </w:t>
            </w:r>
            <w:r>
              <w:rPr>
                <w:b/>
                <w:bCs/>
                <w:color w:val="8186EF"/>
                <w:sz w:val="14"/>
                <w:szCs w:val="14"/>
              </w:rPr>
              <w:t xml:space="preserve"> (2) </w:t>
            </w:r>
            <w:r>
              <w:rPr>
                <w:u w:val="single"/>
                <w:sz w:val="15"/>
                <w:szCs w:val="15"/>
              </w:rPr>
              <w:t xml:space="preserve">              </w:t>
            </w:r>
            <w:r>
              <w:rPr>
                <w:sz w:val="15"/>
                <w:szCs w:val="15"/>
              </w:rPr>
              <w:t xml:space="preserve"> </w:t>
            </w:r>
            <w:r>
              <w:rPr>
                <w:sz w:val="15"/>
                <w:szCs w:val="15"/>
              </w:rPr>
              <w:t xml:space="preserve"> both missed: the strategy of Chapter 1 is behind</w:t>
            </w:r>
          </w:p>
        </w:tc>
      </w:tr>
      <w:tr>
        <w:tc>
          <w:tcPr>
            <w:tcW w:type="pct" w:w="2042"/>
            <w:tcMar>
              <w:top w:type="dxa" w:w="50"/>
              <w:left w:type="dxa" w:w="110"/>
              <w:bottom w:type="dxa" w:w="50"/>
              <w:right w:type="dxa" w:w="110"/>
            </w:tcMar>
          </w:tcPr>
          <w:p>
            <w:pPr>
              <w:spacing w:before="28" w:after="28"/>
            </w:pPr>
            <w:r>
              <w:rPr>
                <w:sz w:val="15"/>
                <w:szCs w:val="15"/>
              </w:rPr>
              <w:t xml:space="preserve">Internal process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Changeover time explains the variances of Chapters 12 and 14</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Learning and growth</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Training is on track, but new products are not</w:t>
            </w:r>
          </w:p>
        </w:tc>
      </w:tr>
      <w:tr>
        <w:tc>
          <w:tcPr>
            <w:tcW w:type="pct" w:w="2042"/>
            <w:tcMar>
              <w:top w:type="dxa" w:w="50"/>
              <w:left w:type="dxa" w:w="110"/>
              <w:bottom w:type="dxa" w:w="50"/>
              <w:right w:type="dxa" w:w="110"/>
            </w:tcMar>
          </w:tcPr>
          <w:p>
            <w:pPr>
              <w:spacing w:before="28" w:after="28"/>
            </w:pPr>
            <w:r>
              <w:rPr>
                <w:sz w:val="15"/>
                <w:szCs w:val="15"/>
              </w:rPr>
              <w:t xml:space="preserve">Overall</w:t>
            </w:r>
          </w:p>
        </w:tc>
        <w:tc>
          <w:tcPr>
            <w:tcW w:type="pct" w:w="758"/>
            <w:tcMar>
              <w:top w:type="dxa" w:w="50"/>
              <w:left w:type="dxa" w:w="110"/>
              <w:bottom w:type="dxa" w:w="50"/>
              <w:right w:type="dxa" w:w="110"/>
            </w:tcMar>
          </w:tcPr>
          <w:p>
            <w:pPr>
              <w:spacing w:before="28" w:after="28"/>
            </w:pPr>
            <w:r>
              <w:rPr>
                <w:sz w:val="15"/>
                <w:szCs w:val="15"/>
              </w:rPr>
              <w:t xml:space="preserve">7 of 12 met</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 of 3 met   ·   Good results now, weak drivers for next year   ·   delivery   ·   3 of 3 met   ·   learning and growth perspective   ·   2 of 3 met</w:t>
            </w:r>
          </w:p>
        </w:tc>
      </w:tr>
    </w:tbl>
    <w:p/>
    <w:p>
      <w:pPr>
        <w:spacing w:before="44" w:after="14"/>
      </w:pPr>
      <w:r>
        <w:rPr>
          <w:b/>
          <w:bCs/>
          <w:color w:val="353A7C"/>
          <w:sz w:val="18"/>
          <w:szCs w:val="18"/>
        </w:rPr>
        <w:t xml:space="preserve">Summary 1</w:t>
      </w:r>
      <w:r>
        <w:rPr>
          <w:color w:val="6B7280"/>
          <w:sz w:val="16"/>
          <w:szCs w:val="16"/>
        </w:rPr>
        <w:t xml:space="preserve">      gaps 6–9</w:t>
      </w:r>
    </w:p>
    <w:p>
      <w:pPr>
        <w:spacing w:before="20" w:after="20" w:line="360" w:lineRule="auto"/>
        <w:ind w:left="200"/>
      </w:pP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reading is that 2028 was a good year that is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good 2029. </w:t>
      </w:r>
      <w:r>
        <w:rPr>
          <w:sz w:val="19"/>
          <w:szCs w:val="19"/>
        </w:rPr>
        <w:t xml:space="preserve">Export share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both missed, and those are the drivers of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set. </w:t>
      </w:r>
      <w:r>
        <w:rPr>
          <w:sz w:val="19"/>
          <w:szCs w:val="19"/>
        </w:rPr>
        <w:t xml:space="preserve">How often each measure is reported matters as much as the measure itself.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strategy   ·   delivery   ·   building   ·   board's   ·   measure</w:t>
            </w:r>
          </w:p>
        </w:tc>
      </w:tr>
    </w:tbl>
    <w:p/>
    <w:p>
      <w:pPr>
        <w:spacing w:before="44" w:after="10"/>
      </w:pPr>
      <w:r>
        <w:rPr>
          <w:b/>
          <w:bCs/>
          <w:color w:val="353A7C"/>
          <w:sz w:val="18"/>
          <w:szCs w:val="18"/>
        </w:rPr>
        <w:t xml:space="preserve">How often each measure is reported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0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0672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Return on investment   ·   Scrap rate   ·   Residual income (USD)   ·   Revenue growth   ·   Complaints per 1,000 cases   ·   New products share of revenue   ·   Export share of revenue   ·   Staff turnover   ·   Energy a case (kWh)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Match the interval to the decision</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18–19</w:t>
      </w:r>
    </w:p>
    <w:p>
      <w:pPr>
        <w:spacing w:before="20" w:after="20" w:line="360" w:lineRule="auto"/>
        <w:ind w:left="200"/>
      </w:pPr>
      <w:r>
        <w:rPr>
          <w:sz w:val="19"/>
          <w:szCs w:val="19"/>
        </w:rPr>
        <w:t xml:space="preserve">A measure should be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as often as it can change and be acted on. </w:t>
      </w:r>
      <w:r>
        <w:rPr>
          <w:sz w:val="19"/>
          <w:szCs w:val="19"/>
        </w:rPr>
        <w:t xml:space="preserve">Monthly reporting of a daily problem wastes a month; daily reporting of an annual measure wastes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   attention   ·   reported</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18.5  Reading a scorecard and reporting 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3 of 3 met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Revenue growth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Export share of 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1 of 3 met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Complaints per 1,000 cases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2 of 3 met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Energy a case (kWh)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Good results now, weak drivers for next year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Scrap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board's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New products share of 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Staff turnover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reported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strategy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attention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Return on investment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board's reading is that 2028 was a good year that is not building a good 2029. Export share and delivery both missed, and those are the drivers of the strategy set. How often each measure is reported matters as much as the measure itself.</w:t>
      </w:r>
    </w:p>
    <w:p>
      <w:pPr>
        <w:spacing w:before="20" w:after="20"/>
        <w:ind w:left="240" w:hanging="240"/>
      </w:pPr>
      <w:r>
        <w:rPr>
          <w:b/>
          <w:bCs/>
          <w:color w:val="353A7C"/>
          <w:sz w:val="15"/>
          <w:szCs w:val="15"/>
        </w:rPr>
        <w:t xml:space="preserve">Summary 2   </w:t>
      </w:r>
      <w:r>
        <w:rPr>
          <w:color w:val="6B7280"/>
          <w:sz w:val="15"/>
          <w:szCs w:val="15"/>
        </w:rPr>
        <w:t xml:space="preserve">A measure should be reported as often as it can change and be acted on. Monthly reporting of a daily problem wastes a month; daily reporting of an annual measure wastes attention.</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18.6  Extended Example 18A: recommending measures for next year</w:t>
            </w:r>
          </w:p>
          <w:p>
            <w:pPr>
              <w:spacing w:before="0" w:after="46"/>
            </w:pPr>
            <w:r>
              <w:rPr>
                <w:color w:val="E8EAF6"/>
                <w:sz w:val="16"/>
                <w:szCs w:val="16"/>
              </w:rPr>
              <w:t xml:space="preserve">Chapter 18 · section 18.6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board asks for a short list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put right what 2028 missed, for use in 2029. </w:t>
      </w:r>
      <w:r>
        <w:rPr>
          <w:sz w:val="19"/>
          <w:szCs w:val="19"/>
        </w:rPr>
        <w:t xml:space="preserve">This example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builds   ·   targets   ·   measures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90"/>
        <w:gridCol w:w="4224"/>
        <w:gridCol w:w="1091"/>
        <w:gridCol w:w="159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recommended measures for next year</w:t>
            </w:r>
          </w:p>
        </w:tc>
      </w:tr>
      <w:tr>
        <w:tc>
          <w:tcPr>
            <w:tcW w:type="pct" w:w="1401"/>
            <w:shd w:fill="353A7C" w:val="clear"/>
            <w:tcMar>
              <w:top w:type="dxa" w:w="50"/>
              <w:left w:type="dxa" w:w="110"/>
              <w:bottom w:type="dxa" w:w="50"/>
              <w:right w:type="dxa" w:w="110"/>
            </w:tcMar>
          </w:tcPr>
          <w:p>
            <w:pPr>
              <w:spacing w:before="30" w:after="30"/>
            </w:pPr>
            <w:r>
              <w:rPr>
                <w:b/>
                <w:bCs/>
                <w:color w:val="FFFFFF"/>
                <w:sz w:val="15"/>
                <w:szCs w:val="15"/>
              </w:rPr>
              <w:t xml:space="preserve">Operational goal (C.3.r)</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Recommended measure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Reported</w:t>
            </w:r>
          </w:p>
        </w:tc>
        <w:tc>
          <w:tcPr>
            <w:tcW w:type="pct" w:w="831"/>
            <w:shd w:fill="353A7C" w:val="clear"/>
            <w:tcMar>
              <w:top w:type="dxa" w:w="50"/>
              <w:left w:type="dxa" w:w="110"/>
              <w:bottom w:type="dxa" w:w="50"/>
              <w:right w:type="dxa" w:w="110"/>
            </w:tcMar>
          </w:tcPr>
          <w:p>
            <w:pPr>
              <w:spacing w:before="30" w:after="30"/>
            </w:pPr>
            <w:r>
              <w:rPr>
                <w:b/>
                <w:bCs/>
                <w:color w:val="FFFFFF"/>
                <w:sz w:val="15"/>
                <w:szCs w:val="15"/>
              </w:rPr>
              <w:t xml:space="preserve">Owner</w:t>
            </w:r>
          </w:p>
        </w:tc>
      </w:tr>
      <w:tr>
        <w:tc>
          <w:tcPr>
            <w:tcW w:type="pct" w:w="1401"/>
            <w:tcMar>
              <w:top w:type="dxa" w:w="50"/>
              <w:left w:type="dxa" w:w="110"/>
              <w:bottom w:type="dxa" w:w="50"/>
              <w:right w:type="dxa" w:w="110"/>
            </w:tcMar>
          </w:tcPr>
          <w:p>
            <w:pPr>
              <w:spacing w:before="28" w:after="28"/>
            </w:pPr>
            <w:r>
              <w:rPr>
                <w:sz w:val="15"/>
                <w:szCs w:val="15"/>
              </w:rPr>
              <w:t xml:space="preserve">Shorten changeovers</w:t>
            </w:r>
          </w:p>
        </w:tc>
        <w:tc>
          <w:tcPr>
            <w:tcW w:type="pct" w:w="2200"/>
            <w:tcMar>
              <w:top w:type="dxa" w:w="50"/>
              <w:left w:type="dxa" w:w="110"/>
              <w:bottom w:type="dxa" w:w="50"/>
              <w:right w:type="dxa" w:w="110"/>
            </w:tcMar>
          </w:tcPr>
          <w:p>
            <w:pPr>
              <w:spacing w:before="28" w:after="28"/>
            </w:pPr>
            <w:r>
              <w:rPr>
                <w:sz w:val="15"/>
                <w:szCs w:val="15"/>
              </w:rPr>
              <w:t xml:space="preserve">Changeover time in minutes</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831"/>
            <w:tcMar>
              <w:top w:type="dxa" w:w="50"/>
              <w:left w:type="dxa" w:w="110"/>
              <w:bottom w:type="dxa" w:w="50"/>
              <w:right w:type="dxa" w:w="110"/>
            </w:tcMar>
          </w:tcPr>
          <w:p>
            <w:pPr>
              <w:spacing w:before="28" w:after="28"/>
            </w:pPr>
            <w:r>
              <w:rPr>
                <w:sz w:val="15"/>
                <w:szCs w:val="15"/>
              </w:rPr>
              <w:t xml:space="preserve">Plant manager</w:t>
            </w:r>
          </w:p>
        </w:tc>
      </w:tr>
      <w:tr>
        <w:tc>
          <w:tcPr>
            <w:tcW w:type="pct" w:w="1401"/>
            <w:shd w:fill="FBFAF6" w:val="clear"/>
            <w:tcMar>
              <w:top w:type="dxa" w:w="50"/>
              <w:left w:type="dxa" w:w="110"/>
              <w:bottom w:type="dxa" w:w="50"/>
              <w:right w:type="dxa" w:w="110"/>
            </w:tcMar>
          </w:tcPr>
          <w:p>
            <w:pPr>
              <w:spacing w:before="28" w:after="28"/>
            </w:pPr>
            <w:r>
              <w:rPr>
                <w:sz w:val="15"/>
                <w:szCs w:val="15"/>
              </w:rPr>
              <w:t xml:space="preserve">Improve delivery</w:t>
            </w:r>
          </w:p>
        </w:tc>
        <w:tc>
          <w:tcPr>
            <w:tcW w:type="pct" w:w="2200"/>
            <w:shd w:fill="FBFAF6" w:val="clear"/>
            <w:tcMar>
              <w:top w:type="dxa" w:w="50"/>
              <w:left w:type="dxa" w:w="110"/>
              <w:bottom w:type="dxa" w:w="50"/>
              <w:right w:type="dxa" w:w="110"/>
            </w:tcMar>
          </w:tcPr>
          <w:p>
            <w:pPr>
              <w:spacing w:before="28" w:after="28"/>
            </w:pPr>
            <w:r>
              <w:rPr>
                <w:sz w:val="15"/>
                <w:szCs w:val="15"/>
              </w:rPr>
              <w:t xml:space="preserve">On-time delivery to Levant and the Gulf</w:t>
            </w:r>
          </w:p>
        </w:tc>
        <w:tc>
          <w:tcPr>
            <w:tcW w:type="pct" w:w="568"/>
            <w:shd w:fill="FBFAF6" w:val="clear"/>
            <w:tcMar>
              <w:top w:type="dxa" w:w="50"/>
              <w:left w:type="dxa" w:w="110"/>
              <w:bottom w:type="dxa" w:w="50"/>
              <w:right w:type="dxa" w:w="110"/>
            </w:tcMar>
          </w:tcPr>
          <w:p>
            <w:pPr>
              <w:spacing w:before="28" w:after="28"/>
            </w:pPr>
            <w:r>
              <w:rPr>
                <w:sz w:val="15"/>
                <w:szCs w:val="15"/>
              </w:rPr>
              <w:t xml:space="preserve">Weekly</w:t>
            </w:r>
          </w:p>
        </w:tc>
        <w:tc>
          <w:tcPr>
            <w:tcW w:type="pct" w:w="831"/>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401"/>
            <w:tcMar>
              <w:top w:type="dxa" w:w="50"/>
              <w:left w:type="dxa" w:w="110"/>
              <w:bottom w:type="dxa" w:w="50"/>
              <w:right w:type="dxa" w:w="110"/>
            </w:tcMar>
          </w:tcPr>
          <w:p>
            <w:pPr>
              <w:spacing w:before="28" w:after="28"/>
            </w:pPr>
            <w:r>
              <w:rPr>
                <w:sz w:val="15"/>
                <w:szCs w:val="15"/>
              </w:rPr>
              <w:t xml:space="preserve">Grow exports</w:t>
            </w:r>
          </w:p>
        </w:tc>
        <w:tc>
          <w:tcPr>
            <w:tcW w:type="pct" w:w="2200"/>
            <w:tcMar>
              <w:top w:type="dxa" w:w="50"/>
              <w:left w:type="dxa" w:w="110"/>
              <w:bottom w:type="dxa" w:w="50"/>
              <w:right w:type="dxa" w:w="110"/>
            </w:tcMar>
          </w:tcPr>
          <w:p>
            <w:pPr>
              <w:spacing w:before="28" w:after="28"/>
            </w:pPr>
            <w:r>
              <w:rPr>
                <w:sz w:val="15"/>
                <w:szCs w:val="15"/>
              </w:rPr>
              <w:t xml:space="preserve">Export share of revenue</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831"/>
            <w:tcMar>
              <w:top w:type="dxa" w:w="50"/>
              <w:left w:type="dxa" w:w="110"/>
              <w:bottom w:type="dxa" w:w="50"/>
              <w:right w:type="dxa" w:w="110"/>
            </w:tcMar>
          </w:tcPr>
          <w:p>
            <w:pPr>
              <w:spacing w:before="28" w:after="28"/>
            </w:pPr>
            <w:r>
              <w:rPr>
                <w:sz w:val="15"/>
                <w:szCs w:val="15"/>
              </w:rPr>
              <w:t xml:space="preserve">Sales director</w:t>
            </w:r>
          </w:p>
        </w:tc>
      </w:tr>
      <w:tr>
        <w:tc>
          <w:tcPr>
            <w:tcW w:type="pct" w:w="1401"/>
            <w:shd w:fill="FBFAF6" w:val="clear"/>
            <w:tcMar>
              <w:top w:type="dxa" w:w="50"/>
              <w:left w:type="dxa" w:w="110"/>
              <w:bottom w:type="dxa" w:w="50"/>
              <w:right w:type="dxa" w:w="110"/>
            </w:tcMar>
          </w:tcPr>
          <w:p>
            <w:pPr>
              <w:spacing w:before="28" w:after="28"/>
            </w:pPr>
            <w:r>
              <w:rPr>
                <w:sz w:val="15"/>
                <w:szCs w:val="15"/>
              </w:rPr>
              <w:t xml:space="preserve">Launch new products</w:t>
            </w:r>
          </w:p>
        </w:tc>
        <w:tc>
          <w:tcPr>
            <w:tcW w:type="pct" w:w="2200"/>
            <w:shd w:fill="FBFAF6" w:val="clear"/>
            <w:tcMar>
              <w:top w:type="dxa" w:w="50"/>
              <w:left w:type="dxa" w:w="110"/>
              <w:bottom w:type="dxa" w:w="50"/>
              <w:right w:type="dxa" w:w="110"/>
            </w:tcMar>
          </w:tcPr>
          <w:p>
            <w:pPr>
              <w:spacing w:before="28" w:after="28"/>
            </w:pPr>
            <w:r>
              <w:rPr>
                <w:sz w:val="15"/>
                <w:szCs w:val="15"/>
              </w:rPr>
              <w:t xml:space="preserve">Share of revenue from products under three years old</w:t>
            </w:r>
          </w:p>
        </w:tc>
        <w:tc>
          <w:tcPr>
            <w:tcW w:type="pct" w:w="568"/>
            <w:shd w:fill="FBFAF6" w:val="clear"/>
            <w:tcMar>
              <w:top w:type="dxa" w:w="50"/>
              <w:left w:type="dxa" w:w="110"/>
              <w:bottom w:type="dxa" w:w="50"/>
              <w:right w:type="dxa" w:w="110"/>
            </w:tcMar>
          </w:tcPr>
          <w:p>
            <w:pPr>
              <w:spacing w:before="28" w:after="28"/>
            </w:pPr>
            <w:r>
              <w:rPr>
                <w:sz w:val="15"/>
                <w:szCs w:val="15"/>
              </w:rPr>
              <w:t xml:space="preserve">Quarterly</w:t>
            </w:r>
          </w:p>
        </w:tc>
        <w:tc>
          <w:tcPr>
            <w:tcW w:type="pct" w:w="831"/>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 managers   ·   Daily   ·   Levant manager   ·   Monthly   ·   strategy map</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Each follows directly from a measure that was missed, each has an owner who can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and together they form one chain of the strategy map rather than four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targets.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influence   ·   directly   ·   unrelated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Residual income on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$2,260,000, is the sum of the three divisions. </w:t>
      </w:r>
      <w:r>
        <w:rPr>
          <w:sz w:val="19"/>
          <w:szCs w:val="19"/>
        </w:rPr>
        <w:t xml:space="preserve">Company return on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12.6% beats the 11.8% objective set.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scorecard   ·   results   ·   investment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11–13</w:t>
      </w:r>
    </w:p>
    <w:p>
      <w:pPr>
        <w:spacing w:before="20" w:after="20" w:line="360" w:lineRule="auto"/>
        <w:ind w:left="200"/>
      </w:pPr>
      <w:r>
        <w:rPr>
          <w:sz w:val="19"/>
          <w:szCs w:val="19"/>
        </w:rPr>
        <w:t xml:space="preserve">Expect a list of measures to sort into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scorecard to read, or a goal for which you must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 measure, an interval and an owner. </w:t>
      </w:r>
      <w:r>
        <w:rPr>
          <w:sz w:val="19"/>
          <w:szCs w:val="19"/>
        </w:rPr>
        <w:t xml:space="preserve">Say what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 results means, not just how many were met.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   pattern   ·   recommend   ·   perspectives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Tahini &amp; Spreads, one quarter</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Target</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Actual</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400"/>
            <w:tcMar>
              <w:top w:type="dxa" w:w="50"/>
              <w:left w:type="dxa" w:w="110"/>
              <w:bottom w:type="dxa" w:w="50"/>
              <w:right w:type="dxa" w:w="110"/>
            </w:tcMar>
          </w:tcPr>
          <w:p>
            <w:pPr>
              <w:spacing w:before="28" w:after="28"/>
            </w:pPr>
            <w:r>
              <w:rPr>
                <w:sz w:val="15"/>
                <w:szCs w:val="15"/>
              </w:rPr>
              <w:t xml:space="preserve">840,000</w:t>
            </w:r>
          </w:p>
        </w:tc>
        <w:tc>
          <w:tcPr>
            <w:tcW w:type="pct" w:w="1400"/>
            <w:tcMar>
              <w:top w:type="dxa" w:w="50"/>
              <w:left w:type="dxa" w:w="110"/>
              <w:bottom w:type="dxa" w:w="50"/>
              <w:right w:type="dxa" w:w="110"/>
            </w:tcMar>
          </w:tcPr>
          <w:p>
            <w:pPr>
              <w:spacing w:before="28" w:after="28"/>
            </w:pPr>
            <w:r>
              <w:rPr>
                <w:sz w:val="15"/>
                <w:szCs w:val="15"/>
              </w:rPr>
              <w:t xml:space="preserve">812,000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400"/>
            <w:shd w:fill="FBFAF6" w:val="clear"/>
            <w:tcMar>
              <w:top w:type="dxa" w:w="50"/>
              <w:left w:type="dxa" w:w="110"/>
              <w:bottom w:type="dxa" w:w="50"/>
              <w:right w:type="dxa" w:w="110"/>
            </w:tcMar>
          </w:tcPr>
          <w:p>
            <w:pPr>
              <w:spacing w:before="28" w:after="28"/>
            </w:pPr>
            <w:r>
              <w:rPr>
                <w:sz w:val="15"/>
                <w:szCs w:val="15"/>
              </w:rPr>
              <w:t xml:space="preserve">95%</w:t>
            </w:r>
          </w:p>
        </w:tc>
        <w:tc>
          <w:tcPr>
            <w:tcW w:type="pct" w:w="1400"/>
            <w:shd w:fill="FBFAF6" w:val="clear"/>
            <w:tcMar>
              <w:top w:type="dxa" w:w="50"/>
              <w:left w:type="dxa" w:w="110"/>
              <w:bottom w:type="dxa" w:w="50"/>
              <w:right w:type="dxa" w:w="110"/>
            </w:tcMar>
          </w:tcPr>
          <w:p>
            <w:pPr>
              <w:spacing w:before="28" w:after="28"/>
            </w:pPr>
            <w:r>
              <w:rPr>
                <w:sz w:val="15"/>
                <w:szCs w:val="15"/>
              </w:rPr>
              <w:t xml:space="preserve">97%</w:t>
            </w:r>
          </w:p>
        </w:tc>
      </w:tr>
      <w:tr>
        <w:tc>
          <w:tcPr>
            <w:tcW w:type="pct" w:w="2200"/>
            <w:tcMar>
              <w:top w:type="dxa" w:w="50"/>
              <w:left w:type="dxa" w:w="110"/>
              <w:bottom w:type="dxa" w:w="50"/>
              <w:right w:type="dxa" w:w="110"/>
            </w:tcMar>
          </w:tcPr>
          <w:p>
            <w:pPr>
              <w:spacing w:before="28" w:after="28"/>
            </w:pPr>
            <w:r>
              <w:rPr>
                <w:sz w:val="15"/>
                <w:szCs w:val="15"/>
              </w:rPr>
              <w:t xml:space="preserve">Sesame yield (kg of paste a kg of seed)</w:t>
            </w:r>
          </w:p>
        </w:tc>
        <w:tc>
          <w:tcPr>
            <w:tcW w:type="pct" w:w="1400"/>
            <w:tcMar>
              <w:top w:type="dxa" w:w="50"/>
              <w:left w:type="dxa" w:w="110"/>
              <w:bottom w:type="dxa" w:w="50"/>
              <w:right w:type="dxa" w:w="110"/>
            </w:tcMar>
          </w:tcPr>
          <w:p>
            <w:pPr>
              <w:spacing w:before="28" w:after="28"/>
            </w:pPr>
            <w:r>
              <w:rPr>
                <w:sz w:val="15"/>
                <w:szCs w:val="15"/>
              </w:rPr>
              <w:t xml:space="preserve">0.62</w:t>
            </w:r>
          </w:p>
        </w:tc>
        <w:tc>
          <w:tcPr>
            <w:tcW w:type="pct" w:w="1400"/>
            <w:tcMar>
              <w:top w:type="dxa" w:w="50"/>
              <w:left w:type="dxa" w:w="110"/>
              <w:bottom w:type="dxa" w:w="50"/>
              <w:right w:type="dxa" w:w="110"/>
            </w:tcMar>
          </w:tcPr>
          <w:p>
            <w:pPr>
              <w:spacing w:before="28" w:after="28"/>
            </w:pPr>
            <w:r>
              <w:rPr>
                <w:sz w:val="15"/>
                <w:szCs w:val="15"/>
              </w:rPr>
              <w:t xml:space="preserve">0.59</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400"/>
            <w:shd w:fill="FBFAF6" w:val="clear"/>
            <w:tcMar>
              <w:top w:type="dxa" w:w="50"/>
              <w:left w:type="dxa" w:w="110"/>
              <w:bottom w:type="dxa" w:w="50"/>
              <w:right w:type="dxa" w:w="110"/>
            </w:tcMar>
          </w:tcPr>
          <w:p>
            <w:pPr>
              <w:spacing w:before="28" w:after="28"/>
            </w:pPr>
            <w:r>
              <w:rPr>
                <w:sz w:val="15"/>
                <w:szCs w:val="15"/>
              </w:rPr>
              <w:t xml:space="preserve">12</w:t>
            </w:r>
          </w:p>
        </w:tc>
        <w:tc>
          <w:tcPr>
            <w:tcW w:type="pct" w:w="1400"/>
            <w:shd w:fill="FBFAF6" w:val="clear"/>
            <w:tcMar>
              <w:top w:type="dxa" w:w="50"/>
              <w:left w:type="dxa" w:w="110"/>
              <w:bottom w:type="dxa" w:w="50"/>
              <w:right w:type="dxa" w:w="110"/>
            </w:tcMar>
          </w:tcPr>
          <w:p>
            <w:pPr>
              <w:spacing w:before="28" w:after="28"/>
            </w:pPr>
            <w:r>
              <w:rPr>
                <w:sz w:val="15"/>
                <w:szCs w:val="15"/>
              </w:rPr>
              <w:t xml:space="preserve">12</w:t>
            </w:r>
          </w:p>
        </w:tc>
      </w:tr>
      <w:tr>
        <w:tc>
          <w:tcPr>
            <w:tcW w:type="pct" w:w="2200"/>
            <w:tcMar>
              <w:top w:type="dxa" w:w="50"/>
              <w:left w:type="dxa" w:w="110"/>
              <w:bottom w:type="dxa" w:w="50"/>
              <w:right w:type="dxa" w:w="110"/>
            </w:tcMar>
          </w:tcPr>
          <w:p>
            <w:pPr>
              <w:spacing w:before="28" w:after="28"/>
            </w:pPr>
            <w:r>
              <w:rPr>
                <w:sz w:val="15"/>
                <w:szCs w:val="15"/>
              </w:rPr>
              <w:t xml:space="preserve">Complaints from supermarkets</w:t>
            </w:r>
          </w:p>
        </w:tc>
        <w:tc>
          <w:tcPr>
            <w:tcW w:type="pct" w:w="1400"/>
            <w:tcMar>
              <w:top w:type="dxa" w:w="50"/>
              <w:left w:type="dxa" w:w="110"/>
              <w:bottom w:type="dxa" w:w="50"/>
              <w:right w:type="dxa" w:w="110"/>
            </w:tcMar>
          </w:tcPr>
          <w:p>
            <w:pPr>
              <w:spacing w:before="28" w:after="28"/>
            </w:pPr>
            <w:r>
              <w:rPr>
                <w:sz w:val="15"/>
                <w:szCs w:val="15"/>
              </w:rPr>
              <w:t xml:space="preserve">5</w:t>
            </w:r>
          </w:p>
        </w:tc>
        <w:tc>
          <w:tcPr>
            <w:tcW w:type="pct" w:w="1400"/>
            <w:tcMar>
              <w:top w:type="dxa" w:w="50"/>
              <w:left w:type="dxa" w:w="110"/>
              <w:bottom w:type="dxa" w:w="50"/>
              <w:right w:type="dxa" w:w="110"/>
            </w:tcMar>
          </w:tcPr>
          <w:p>
            <w:pPr>
              <w:spacing w:before="28" w:after="28"/>
            </w:pPr>
            <w:r>
              <w:rPr>
                <w:sz w:val="15"/>
                <w:szCs w:val="15"/>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Operators trained on the new line   ·   Gulf chain orders delivered in full   ·   Segment margin   ·   Recommended measure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Internal process</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missed; energy 0.47 against 0.48: met; scrap 1.8% against 1.5%: missed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Learning and growth</w:t>
            </w:r>
          </w:p>
        </w:tc>
        <w:tc>
          <w:tcPr>
            <w:tcW w:type="pct" w:w="2600"/>
            <w:shd w:fill="FBFAF6" w:val="clear"/>
            <w:tcMar>
              <w:top w:type="dxa" w:w="50"/>
              <w:left w:type="dxa" w:w="110"/>
              <w:bottom w:type="dxa" w:w="50"/>
              <w:right w:type="dxa" w:w="110"/>
            </w:tcMar>
          </w:tcPr>
          <w:p>
            <w:pPr>
              <w:spacing w:before="28" w:after="28"/>
            </w:pPr>
            <w:r>
              <w:rPr>
                <w:sz w:val="15"/>
                <w:szCs w:val="15"/>
              </w:rPr>
              <w:t xml:space="preserve">Training 15.2 against 14.4: met; new products 5.1% against 7.8%: missed; turnover 7% against 8%: met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Changeover time 42 against 30   ·   Tahini &amp; Spreads, one quarter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Measure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Measure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Segment margin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Gulf chain orders delivered in full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600"/>
            <w:tcMar>
              <w:top w:type="dxa" w:w="50"/>
              <w:left w:type="dxa" w:w="110"/>
              <w:bottom w:type="dxa" w:w="50"/>
              <w:right w:type="dxa" w:w="110"/>
            </w:tcMar>
          </w:tcPr>
          <w:p>
            <w:pPr>
              <w:spacing w:before="28" w:after="28"/>
            </w:pPr>
            <w:r>
              <w:rPr>
                <w:sz w:val="15"/>
                <w:szCs w:val="15"/>
              </w:rPr>
              <w:t xml:space="preserve">Sesame yield a kilogram of seed</w:t>
            </w:r>
          </w:p>
        </w:tc>
        <w:tc>
          <w:tcPr>
            <w:tcW w:type="pct" w:w="2400"/>
            <w:tcMar>
              <w:top w:type="dxa" w:w="50"/>
              <w:left w:type="dxa" w:w="110"/>
              <w:bottom w:type="dxa" w:w="50"/>
              <w:right w:type="dxa" w:w="110"/>
            </w:tcMar>
          </w:tcPr>
          <w:p>
            <w:pPr>
              <w:spacing w:before="28" w:after="28"/>
            </w:pPr>
            <w:r>
              <w:rPr>
                <w:sz w:val="15"/>
                <w:szCs w:val="15"/>
              </w:rPr>
              <w:t xml:space="preserve">Internal process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Operators trained on the new line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tcMar>
              <w:top w:type="dxa" w:w="50"/>
              <w:left w:type="dxa" w:w="110"/>
              <w:bottom w:type="dxa" w:w="50"/>
              <w:right w:type="dxa" w:w="110"/>
            </w:tcMar>
          </w:tcPr>
          <w:p>
            <w:pPr>
              <w:spacing w:before="28" w:after="28"/>
            </w:pPr>
            <w:r>
              <w:rPr>
                <w:sz w:val="15"/>
                <w:szCs w:val="15"/>
              </w:rPr>
              <w:t xml:space="preserve">Complaints from supermarkets</w:t>
            </w:r>
          </w:p>
        </w:tc>
        <w:tc>
          <w:tcPr>
            <w:tcW w:type="pct" w:w="2400"/>
            <w:tcMar>
              <w:top w:type="dxa" w:w="50"/>
              <w:left w:type="dxa" w:w="110"/>
              <w:bottom w:type="dxa" w:w="50"/>
              <w:right w:type="dxa" w:w="110"/>
            </w:tcMar>
          </w:tcPr>
          <w:p>
            <w:pPr>
              <w:spacing w:before="28" w:after="28"/>
            </w:pPr>
            <w:r>
              <w:rPr>
                <w:sz w:val="15"/>
                <w:szCs w:val="15"/>
              </w:rPr>
              <w:t xml:space="preserve">Customer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   ·   Financial   ·   Learning and growth   ·   Recommended measure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strategy map   ·   خريطة الاستراتيجية   ·   balanced scorecard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critical success factor (CSF)</w:t>
            </w:r>
          </w:p>
        </w:tc>
        <w:tc>
          <w:tcPr>
            <w:tcW w:type="pct" w:w="2400"/>
            <w:tcMar>
              <w:top w:type="dxa" w:w="50"/>
              <w:left w:type="dxa" w:w="110"/>
              <w:bottom w:type="dxa" w:w="50"/>
              <w:right w:type="dxa" w:w="110"/>
            </w:tcMar>
          </w:tcPr>
          <w:p>
            <w:pPr>
              <w:spacing w:before="26" w:after="26"/>
            </w:pPr>
            <w:r>
              <w:rPr>
                <w:color w:val="232733"/>
                <w:sz w:val="16"/>
                <w:szCs w:val="16"/>
              </w:rPr>
              <w:t xml:space="preserve">عامل النجاح الحاسم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balanced scorecard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بطاقة الأداء المتوازن</w:t>
            </w:r>
          </w:p>
        </w:tc>
      </w:tr>
      <w:tr>
        <w:tc>
          <w:tcPr>
            <w:tcW w:type="pct" w:w="2600"/>
            <w:tcMar>
              <w:top w:type="dxa" w:w="50"/>
              <w:left w:type="dxa" w:w="110"/>
              <w:bottom w:type="dxa" w:w="50"/>
              <w:right w:type="dxa" w:w="110"/>
            </w:tcMar>
          </w:tcPr>
          <w:p>
            <w:pPr>
              <w:spacing w:before="26" w:after="26"/>
            </w:pPr>
            <w:r>
              <w:rPr>
                <w:color w:val="232733"/>
                <w:sz w:val="16"/>
                <w:szCs w:val="16"/>
              </w:rPr>
              <w:t xml:space="preserve">strategy map</w:t>
            </w:r>
          </w:p>
        </w:tc>
        <w:tc>
          <w:tcPr>
            <w:tcW w:type="pct" w:w="2400"/>
            <w:tcMar>
              <w:top w:type="dxa" w:w="50"/>
              <w:left w:type="dxa" w:w="110"/>
              <w:bottom w:type="dxa" w:w="50"/>
              <w:right w:type="dxa" w:w="110"/>
            </w:tcMar>
          </w:tcPr>
          <w:p>
            <w:pPr>
              <w:spacing w:before="26" w:after="26"/>
            </w:pPr>
            <w:r>
              <w:rPr>
                <w:color w:val="232733"/>
                <w:sz w:val="16"/>
                <w:szCs w:val="16"/>
              </w:rPr>
              <w:t xml:space="preserve">خريطة الاستراتيجية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18.6  Extended Example 18A: recommending measures for next year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recommend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builds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pattern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Daily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Segment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Levant manager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Gulf chain orders delivered in full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Monthly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Operators trained on the new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Division managers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Changeover time 42 against 30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influence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unrelated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Customer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scorecard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Learning and growth</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balanced scorecard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perspectives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strategy map</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board asks for a short list of measures to put right what 2028 missed, for use in 2029. This example builds it.</w:t>
      </w:r>
    </w:p>
    <w:p>
      <w:pPr>
        <w:spacing w:before="20" w:after="20"/>
        <w:ind w:left="240" w:hanging="240"/>
      </w:pPr>
      <w:r>
        <w:rPr>
          <w:b/>
          <w:bCs/>
          <w:color w:val="353A7C"/>
          <w:sz w:val="15"/>
          <w:szCs w:val="15"/>
        </w:rPr>
        <w:t xml:space="preserve">Summary 2   </w:t>
      </w:r>
      <w:r>
        <w:rPr>
          <w:color w:val="6B7280"/>
          <w:sz w:val="15"/>
          <w:szCs w:val="15"/>
        </w:rPr>
        <w:t xml:space="preserve">Each follows directly from a measure that was missed, each has an owner who can influence it, and together they form one chain of the strategy map rather than four unrelated targets.</w:t>
      </w:r>
    </w:p>
    <w:p>
      <w:pPr>
        <w:spacing w:before="20" w:after="20"/>
        <w:ind w:left="240" w:hanging="240"/>
      </w:pPr>
      <w:r>
        <w:rPr>
          <w:b/>
          <w:bCs/>
          <w:color w:val="353A7C"/>
          <w:sz w:val="15"/>
          <w:szCs w:val="15"/>
        </w:rPr>
        <w:t xml:space="preserve">Summary 3   </w:t>
      </w:r>
      <w:r>
        <w:rPr>
          <w:color w:val="6B7280"/>
          <w:sz w:val="15"/>
          <w:szCs w:val="15"/>
        </w:rPr>
        <w:t xml:space="preserve">Residual income on the scorecard, $2,260,000, is the sum of the three divisions. Company return on investment 12.6% beats the 11.8% objective set.</w:t>
      </w:r>
    </w:p>
    <w:p>
      <w:pPr>
        <w:spacing w:before="20" w:after="20"/>
        <w:ind w:left="240" w:hanging="240"/>
      </w:pPr>
      <w:r>
        <w:rPr>
          <w:b/>
          <w:bCs/>
          <w:color w:val="353A7C"/>
          <w:sz w:val="15"/>
          <w:szCs w:val="15"/>
        </w:rPr>
        <w:t xml:space="preserve">Summary 4   </w:t>
      </w:r>
      <w:r>
        <w:rPr>
          <w:color w:val="6B7280"/>
          <w:sz w:val="15"/>
          <w:szCs w:val="15"/>
        </w:rPr>
        <w:t xml:space="preserve">Expect a list of measures to sort into perspectives, a scorecard to read, or a goal for which you must recommend a measure, an interval and an owner. Say what the pattern of results means, not just how many were met.</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18.1 · Critical success factors and KPIs</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18.2 · The balanced scorecard and its four perspectives</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18.3 · What makes a scorecard effective</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18.4 · The strategy map</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18.5 · Reading a scorecard and reporting it</w:t>
          </w:r>
        </w:p>
      </w:tc>
      <w:tc>
        <w:tcPr>
          <w:tcW w:type="pct" w:w="1400"/>
          <w:tcMar>
            <w:top w:type="dxa" w:w="-30"/>
            <w:left w:type="dxa" w:w="30"/>
            <w:bottom w:type="dxa" w:w="-30"/>
            <w:right w:type="dxa" w:w="30"/>
          </w:tcMar>
        </w:tcPr>
        <w:p>
          <w:pPr>
            <w:jc w:val="right"/>
          </w:pPr>
          <w:r>
            <w:rPr>
              <w:color w:val="6B7280"/>
              <w:sz w:val="16"/>
              <w:szCs w:val="16"/>
            </w:rPr>
            <w:t xml:space="preserve">Handout 18.5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18.6 · Extended Example 18A: recommending measures for next year</w:t>
          </w:r>
        </w:p>
      </w:tc>
      <w:tc>
        <w:tcPr>
          <w:tcW w:type="pct" w:w="1400"/>
          <w:tcMar>
            <w:top w:type="dxa" w:w="-30"/>
            <w:left w:type="dxa" w:w="30"/>
            <w:bottom w:type="dxa" w:w="-30"/>
            <w:right w:type="dxa" w:w="30"/>
          </w:tcMar>
        </w:tcPr>
        <w:p>
          <w:pPr>
            <w:jc w:val="right"/>
          </w:pPr>
          <w:r>
            <w:rPr>
              <w:color w:val="6B7280"/>
              <w:sz w:val="16"/>
              <w:szCs w:val="16"/>
            </w:rPr>
            <w:t xml:space="preserve">Handout 18.6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c834e4f9143a57d88888e45dd3e8dbb850799670.png" Type="http://schemas.openxmlformats.org/officeDocument/2006/relationships/image"/><Relationship Id="rId102" Target="media/31eb248438ad768b784abbeb2585f130d98d4ced.png" Type="http://schemas.openxmlformats.org/officeDocument/2006/relationships/image"/><Relationship Id="rId103" Target="media/67a4d19ad986b85c2e639be139ed3d4cd98a26dc.png" Type="http://schemas.openxmlformats.org/officeDocument/2006/relationships/image"/><Relationship Id="rId104" Target="media/f3e6e9310d7c103033934fb540d29c17a4d6d140.png" Type="http://schemas.openxmlformats.org/officeDocument/2006/relationships/image"/><Relationship Id="rId105" Target="media/2a1ac9761fbb3b25765ee02ce638cd65cc7730bd.png" Type="http://schemas.openxmlformats.org/officeDocument/2006/relationships/image"/><Relationship Id="rId106" Target="media/e16f1e015b29daddd367fe0aa21c812ebd2ae18e.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18</dc:title>
  <dc:subject>Summary handouts</dc:subject>
  <cp:category>Student Book</cp:category>
</cp:coreProperties>
</file>