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 uses financial statements, and why?   ·   A first look at the four statements   ·   The building blocks: elements and the accounti   ·   The accrual basis and the matching principle</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company collects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facts every day: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salaries and loans. </w:t>
      </w:r>
      <w:r>
        <w:rPr>
          <w:sz w:val="19"/>
          <w:szCs w:val="19"/>
        </w:rPr>
        <w:t xml:space="preserve">Financial statements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these facts in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form for people outside the company. </w:t>
      </w:r>
      <w:r>
        <w:rPr>
          <w:sz w:val="19"/>
          <w:szCs w:val="19"/>
        </w:rPr>
        <w:t xml:space="preserve">The four main statements are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sheet, the income statement, the statement of changes 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framework names the most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readers. </w:t>
      </w:r>
      <w:r>
        <w:rPr>
          <w:sz w:val="19"/>
          <w:szCs w:val="19"/>
        </w:rPr>
        <w:t xml:space="preserve">The primary users are existing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credit) to the company. </w:t>
      </w:r>
      <w:r>
        <w:rPr>
          <w:sz w:val="19"/>
          <w:szCs w:val="19"/>
        </w:rPr>
        <w:t xml:space="preserve">They usually cannot ask the company for special reports, so they depend on the published statements. </w:t>
      </w:r>
      <w:r>
        <w:rPr>
          <w:sz w:val="19"/>
          <w:szCs w:val="19"/>
        </w:rPr>
        <w:t xml:space="preserve">Each user makes a different decision, so each user looks for different information.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general-purpose   ·   standard   ·   summarize   ·   purchases   ·   wrongly   ·   important   ·   reader   ·   equity   ·   balance   ·   conceptual   ·   thousands   ·   potential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79"/>
        <w:gridCol w:w="1822"/>
        <w:gridCol w:w="2837"/>
        <w:gridCol w:w="266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87"/>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478"/>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87"/>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87"/>
            <w:tcMar>
              <w:top w:type="dxa" w:w="50"/>
              <w:left w:type="dxa" w:w="110"/>
              <w:bottom w:type="dxa" w:w="50"/>
              <w:right w:type="dxa" w:w="110"/>
            </w:tcMar>
          </w:tcPr>
          <w:p>
            <w:pPr>
              <w:spacing w:before="28" w:after="28"/>
            </w:pPr>
            <w:r>
              <w:rPr>
                <w:sz w:val="15"/>
                <w:szCs w:val="15"/>
              </w:rPr>
              <w:t xml:space="preserve">Investors (shareholders) — PRIMARY</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78"/>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87"/>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949"/>
            <w:shd w:fill="FBFAF6" w:val="clear"/>
            <w:tcMar>
              <w:top w:type="dxa" w:w="50"/>
              <w:left w:type="dxa" w:w="110"/>
              <w:bottom w:type="dxa" w:w="50"/>
              <w:right w:type="dxa" w:w="110"/>
            </w:tcMar>
          </w:tcPr>
          <w:p>
            <w:pPr>
              <w:spacing w:before="28" w:after="28"/>
            </w:pPr>
            <w:r>
              <w:rPr>
                <w:sz w:val="15"/>
                <w:szCs w:val="15"/>
              </w:rPr>
              <w:t xml:space="preserve">Lend, renew or stop a loan</w:t>
            </w:r>
          </w:p>
        </w:tc>
        <w:tc>
          <w:tcPr>
            <w:tcW w:type="pct" w:w="1478"/>
            <w:shd w:fill="FBFAF6" w:val="clear"/>
            <w:tcMar>
              <w:top w:type="dxa" w:w="50"/>
              <w:left w:type="dxa" w:w="110"/>
              <w:bottom w:type="dxa" w:w="50"/>
              <w:right w:type="dxa" w:w="110"/>
            </w:tcMar>
          </w:tcPr>
          <w:p>
            <w:pPr>
              <w:spacing w:before="28" w:after="28"/>
            </w:pPr>
            <w:r>
              <w:rPr>
                <w:sz w:val="15"/>
                <w:szCs w:val="15"/>
              </w:rPr>
              <w:t xml:space="preserve">Can the company pay interest and repay the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on time?</w:t>
            </w:r>
          </w:p>
        </w:tc>
        <w:tc>
          <w:tcPr>
            <w:tcW w:type="pct" w:w="1387"/>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87"/>
            <w:tcMar>
              <w:top w:type="dxa" w:w="50"/>
              <w:left w:type="dxa" w:w="110"/>
              <w:bottom w:type="dxa" w:w="50"/>
              <w:right w:type="dxa" w:w="110"/>
            </w:tcMar>
          </w:tcPr>
          <w:p>
            <w:pPr>
              <w:spacing w:before="28" w:after="28"/>
            </w:pPr>
            <w:r>
              <w:rPr>
                <w:sz w:val="15"/>
                <w:szCs w:val="15"/>
              </w:rPr>
              <w:t xml:space="preserve">Other creditors (suppliers) — PRIMARY</w:t>
            </w:r>
          </w:p>
        </w:tc>
        <w:tc>
          <w:tcPr>
            <w:tcW w:type="pct" w:w="949"/>
            <w:tcMar>
              <w:top w:type="dxa" w:w="50"/>
              <w:left w:type="dxa" w:w="110"/>
              <w:bottom w:type="dxa" w:w="50"/>
              <w:right w:type="dxa" w:w="110"/>
            </w:tcMar>
          </w:tcPr>
          <w:p>
            <w:pPr>
              <w:spacing w:before="28" w:after="28"/>
            </w:pPr>
            <w:r>
              <w:rPr>
                <w:sz w:val="15"/>
                <w:szCs w:val="15"/>
              </w:rPr>
              <w:t xml:space="preserve">Sell on credit, set credit terms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7"/>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949"/>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7"/>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87"/>
            <w:tcMar>
              <w:top w:type="dxa" w:w="50"/>
              <w:left w:type="dxa" w:w="110"/>
              <w:bottom w:type="dxa" w:w="50"/>
              <w:right w:type="dxa" w:w="110"/>
            </w:tcMar>
          </w:tcPr>
          <w:p>
            <w:pPr>
              <w:spacing w:before="28" w:after="28"/>
            </w:pPr>
            <w:r>
              <w:rPr>
                <w:sz w:val="15"/>
                <w:szCs w:val="15"/>
              </w:rPr>
              <w:t xml:space="preserve">Customers</w:t>
            </w:r>
          </w:p>
        </w:tc>
        <w:tc>
          <w:tcPr>
            <w:tcW w:type="pct" w:w="949"/>
            <w:tcMar>
              <w:top w:type="dxa" w:w="50"/>
              <w:left w:type="dxa" w:w="110"/>
              <w:bottom w:type="dxa" w:w="50"/>
              <w:right w:type="dxa" w:w="110"/>
            </w:tcMar>
          </w:tcPr>
          <w:p>
            <w:pPr>
              <w:spacing w:before="28" w:after="28"/>
            </w:pPr>
            <w:r>
              <w:rPr>
                <w:sz w:val="15"/>
                <w:szCs w:val="15"/>
              </w:rPr>
              <w:t xml:space="preserve">Sign long-term contracts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7"/>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78"/>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87"/>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87"/>
            <w:tcMar>
              <w:top w:type="dxa" w:w="50"/>
              <w:left w:type="dxa" w:w="110"/>
              <w:bottom w:type="dxa" w:w="50"/>
              <w:right w:type="dxa" w:w="110"/>
            </w:tcMar>
          </w:tcPr>
          <w:p>
            <w:pPr>
              <w:spacing w:before="28" w:after="28"/>
            </w:pPr>
            <w:r>
              <w:rPr>
                <w:sz w:val="15"/>
                <w:szCs w:val="15"/>
              </w:rPr>
              <w:t xml:space="preserve">Managers (internal)</w:t>
            </w:r>
          </w:p>
        </w:tc>
        <w:tc>
          <w:tcPr>
            <w:tcW w:type="pct" w:w="949"/>
            <w:tcMar>
              <w:top w:type="dxa" w:w="50"/>
              <w:left w:type="dxa" w:w="110"/>
              <w:bottom w:type="dxa" w:w="50"/>
              <w:right w:type="dxa" w:w="110"/>
            </w:tcMar>
          </w:tcPr>
          <w:p>
            <w:pPr>
              <w:spacing w:before="28" w:after="28"/>
            </w:pPr>
            <w:r>
              <w:rPr>
                <w:sz w:val="15"/>
                <w:szCs w:val="15"/>
              </w:rPr>
              <w:t xml:space="preserve">Plan and control operations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387"/>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principal   ·   Is the company stable and profitable?   ·   Buy, hold or sell shares   ·   Will the company pay its bills when due?   ·   Will the company continue to supply us?   ·   Not a primary user: can use internal reports   ·   equity</w:t>
            </w:r>
          </w:p>
        </w:tc>
      </w:tr>
    </w:tbl>
    <w:p/>
    <w:p>
      <w:pPr>
        <w:spacing w:before="44" w:after="14"/>
      </w:pPr>
      <w:r>
        <w:rPr>
          <w:b/>
          <w:bCs/>
          <w:color w:val="353A7C"/>
          <w:sz w:val="18"/>
          <w:szCs w:val="18"/>
        </w:rPr>
        <w:t xml:space="preserve">Summary 2</w:t>
      </w:r>
      <w:r>
        <w:rPr>
          <w:color w:val="6B7280"/>
          <w:sz w:val="16"/>
          <w:szCs w:val="16"/>
        </w:rPr>
        <w:t xml:space="preserve">      gaps 22–32</w:t>
      </w:r>
    </w:p>
    <w:p>
      <w:pPr>
        <w:spacing w:before="20" w:after="20" w:line="360" w:lineRule="auto"/>
        <w:ind w:left="200"/>
      </w:pPr>
      <w:r>
        <w:rPr>
          <w:sz w:val="19"/>
          <w:szCs w:val="19"/>
        </w:rPr>
        <w:t xml:space="preserve">Other groups also read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Managers read them too. </w:t>
      </w:r>
      <w:r>
        <w:rPr>
          <w:sz w:val="19"/>
          <w:szCs w:val="19"/>
        </w:rPr>
        <w:t xml:space="preserve">However, managers are not primary users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in the period?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financial   ·   perform   ·   information   ·   management   ·   governments   ·   simple   ·   balance   ·   Reporting   ·   material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33–41</w:t>
      </w:r>
    </w:p>
    <w:p>
      <w:pPr>
        <w:spacing w:before="20" w:after="20" w:line="360" w:lineRule="auto"/>
        <w:ind w:left="200"/>
      </w:pPr>
      <w:r>
        <w:rPr>
          <w:sz w:val="19"/>
          <w:szCs w:val="19"/>
        </w:rPr>
        <w:t xml:space="preserve">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representation   ·   benefit   ·   conceptual   ·   confirmatory   ·   materiality   ·   complete   ·   fundamental   ·   constraint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42–44</w:t>
      </w:r>
    </w:p>
    <w:p>
      <w:pPr>
        <w:spacing w:before="20" w:after="20" w:line="360" w:lineRule="auto"/>
        <w:ind w:left="200"/>
      </w:pPr>
      <w:r>
        <w:rPr>
          <w:sz w:val="19"/>
          <w:szCs w:val="19"/>
        </w:rPr>
        <w:t xml:space="preserve">Primary users are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relevance   ·   general-purpose   ·   T-account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spacing w:before="44" w:after="10"/>
      </w:pPr>
      <w:r>
        <w:rPr>
          <w:b/>
          <w:bCs/>
          <w:color w:val="353A7C"/>
          <w:sz w:val="18"/>
          <w:szCs w:val="18"/>
        </w:rPr>
        <w:t xml:space="preserve">Five accounting verbs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decide the amount of the item   ·   statements   ·   disclose   ·   record   ·   U.S. GAAP</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49–51</w:t>
      </w:r>
    </w:p>
    <w:p>
      <w:pPr>
        <w:spacing w:before="20" w:after="20" w:line="360" w:lineRule="auto"/>
        <w:ind w:left="200"/>
      </w:pPr>
      <w:r>
        <w:rPr>
          <w:sz w:val="19"/>
          <w:szCs w:val="19"/>
        </w:rPr>
        <w:t xml:space="preserve">Example: Orontes </w:t>
      </w:r>
      <w:r>
        <w:rPr>
          <w:b/>
          <w:bCs/>
          <w:color w:val="8186EF"/>
          <w:sz w:val="15"/>
          <w:szCs w:val="15"/>
        </w:rPr>
        <w:t xml:space="preserve"> (49)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(50)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w:t>
      </w:r>
      <w:r>
        <w:rPr>
          <w:b/>
          <w:bCs/>
          <w:color w:val="8186EF"/>
          <w:sz w:val="15"/>
          <w:szCs w:val="15"/>
        </w:rPr>
        <w:t xml:space="preserve"> (51) </w:t>
      </w:r>
      <w:r>
        <w:rPr>
          <w:u w:val="single"/>
          <w:sz w:val="19"/>
          <w:szCs w:val="19"/>
        </w:rPr>
        <w:t xml:space="preserve">           </w:t>
      </w:r>
      <w:r>
        <w:rPr>
          <w:sz w:val="19"/>
          <w:szCs w:val="19"/>
        </w:rPr>
        <w:t xml:space="preserve"> </w:t>
      </w:r>
      <w:r>
        <w:rPr>
          <w:sz w:val="19"/>
          <w:szCs w:val="19"/>
        </w:rPr>
        <w:t xml:space="preserve">,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relevance   ·   statement   ·   measures   ·   recognizes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relevance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first look at the four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perform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constraint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decide the amount of the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Not a primary user: can use internal reports</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faithful 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 Each user makes a different decision, so each user looks for different information.</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Managers read them too.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It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claim. </w:t>
      </w:r>
      <w:r>
        <w:rPr>
          <w:sz w:val="19"/>
          <w:szCs w:val="19"/>
        </w:rPr>
        <w:t xml:space="preserve">The other elements describe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expense   ·   different   ·   Equity   ·   revenue   ·   statements   ·   operations   ·   FASB   ·   liability   ·   owners   ·   changes</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Investments by owners,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new shares, increase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dividends, decrease equity.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is the total change in equity from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other than owners. </w:t>
      </w:r>
      <w:r>
        <w:rPr>
          <w:sz w:val="19"/>
          <w:szCs w:val="19"/>
        </w:rPr>
        <w:t xml:space="preserve">The equation always holds, because creditors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or owners (equity) finance every asset. </w:t>
      </w:r>
      <w:r>
        <w:rPr>
          <w:sz w:val="19"/>
          <w:szCs w:val="19"/>
        </w:rPr>
        <w:t xml:space="preserve">Equity has two main parts.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what owners paid: common stock at its par value, plus additional paid-in capital (APIC). </w:t>
      </w:r>
      <w:r>
        <w:rPr>
          <w:sz w:val="19"/>
          <w:szCs w:val="19"/>
        </w:rPr>
        <w:t xml:space="preserve">Retained earnings (RE) are the past net income that the company kept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paying it out as dividends. </w:t>
      </w:r>
      <w:r>
        <w:rPr>
          <w:sz w:val="19"/>
          <w:szCs w:val="19"/>
        </w:rPr>
        <w:t xml:space="preserve">Look at the lower part.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gains increase retained earnings.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losses decrease it. </w:t>
      </w:r>
      <w:r>
        <w:rPr>
          <w:sz w:val="19"/>
          <w:szCs w:val="19"/>
        </w:rPr>
        <w:t xml:space="preserve">Dividends also decrease it, but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is a distribution to owners, so it never appears in the income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Conceptual Framework (2018) defines an asset as a present economic resource controlled by the entity as a result of past events.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   ·   buying   ·   Contributed   ·   dividend   ·   Comprehensive   ·   statement   ·   sources   ·   IFRS   ·   instead   ·   Expenses   ·   Revenues   ·   liabilities   ·   Distributions</w:t>
            </w:r>
          </w:p>
        </w:tc>
      </w:tr>
    </w:tbl>
    <w:p/>
    <w:p>
      <w:pPr>
        <w:spacing w:before="44" w:after="14"/>
      </w:pPr>
      <w:r>
        <w:rPr>
          <w:b/>
          <w:bCs/>
          <w:color w:val="353A7C"/>
          <w:sz w:val="18"/>
          <w:szCs w:val="18"/>
        </w:rPr>
        <w:t xml:space="preserve">Summary 3</w:t>
      </w:r>
      <w:r>
        <w:rPr>
          <w:color w:val="6B7280"/>
          <w:sz w:val="16"/>
          <w:szCs w:val="16"/>
        </w:rPr>
        <w:t xml:space="preserve">      gaps 25–29</w:t>
      </w:r>
    </w:p>
    <w:p>
      <w:pPr>
        <w:spacing w:before="20" w:after="20" w:line="360" w:lineRule="auto"/>
        <w:ind w:left="200"/>
      </w:pPr>
      <w:r>
        <w:rPr>
          <w:sz w:val="19"/>
          <w:szCs w:val="19"/>
        </w:rPr>
        <w:t xml:space="preserve">The idea is the same as in U.S. GAAP; only the wording is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IFRS also uses the word income for both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and gains, while U.S. GAAP keeps revenues and gains apart. </w:t>
      </w:r>
      <w:r>
        <w:rPr>
          <w:sz w:val="19"/>
          <w:szCs w:val="19"/>
        </w:rPr>
        <w:t xml:space="preserve">You may also know these IFRS names: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of financial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(balance sheet), share capital (common stock) and share premium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additional   ·   incidental   ·   different   ·   statement   ·   position   ·   revenue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balance sheet   ·   equity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Revenues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owners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position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buying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additional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retained earnings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sources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It is the owners' claim.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equation always holds, because creditors (liabilities) or owners (equity) finance every asset. Equity has two main parts. Contributed capital is what owners paid: common stock at its par value, plus additional paid-in capital (APIC). Retained earnings (RE) are the past net income that the company kept instead of paying it out as dividends. Look at the lower part. Revenues and gains increase retained earnings. Expenses and losses decrease it. Dividends also decrease it, but a dividend is not an expense. It is a distribution to owners, so it never appears in the income statement. The IFRS Conceptual Framework (2018) defines an asset as a present economic resource controlled by the entity as a result of past events.</w:t>
      </w:r>
    </w:p>
    <w:p>
      <w:pPr>
        <w:spacing w:before="20" w:after="20"/>
        <w:ind w:left="240" w:hanging="240"/>
      </w:pPr>
      <w:r>
        <w:rPr>
          <w:b/>
          <w:bCs/>
          <w:color w:val="353A7C"/>
          <w:sz w:val="15"/>
          <w:szCs w:val="15"/>
        </w:rPr>
        <w:t xml:space="preserve">Summary 3   </w:t>
      </w:r>
      <w:r>
        <w:rPr>
          <w:color w:val="6B7280"/>
          <w:sz w:val="15"/>
          <w:szCs w:val="15"/>
        </w:rPr>
        <w:t xml:space="preserve">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least two accounts, and total debits always equal total credits. </w:t>
      </w:r>
      <w:r>
        <w:rPr>
          <w:sz w:val="19"/>
          <w:szCs w:val="19"/>
        </w:rPr>
        <w:t xml:space="preserve">This is why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equation always balances. </w:t>
      </w:r>
      <w:r>
        <w:rPr>
          <w:sz w:val="19"/>
          <w:szCs w:val="19"/>
        </w:rPr>
        <w:t xml:space="preserve">Debit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means the left side of an account, and credit means the right side. </w:t>
      </w:r>
      <w:r>
        <w:rPr>
          <w:sz w:val="19"/>
          <w:szCs w:val="19"/>
        </w:rPr>
        <w:t xml:space="preserve">Neither word means good or bad, and neither word always means increase.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debit increases an account depends on the type of account. </w:t>
      </w:r>
      <w:r>
        <w:rPr>
          <w:sz w:val="19"/>
          <w:szCs w:val="19"/>
        </w:rPr>
        <w:t xml:space="preserve">Each account has a normal balance: the side that increases it.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equation at the bottom is a useful memory aid. </w:t>
      </w:r>
      <w:r>
        <w:rPr>
          <w:sz w:val="19"/>
          <w:szCs w:val="19"/>
        </w:rPr>
        <w:t xml:space="preserve">Accounts on the left side of the equation (assets, expenses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increase with a debit. </w:t>
      </w:r>
      <w:r>
        <w:rPr>
          <w:sz w:val="19"/>
          <w:szCs w:val="19"/>
        </w:rPr>
        <w:t xml:space="preserve">Accounts on the right side (liabilities,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revenues) increase with a credit. </w:t>
      </w:r>
      <w:r>
        <w:rPr>
          <w:sz w:val="19"/>
          <w:szCs w:val="19"/>
        </w:rPr>
        <w:t xml:space="preserve">A contra account reduces a related account, so it has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reduces equipment. </w:t>
      </w:r>
      <w:r>
        <w:rPr>
          <w:sz w:val="19"/>
          <w:szCs w:val="19"/>
        </w:rPr>
        <w:t xml:space="preserve">It has a credit balance, but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the assets. </w:t>
      </w:r>
      <w:r>
        <w:rPr>
          <w:sz w:val="19"/>
          <w:szCs w:val="19"/>
        </w:rPr>
        <w:t xml:space="preserve">The allowance for credit losses reduces accounts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the same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expanded   ·   receivable   ·   Whether   ·   dividends   ·   equity   ·   depreciation   ·   opposite   ·   double-entry   ·   affects   ·   simply   ·   accounting   ·   issuing   ·   belongs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 January 2025.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are in USD 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exchange   ·   pastries   ·   affects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44"/>
        <w:gridCol w:w="1344"/>
        <w:gridCol w:w="4224"/>
        <w:gridCol w:w="1344"/>
        <w:gridCol w:w="134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700"/>
            <w:tcMar>
              <w:top w:type="dxa" w:w="50"/>
              <w:left w:type="dxa" w:w="110"/>
              <w:bottom w:type="dxa" w:w="50"/>
              <w:right w:type="dxa" w:w="110"/>
            </w:tcMar>
          </w:tcPr>
          <w:p>
            <w:pPr>
              <w:spacing w:before="28" w:after="28"/>
            </w:pPr>
            <w:r>
              <w:rPr>
                <w:sz w:val="15"/>
                <w:szCs w:val="15"/>
              </w:rPr>
              <w:t xml:space="preserve">1</w:t>
            </w:r>
          </w:p>
        </w:tc>
        <w:tc>
          <w:tcPr>
            <w:tcW w:type="pct" w:w="700"/>
            <w:tcMar>
              <w:top w:type="dxa" w:w="50"/>
              <w:left w:type="dxa" w:w="110"/>
              <w:bottom w:type="dxa" w:w="50"/>
              <w:right w:type="dxa" w:w="110"/>
            </w:tcMar>
          </w:tcPr>
          <w:p>
            <w:pPr>
              <w:spacing w:before="28" w:after="28"/>
            </w:pPr>
            <w:r>
              <w:rPr>
                <w:sz w:val="15"/>
                <w:szCs w:val="15"/>
              </w:rPr>
              <w:t xml:space="preserve">Jan 2</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1,500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Common stock</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100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Additional paid-in capital</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1,400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2</w:t>
            </w:r>
          </w:p>
        </w:tc>
        <w:tc>
          <w:tcPr>
            <w:tcW w:type="pct" w:w="7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800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800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cash from Levant Commerce Bank on a 5-year note at 6% interest.</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3</w:t>
            </w:r>
          </w:p>
        </w:tc>
        <w:tc>
          <w:tcPr>
            <w:tcW w:type="pct" w:w="700"/>
            <w:shd w:fill="FBFAF6" w:val="clear"/>
            <w:tcMar>
              <w:top w:type="dxa" w:w="50"/>
              <w:left w:type="dxa" w:w="110"/>
              <w:bottom w:type="dxa" w:w="50"/>
              <w:right w:type="dxa" w:w="110"/>
            </w:tcMar>
          </w:tcPr>
          <w:p>
            <w:pPr>
              <w:spacing w:before="28" w:after="28"/>
            </w:pPr>
            <w:r>
              <w:rPr>
                <w:sz w:val="15"/>
                <w:szCs w:val="15"/>
              </w:rPr>
              <w:t xml:space="preserve">Jan 10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700"/>
            <w:shd w:fill="FBFAF6" w:val="clear"/>
            <w:tcMar>
              <w:top w:type="dxa" w:w="50"/>
              <w:left w:type="dxa" w:w="110"/>
              <w:bottom w:type="dxa" w:w="50"/>
              <w:right w:type="dxa" w:w="110"/>
            </w:tcMar>
          </w:tcPr>
          <w:p>
            <w:pPr>
              <w:spacing w:before="28" w:after="28"/>
            </w:pPr>
            <w:r>
              <w:rPr>
                <w:sz w:val="15"/>
                <w:szCs w:val="15"/>
              </w:rPr>
              <w:t xml:space="preserve">1,200</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1,200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Bought a new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line for the Amman plant and paid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4</w:t>
            </w:r>
          </w:p>
        </w:tc>
        <w:tc>
          <w:tcPr>
            <w:tcW w:type="pct" w:w="700"/>
            <w:tcMar>
              <w:top w:type="dxa" w:w="50"/>
              <w:left w:type="dxa" w:w="110"/>
              <w:bottom w:type="dxa" w:w="50"/>
              <w:right w:type="dxa" w:w="110"/>
            </w:tcMar>
          </w:tcPr>
          <w:p>
            <w:pPr>
              <w:spacing w:before="28" w:after="28"/>
            </w:pPr>
            <w:r>
              <w:rPr>
                <w:sz w:val="15"/>
                <w:szCs w:val="15"/>
              </w:rPr>
              <w:t xml:space="preserve">Jan 18</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700"/>
            <w:tcMar>
              <w:top w:type="dxa" w:w="50"/>
              <w:left w:type="dxa" w:w="110"/>
              <w:bottom w:type="dxa" w:w="50"/>
              <w:right w:type="dxa" w:w="110"/>
            </w:tcMar>
          </w:tcPr>
          <w:p>
            <w:pPr>
              <w:spacing w:before="28" w:after="28"/>
            </w:pPr>
            <w:r>
              <w:rPr>
                <w:sz w:val="15"/>
                <w:szCs w:val="15"/>
              </w:rPr>
              <w:t xml:space="preserve">300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700"/>
            <w:tcMar>
              <w:top w:type="dxa" w:w="50"/>
              <w:left w:type="dxa" w:w="110"/>
              <w:bottom w:type="dxa" w:w="50"/>
              <w:right w:type="dxa" w:w="110"/>
            </w:tcMar>
          </w:tcPr>
          <w:p>
            <w:pPr>
              <w:spacing w:before="28" w:after="28"/>
            </w:pPr>
            <w:r>
              <w:rPr>
                <w:sz w:val="15"/>
                <w:szCs w:val="15"/>
              </w:rPr>
              <w:t xml:space="preserve">180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Inventory</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180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Sold olive oil to GreenBasket Supermarkets on credit. The goods had cost Orontes less than the selling price.</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5</w:t>
            </w:r>
          </w:p>
        </w:tc>
        <w:tc>
          <w:tcPr>
            <w:tcW w:type="pct" w:w="7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700"/>
            <w:shd w:fill="FBFAF6" w:val="clear"/>
            <w:tcMar>
              <w:top w:type="dxa" w:w="50"/>
              <w:left w:type="dxa" w:w="110"/>
              <w:bottom w:type="dxa" w:w="50"/>
              <w:right w:type="dxa" w:w="110"/>
            </w:tcMar>
          </w:tcPr>
          <w:p>
            <w:pPr>
              <w:spacing w:before="28" w:after="28"/>
            </w:pPr>
            <w:r>
              <w:rPr>
                <w:sz w:val="15"/>
                <w:szCs w:val="15"/>
              </w:rPr>
              <w:t xml:space="preserve">40</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40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Paid January wages to plant workers in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6</w:t>
            </w:r>
          </w:p>
        </w:tc>
        <w:tc>
          <w:tcPr>
            <w:tcW w:type="pct" w:w="700"/>
            <w:tcMar>
              <w:top w:type="dxa" w:w="50"/>
              <w:left w:type="dxa" w:w="110"/>
              <w:bottom w:type="dxa" w:w="50"/>
              <w:right w:type="dxa" w:w="110"/>
            </w:tcMar>
          </w:tcPr>
          <w:p>
            <w:pPr>
              <w:spacing w:before="28" w:after="28"/>
            </w:pPr>
            <w:r>
              <w:rPr>
                <w:sz w:val="15"/>
                <w:szCs w:val="15"/>
              </w:rPr>
              <w:t xml:space="preserve">Jan 31</w:t>
            </w:r>
          </w:p>
        </w:tc>
        <w:tc>
          <w:tcPr>
            <w:tcW w:type="pct" w:w="2200"/>
            <w:tcMar>
              <w:top w:type="dxa" w:w="50"/>
              <w:left w:type="dxa" w:w="110"/>
              <w:bottom w:type="dxa" w:w="50"/>
              <w:right w:type="dxa" w:w="110"/>
            </w:tcMar>
          </w:tcPr>
          <w:p>
            <w:pPr>
              <w:spacing w:before="28" w:after="28"/>
            </w:pPr>
            <w:r>
              <w:rPr>
                <w:sz w:val="15"/>
                <w:szCs w:val="15"/>
              </w:rPr>
              <w:t xml:space="preserve">Retained earnings (dividends declared)</w:t>
            </w:r>
          </w:p>
        </w:tc>
        <w:tc>
          <w:tcPr>
            <w:tcW w:type="pct" w:w="700"/>
            <w:tcMar>
              <w:top w:type="dxa" w:w="50"/>
              <w:left w:type="dxa" w:w="110"/>
              <w:bottom w:type="dxa" w:w="50"/>
              <w:right w:type="dxa" w:w="110"/>
            </w:tcMar>
          </w:tcPr>
          <w:p>
            <w:pPr>
              <w:spacing w:before="28" w:after="28"/>
            </w:pPr>
            <w:r>
              <w:rPr>
                <w:sz w:val="15"/>
                <w:szCs w:val="15"/>
              </w:rPr>
              <w:t xml:space="preserve">50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700"/>
            <w:shd w:fill="FBFAF6" w:val="clear"/>
            <w:tcMar>
              <w:top w:type="dxa" w:w="50"/>
              <w:left w:type="dxa" w:w="110"/>
              <w:bottom w:type="dxa" w:w="50"/>
              <w:right w:type="dxa" w:w="110"/>
            </w:tcMar>
          </w:tcPr>
          <w:p>
            <w:pPr>
              <w:spacing w:before="28" w:after="28"/>
            </w:pPr>
            <w:r>
              <w:rPr>
                <w:sz w:val="15"/>
                <w:szCs w:val="15"/>
              </w:rPr>
              <w:t xml:space="preserve">4,070</w:t>
            </w:r>
          </w:p>
        </w:tc>
        <w:tc>
          <w:tcPr>
            <w:tcW w:type="pct" w:w="700"/>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Totals   ·   Jan 5   ·   Jan 31   ·   bottling   ·   Wages expense   ·   Borrowed   ·   Equipment   ·   Sales revenue   ·   Accounts receivable   ·   Cash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27–35</w:t>
      </w:r>
    </w:p>
    <w:p>
      <w:pPr>
        <w:spacing w:before="20" w:after="20" w:line="360" w:lineRule="auto"/>
        <w:ind w:left="200"/>
      </w:pPr>
      <w:r>
        <w:rPr>
          <w:sz w:val="19"/>
          <w:szCs w:val="19"/>
        </w:rPr>
        <w:t xml:space="preserve">Check each entry: the debits equal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Read the grid row by row. </w:t>
      </w:r>
      <w:r>
        <w:rPr>
          <w:sz w:val="19"/>
          <w:szCs w:val="19"/>
        </w:rPr>
        <w:t xml:space="preserve">Three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and lenders is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   owners   ·   February   ·   delivers   ·   points   ·   liability   ·   equation   ·   credits   ·   receivable   ·   financing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36–39</w:t>
      </w:r>
    </w:p>
    <w:p>
      <w:pPr>
        <w:spacing w:before="20" w:after="20" w:line="360" w:lineRule="auto"/>
        <w:ind w:left="200"/>
      </w:pPr>
      <w:r>
        <w:rPr>
          <w:sz w:val="19"/>
          <w:szCs w:val="19"/>
        </w:rPr>
        <w:t xml:space="preserve">A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reduces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account   ·   retained   ·   revenue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44" w:after="14"/>
      </w:pPr>
      <w:r>
        <w:rPr>
          <w:b/>
          <w:bCs/>
          <w:color w:val="353A7C"/>
          <w:sz w:val="18"/>
          <w:szCs w:val="18"/>
        </w:rPr>
        <w:t xml:space="preserve">Summary 5</w:t>
      </w:r>
      <w:r>
        <w:rPr>
          <w:color w:val="6B7280"/>
          <w:sz w:val="16"/>
          <w:szCs w:val="16"/>
        </w:rPr>
        <w:t xml:space="preserve">      gaps 40–41</w:t>
      </w:r>
    </w:p>
    <w:p>
      <w:pPr>
        <w:spacing w:before="20" w:after="20" w:line="360" w:lineRule="auto"/>
        <w:ind w:left="200"/>
      </w:pPr>
      <w:r>
        <w:rPr>
          <w:sz w:val="19"/>
          <w:szCs w:val="19"/>
        </w:rPr>
        <w:t xml:space="preserve">Here are six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from February (USD 000). </w:t>
      </w:r>
      <w:r>
        <w:rPr>
          <w:sz w:val="19"/>
          <w:szCs w:val="19"/>
        </w:rPr>
        <w:t xml:space="preserve">Rows 1 to 3 are done for you. </w:t>
      </w:r>
      <w:r>
        <w:rPr>
          <w:sz w:val="19"/>
          <w:szCs w:val="19"/>
        </w:rPr>
        <w:t xml:space="preserve"/>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rows 4 to 6. </w:t>
      </w:r>
      <w:r>
        <w:rPr>
          <w:sz w:val="19"/>
          <w:szCs w:val="19"/>
        </w:rPr>
        <w:t xml:space="preserve">Then write the journal entries for rows 4 to 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Complete   ·   creates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spacing w:before="44" w:after="14"/>
      </w:pPr>
      <w:r>
        <w:rPr>
          <w:b/>
          <w:bCs/>
          <w:color w:val="353A7C"/>
          <w:sz w:val="18"/>
          <w:szCs w:val="18"/>
        </w:rPr>
        <w:t xml:space="preserve">Summary 6</w:t>
      </w:r>
      <w:r>
        <w:rPr>
          <w:color w:val="6B7280"/>
          <w:sz w:val="16"/>
          <w:szCs w:val="16"/>
        </w:rPr>
        <w:t xml:space="preserve">      gaps 42–43</w:t>
      </w:r>
    </w:p>
    <w:p>
      <w:pPr>
        <w:spacing w:before="20" w:after="20" w:line="360" w:lineRule="auto"/>
        <w:ind w:left="200"/>
      </w:pPr>
      <w:r>
        <w:rPr>
          <w:sz w:val="19"/>
          <w:szCs w:val="19"/>
        </w:rPr>
        <w:t xml:space="preserve">X is debited (or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is to increase...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credited   ·   Whether   ·   transaction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 value   ·   normal balance   ·   double-entry system   ·   debit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Jan 31</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affects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Wages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simply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expanded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owners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Jan 5</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Borrowed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transaction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debit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Sales revenue</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normal balance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Debit simply means the left side of an account, and credit means the right side. Neither word means good or bad, and neither word always means increase. Whether a debit increases an account depends on the type of account. Each account has a normal balance: the side that increases it. The expanded equation at the bottom is a useful memory aid. Accounts on the left side of the equation (assets, expenses and dividends) increase with a debit. Accounts on the right side (liabilities, equity and revenues) increase with a credit. A contra account reduces a related account, so it has the opposite normal balance. For example, accumulated depreciation reduces equipment. It has a credit balance, but it belongs with the assets. The allowance for credit losses reduces accounts receivable in the same way.</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 Amounts are in USD 000.</w:t>
      </w:r>
    </w:p>
    <w:p>
      <w:pPr>
        <w:spacing w:before="20" w:after="20"/>
        <w:ind w:left="240" w:hanging="240"/>
      </w:pPr>
      <w:r>
        <w:rPr>
          <w:b/>
          <w:bCs/>
          <w:color w:val="353A7C"/>
          <w:sz w:val="15"/>
          <w:szCs w:val="15"/>
        </w:rPr>
        <w:t xml:space="preserve">Summary 3   </w:t>
      </w:r>
      <w:r>
        <w:rPr>
          <w:color w:val="6B7280"/>
          <w:sz w:val="15"/>
          <w:szCs w:val="15"/>
        </w:rPr>
        <w:t xml:space="preserve">Check each entry: the debits equal the credits. Read the grid row by row. 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A dividend is not an expense. 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Here are six transactions from February (USD 000). Rows 1 to 3 are done for you. Complete rows 4 to 6. Then write the journal entries for rows 4 to 6.</w:t>
      </w:r>
    </w:p>
    <w:p>
      <w:pPr>
        <w:spacing w:before="20" w:after="20"/>
        <w:ind w:left="240" w:hanging="240"/>
      </w:pPr>
      <w:r>
        <w:rPr>
          <w:b/>
          <w:bCs/>
          <w:color w:val="353A7C"/>
          <w:sz w:val="15"/>
          <w:szCs w:val="15"/>
        </w:rPr>
        <w:t xml:space="preserve">Summary 6   </w:t>
      </w:r>
      <w:r>
        <w:rPr>
          <w:color w:val="6B7280"/>
          <w:sz w:val="15"/>
          <w:szCs w:val="15"/>
        </w:rPr>
        <w:t xml:space="preserve">X is debited (or credited) for an amount: Cash is debited for 1,500. Exam stems often say: The effect of this transaction is to increase...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should a company record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expenses? U.S. GAAP financial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records expenses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the cash does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period. </w:t>
      </w:r>
      <w:r>
        <w:rPr>
          <w:sz w:val="19"/>
          <w:szCs w:val="19"/>
        </w:rPr>
        <w:t xml:space="preserve">The cash basis records items only when cash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but it is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Under the accrual basis,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records the revenue and the cost of goods sold in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2025, the year it delivered the goods. </w:t>
      </w:r>
      <w:r>
        <w:rPr>
          <w:sz w:val="19"/>
          <w:szCs w:val="19"/>
        </w:rPr>
        <w:t xml:space="preserve">The gross profit of 36 belongs to 2025. </w:t>
      </w:r>
      <w:r>
        <w:rPr>
          <w:sz w:val="19"/>
          <w:szCs w:val="19"/>
        </w:rPr>
        <w:t xml:space="preserve">In January, the cash receipt only changes one asset (the receivable) into another asset (cash). </w:t>
      </w:r>
      <w:r>
        <w:rPr>
          <w:sz w:val="19"/>
          <w:szCs w:val="19"/>
        </w:rPr>
        <w:t xml:space="preserve">Under the cash basis, the revenue would fall in 2026, which is the wrong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incurs   ·   delivers   ·   simple   ·   services   ·   acceptable   ·   Orontes   ·   decide   ·   another   ·   revenues   ·   received   ·   statements   ·   fiscal   ·   timing</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The matching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incurred   ·   bottling   ·   advertising   ·   directly   ·   adjustment   ·   classic   ·   Depreciation   ·   Systematic   ·   principle   ·   T-account</w:t>
            </w:r>
          </w:p>
        </w:tc>
      </w:tr>
    </w:tbl>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for credit losses   ·   Contract liability, or unearned revenue (deferral)   ·   Prepaid expense (deferral)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Two of these names are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advertising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28–29</w:t>
      </w:r>
    </w:p>
    <w:p>
      <w:pPr>
        <w:spacing w:before="20" w:after="20" w:line="360" w:lineRule="auto"/>
        <w:ind w:left="200"/>
      </w:pPr>
      <w:r>
        <w:rPr>
          <w:sz w:val="19"/>
          <w:szCs w:val="19"/>
        </w:rPr>
        <w:t xml:space="preserve">Cash received in advance is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expense   ·   liability</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prepaid expense   ·   contract liability (unearned revenue)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decide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fiscal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contract liability (unearned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Systematic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Under the accrual basis, Orontes records the revenue and the cost of goods sold in fiscal 2025, the year it delivered the goods. The gross profit of 36 belongs to 2025. In January, the cash receipt only changes one asset (the receivable) into another asset (cash). Under the cash basis, the revenue would fall in 2026, which is the wrong period.</w:t>
      </w:r>
    </w:p>
    <w:p>
      <w:pPr>
        <w:spacing w:before="20" w:after="20"/>
        <w:ind w:left="240" w:hanging="240"/>
      </w:pPr>
      <w:r>
        <w:rPr>
          <w:b/>
          <w:bCs/>
          <w:color w:val="353A7C"/>
          <w:sz w:val="15"/>
          <w:szCs w:val="15"/>
        </w:rPr>
        <w:t xml:space="preserve">Summary 2   </w:t>
      </w:r>
      <w:r>
        <w:rPr>
          <w:color w:val="6B7280"/>
          <w:sz w:val="15"/>
          <w:szCs w:val="15"/>
        </w:rPr>
        <w:t xml:space="preserve">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In the United States, the accounting rules are called U.S. GAAP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accepted accounting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generally   ·   recognizes   ·   changes   ·   oversees   ·   nongovernmental   ·   report   ·   principles   ·   Securities   ·   writes   ·   organization   ·   authoritative   ·   revenue   ·   organized</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The PCAOB 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United States, many countries use IFRS (International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Reporting Standards).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(International Accounting Standards Board) issues them, under the IFRS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Many countries in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East and North Africa, for example Jordan and the United Arab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require IFRS for listed companies. </w:t>
      </w:r>
      <w:r>
        <w:rPr>
          <w:sz w:val="19"/>
          <w:szCs w:val="19"/>
        </w:rPr>
        <w:t xml:space="preserve">The CMA exam tests U.S. GAAP.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Section A also asks about the main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between U.S. GAAP and IFRS. </w:t>
      </w:r>
      <w:r>
        <w:rPr>
          <w:sz w:val="19"/>
          <w:szCs w:val="19"/>
        </w:rPr>
        <w:t xml:space="preserve">If you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accounting under IFRS, this is good news: most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box, so. </w:t>
      </w:r>
      <w:r>
        <w:rPr>
          <w:sz w:val="19"/>
          <w:szCs w:val="19"/>
        </w:rPr>
        <w:t xml:space="preserve">Both systems rest on a conceptual framework: the basic ideas behind the standards, such as the users, the elements and the qualities of useful information. </w:t>
      </w:r>
      <w:r>
        <w:rPr>
          <w:sz w:val="19"/>
          <w:szCs w:val="19"/>
        </w:rPr>
        <w:t xml:space="preserve">You studied the U.S. version in Sections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Emirates   ·   auditing   ·   Financial   ·   Outside   ·   learned   ·   Middle   ·   However   ·   Foundation   ·   differences   ·   Contrast   ·   concepts   ·   IASB</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primary users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30–31</w:t>
      </w:r>
    </w:p>
    <w:p>
      <w:pPr>
        <w:spacing w:before="20" w:after="20" w:line="360" w:lineRule="auto"/>
        <w:ind w:left="200"/>
      </w:pPr>
      <w:r>
        <w:rPr>
          <w:sz w:val="19"/>
          <w:szCs w:val="19"/>
        </w:rPr>
        <w:t xml:space="preserve">FASB: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between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IFRS   ·   SEC   ·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generally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Middle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Emirates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auditing</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IASB</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Foundation</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SEC</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Outside the United States, many countries use IFRS (International Financial Reporting Standards). The IASB (International Accounting Standards Board) issues them, under the IFRS Foundation. Many countries in the Middle East and North Africa, for example Jordan and the United Arab Emirates, require IFRS for listed companies. The CMA exam tests U.S. GAAP. However, Section A also asks about the main differences between U.S. GAAP and IFRS. If you learned accounting under IFRS, this is good news: most concepts are the same. Every chapter has an IFRS Contrast box, so.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 Here is the overview.</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Statement of changes in equity   ·   double-entry system</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linked. </w:t>
      </w:r>
      <w:r>
        <w:rPr>
          <w:sz w:val="19"/>
          <w:szCs w:val="19"/>
        </w:rPr>
        <w:t xml:space="preserve">Net income flows into retained earnings, and the net change in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cash balance on the balance sheet. </w:t>
      </w:r>
      <w:r>
        <w:rPr>
          <w:sz w:val="19"/>
          <w:szCs w:val="19"/>
        </w:rPr>
        <w:t xml:space="preserve">You can see both links in the January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Orontes.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outflow of 40,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outflow of 1,200 and a financing inflow of 2,300.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net income and the change in cash are very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basis at work. </w:t>
      </w:r>
      <w:r>
        <w:rPr>
          <w:sz w:val="19"/>
          <w:szCs w:val="19"/>
        </w:rPr>
        <w:t xml:space="preserve">A trial balance lists every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balance and checks that total debits equal total credits. </w:t>
      </w:r>
      <w:r>
        <w:rPr>
          <w:sz w:val="19"/>
          <w:szCs w:val="19"/>
        </w:rPr>
        <w:t xml:space="preserve">You will use it in the section check below and in the practice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transactions   ·   accrual   ·   account   ·   statements   ·   Notice   ·   dividend   ·   investing   ·   explains   ·   describes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92"/>
        <w:gridCol w:w="26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4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9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2"/>
            <w:tcMar>
              <w:top w:type="dxa" w:w="50"/>
              <w:left w:type="dxa" w:w="110"/>
              <w:bottom w:type="dxa" w:w="50"/>
              <w:right w:type="dxa" w:w="110"/>
            </w:tcMar>
          </w:tcPr>
          <w:p>
            <w:pPr>
              <w:spacing w:before="28" w:after="28"/>
            </w:pPr>
            <w:r>
              <w:rPr>
                <w:sz w:val="15"/>
                <w:szCs w:val="15"/>
              </w:rPr>
              <w:t xml:space="preserve">1,050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402"/>
            <w:shd w:fill="FBFAF6" w:val="clear"/>
            <w:tcMar>
              <w:top w:type="dxa" w:w="50"/>
              <w:left w:type="dxa" w:w="110"/>
              <w:bottom w:type="dxa" w:w="50"/>
              <w:right w:type="dxa" w:w="110"/>
            </w:tcMar>
          </w:tcPr>
          <w:p>
            <w:pPr>
              <w:spacing w:before="28" w:after="28"/>
            </w:pPr>
            <w:r>
              <w:rPr>
                <w:sz w:val="15"/>
                <w:szCs w:val="15"/>
              </w:rPr>
              <w:t xml:space="preserve">300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2"/>
            <w:shd w:fill="FBFAF6" w:val="clear"/>
            <w:tcMar>
              <w:top w:type="dxa" w:w="50"/>
              <w:left w:type="dxa" w:w="110"/>
              <w:bottom w:type="dxa" w:w="50"/>
              <w:right w:type="dxa" w:w="110"/>
            </w:tcMar>
          </w:tcPr>
          <w:p>
            <w:pPr>
              <w:spacing w:before="28" w:after="28"/>
            </w:pPr>
            <w:r>
              <w:rPr>
                <w:sz w:val="15"/>
                <w:szCs w:val="15"/>
              </w:rPr>
              <w:t xml:space="preserve">420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2"/>
            <w:tcMar>
              <w:top w:type="dxa" w:w="50"/>
              <w:left w:type="dxa" w:w="110"/>
              <w:bottom w:type="dxa" w:w="50"/>
              <w:right w:type="dxa" w:w="110"/>
            </w:tcMar>
          </w:tcPr>
          <w:p>
            <w:pPr>
              <w:spacing w:before="28" w:after="28"/>
            </w:pPr>
            <w:r>
              <w:rPr>
                <w:sz w:val="15"/>
                <w:szCs w:val="15"/>
              </w:rPr>
              <w:t xml:space="preserve">24</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2"/>
            <w:shd w:fill="FBFAF6" w:val="clear"/>
            <w:tcMar>
              <w:top w:type="dxa" w:w="50"/>
              <w:left w:type="dxa" w:w="110"/>
              <w:bottom w:type="dxa" w:w="50"/>
              <w:right w:type="dxa" w:w="110"/>
            </w:tcMar>
          </w:tcPr>
          <w:p>
            <w:pPr>
              <w:spacing w:before="28" w:after="28"/>
            </w:pPr>
            <w:r>
              <w:rPr>
                <w:sz w:val="15"/>
                <w:szCs w:val="15"/>
              </w:rPr>
              <w:t xml:space="preserve">936</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Equipment</w:t>
            </w:r>
          </w:p>
        </w:tc>
        <w:tc>
          <w:tcPr>
            <w:tcW w:type="pct" w:w="1402"/>
            <w:tcMar>
              <w:top w:type="dxa" w:w="50"/>
              <w:left w:type="dxa" w:w="110"/>
              <w:bottom w:type="dxa" w:w="50"/>
              <w:right w:type="dxa" w:w="110"/>
            </w:tcMar>
          </w:tcPr>
          <w:p>
            <w:pPr>
              <w:spacing w:before="28" w:after="28"/>
            </w:pPr>
            <w:r>
              <w:rPr>
                <w:sz w:val="15"/>
                <w:szCs w:val="15"/>
              </w:rPr>
              <w:t xml:space="preserve">4,200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380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50</w:t>
            </w:r>
          </w:p>
        </w:tc>
      </w:tr>
      <w:tr>
        <w:tc>
          <w:tcPr>
            <w:tcW w:type="pct" w:w="2200"/>
            <w:tcMar>
              <w:top w:type="dxa" w:w="50"/>
              <w:left w:type="dxa" w:w="110"/>
              <w:bottom w:type="dxa" w:w="50"/>
              <w:right w:type="dxa" w:w="110"/>
            </w:tcMar>
          </w:tcPr>
          <w:p>
            <w:pPr>
              <w:spacing w:before="28" w:after="28"/>
            </w:pPr>
            <w:r>
              <w:rPr>
                <w:sz w:val="15"/>
                <w:szCs w:val="15"/>
              </w:rPr>
              <w:t xml:space="preserve">Notes payable (long-term)</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Dividends declared</w:t>
            </w:r>
          </w:p>
        </w:tc>
        <w:tc>
          <w:tcPr>
            <w:tcW w:type="pct" w:w="1402"/>
            <w:tcMar>
              <w:top w:type="dxa" w:w="50"/>
              <w:left w:type="dxa" w:w="110"/>
              <w:bottom w:type="dxa" w:w="50"/>
              <w:right w:type="dxa" w:w="110"/>
            </w:tcMar>
          </w:tcPr>
          <w:p>
            <w:pPr>
              <w:spacing w:before="28" w:after="28"/>
            </w:pPr>
            <w:r>
              <w:rPr>
                <w:sz w:val="15"/>
                <w:szCs w:val="15"/>
              </w:rPr>
              <w:t xml:space="preserve">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402"/>
            <w:tcMar>
              <w:top w:type="dxa" w:w="50"/>
              <w:left w:type="dxa" w:w="110"/>
              <w:bottom w:type="dxa" w:w="50"/>
              <w:right w:type="dxa" w:w="110"/>
            </w:tcMar>
          </w:tcPr>
          <w:p>
            <w:pPr>
              <w:spacing w:before="28" w:after="28"/>
            </w:pPr>
            <w:r>
              <w:rPr>
                <w:sz w:val="15"/>
                <w:szCs w:val="15"/>
              </w:rPr>
              <w:t xml:space="preserve">1,860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520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2"/>
            <w:tcMar>
              <w:top w:type="dxa" w:w="50"/>
              <w:left w:type="dxa" w:w="110"/>
              <w:bottom w:type="dxa" w:w="50"/>
              <w:right w:type="dxa" w:w="110"/>
            </w:tcMar>
          </w:tcPr>
          <w:p>
            <w:pPr>
              <w:spacing w:before="28" w:after="28"/>
            </w:pPr>
            <w:r>
              <w:rPr>
                <w:sz w:val="15"/>
                <w:szCs w:val="15"/>
              </w:rPr>
              <w:t xml:space="preserve">300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90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Totals</w:t>
            </w:r>
          </w:p>
        </w:tc>
        <w:tc>
          <w:tcPr>
            <w:tcW w:type="pct" w:w="1402"/>
            <w:tcMar>
              <w:top w:type="dxa" w:w="50"/>
              <w:left w:type="dxa" w:w="110"/>
              <w:bottom w:type="dxa" w:w="50"/>
              <w:right w:type="dxa" w:w="110"/>
            </w:tcMar>
          </w:tcPr>
          <w:p>
            <w:pPr>
              <w:spacing w:before="28" w:after="28"/>
            </w:pPr>
            <w:r>
              <w:rPr>
                <w:sz w:val="15"/>
                <w:szCs w:val="15"/>
              </w:rPr>
              <w:t xml:space="preserve">9,750</w:t>
            </w:r>
          </w:p>
        </w:tc>
        <w:tc>
          <w:tcPr>
            <w:tcW w:type="pct" w:w="1398"/>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Depreciation expense   ·   Additional paid-in capital   ·   Accumulated depreciation   ·   Retained earnings, January 1   ·   statement of financial position   ·   Allowance for credit losses   ·   Prepaid rent   ·   Land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pageBreakBefore w:val="true"/>
        <w:spacing w:after="0"/>
      </w:pPr>
      <w:r>
        <w:rPr>
          <w:sz w:val="2"/>
        </w:rPr>
        <w:t xml:space="preserve"> </w:t>
      </w:r>
    </w:p>
    <w:p>
      <w:pPr>
        <w:spacing w:before="44" w:after="10"/>
      </w:pPr>
      <w:r>
        <w:rPr>
          <w:b/>
          <w:bCs/>
          <w:color w:val="353A7C"/>
          <w:sz w:val="18"/>
          <w:szCs w:val="18"/>
        </w:rPr>
        <w:t xml:space="preserve">Net income, and how it is reached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disclose</w:t>
            </w:r>
          </w:p>
        </w:tc>
      </w:tr>
    </w:tbl>
    <w:p/>
    <w:p>
      <w:pPr>
        <w:spacing w:before="44" w:after="14"/>
      </w:pPr>
      <w:r>
        <w:rPr>
          <w:b/>
          <w:bCs/>
          <w:color w:val="353A7C"/>
          <w:sz w:val="18"/>
          <w:szCs w:val="18"/>
        </w:rPr>
        <w:t xml:space="preserve">Summary 2</w:t>
      </w:r>
      <w:r>
        <w:rPr>
          <w:color w:val="6B7280"/>
          <w:sz w:val="16"/>
          <w:szCs w:val="16"/>
        </w:rPr>
        <w:t xml:space="preserve">      gaps 24–25</w:t>
      </w:r>
    </w:p>
    <w:p>
      <w:pPr>
        <w:spacing w:before="20" w:after="20" w:line="360" w:lineRule="auto"/>
        <w:ind w:left="200"/>
      </w:pPr>
      <w:r>
        <w:rPr>
          <w:sz w:val="19"/>
          <w:szCs w:val="19"/>
        </w:rPr>
        <w:t xml:space="preserve">MOST likely or BEST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best one. </w:t>
      </w:r>
      <w:r>
        <w:rPr>
          <w:sz w:val="19"/>
          <w:szCs w:val="19"/>
        </w:rPr>
        <w:t xml:space="preserve">NOT or EXCEPT: three options are true. </w:t>
      </w:r>
      <w:r>
        <w:rPr>
          <w:sz w:val="19"/>
          <w:szCs w:val="19"/>
        </w:rPr>
        <w:t xml:space="preserve">Find the one that is false.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   describes   ·   Choose</w:t>
            </w:r>
          </w:p>
        </w:tc>
      </w:tr>
    </w:tbl>
    <w:p/>
    <w:p>
      <w:pPr>
        <w:spacing w:before="44" w:after="10"/>
      </w:pPr>
      <w:r>
        <w:rPr>
          <w:b/>
          <w:bCs/>
          <w:color w:val="353A7C"/>
          <w:sz w:val="18"/>
          <w:szCs w:val="18"/>
        </w:rPr>
        <w:t xml:space="preserve">Reading exam questions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   ·   6   ·   dividend   ·   4</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2400"/>
            <w:tcMar>
              <w:top w:type="dxa" w:w="50"/>
              <w:left w:type="dxa" w:w="110"/>
              <w:bottom w:type="dxa" w:w="50"/>
              <w:right w:type="dxa" w:w="110"/>
            </w:tcMar>
          </w:tcPr>
          <w:p>
            <w:pPr>
              <w:spacing w:before="28" w:after="28"/>
            </w:pPr>
            <w:r>
              <w:rPr>
                <w:sz w:val="15"/>
                <w:szCs w:val="15"/>
              </w:rPr>
              <w:t xml:space="preserve">Liability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tcMar>
              <w:top w:type="dxa" w:w="50"/>
              <w:left w:type="dxa" w:w="110"/>
              <w:bottom w:type="dxa" w:w="50"/>
              <w:right w:type="dxa" w:w="110"/>
            </w:tcMar>
          </w:tcPr>
          <w:p>
            <w:pPr>
              <w:spacing w:before="28" w:after="28"/>
            </w:pPr>
            <w:r>
              <w:rPr>
                <w:sz w:val="15"/>
                <w:szCs w:val="15"/>
              </w:rPr>
              <w:t xml:space="preserve">Revenue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Expense</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Contra-asset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Asset   ·   Equity   ·   Debit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matching principle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 of changes in 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Notice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4</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Allowance for credit losses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rent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statement of changes in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Land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four statements are linked. Net income flows into retained earnings, and the net change in cash explains the cash balance on the balance sheet. You can see both links in the January transactions of Orontes. The dividend declared was 50, so retained earnings rose by 30. Cash rose by 1,060: an operating outflow of 40, an investing outflow of 1,200 and a financing inflow of 2,300. Notice that net income and the change in cash are very different numbers. This is the accrual basis at work. A trial balance lists every account balance and checks that total debits equal total credits. You will use it in the section check below and in the practice set.</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Choose the best one. NOT or EXCEPT: three options are true. Find the one that is false.</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Purpose and structure of the balance sheet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balance sheet   ·   right of setoff   ·   Other presentation matters</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balance sheet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assets, liabilities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one point in time. </w:t>
      </w:r>
      <w:r>
        <w:rPr>
          <w:sz w:val="19"/>
          <w:szCs w:val="19"/>
        </w:rPr>
        <w:t xml:space="preserve">It answers three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investors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Can the company pay its bills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months? This is liquidity. </w:t>
      </w:r>
      <w:r>
        <w:rPr>
          <w:sz w:val="19"/>
          <w:szCs w:val="19"/>
        </w:rPr>
        <w:t xml:space="preserve">Can it pay all its debts over time? This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Can it raise cash or change its plans if something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happens? This is financial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 companies that file with the SEC present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It separates current from noncurrent assets and current from noncurrent liabilities, so users can see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position at once. </w:t>
      </w:r>
      <w:r>
        <w:rPr>
          <w:sz w:val="19"/>
          <w:szCs w:val="19"/>
        </w:rPr>
        <w:t xml:space="preserve">Some companies, such as banks, list items in order of liquidity instead, without a current subtotal.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company's   ·   unexpected   ·   equity   ·   classified   ·   lenders   ·   solvency   ·   short-term   ·   coming   ·   flexibility   ·   subtotal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 classified balance sheets at December 31, 2025 and 2024</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Foods Inc.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Dec 31, 2025</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Dec 31, 2024</w:t>
            </w:r>
          </w:p>
        </w:tc>
      </w:tr>
      <w:tr>
        <w:tc>
          <w:tcPr>
            <w:tcW w:type="pct" w:w="2200"/>
            <w:tcMar>
              <w:top w:type="dxa" w:w="50"/>
              <w:left w:type="dxa" w:w="110"/>
              <w:bottom w:type="dxa" w:w="50"/>
              <w:right w:type="dxa" w:w="110"/>
            </w:tcMar>
          </w:tcPr>
          <w:p>
            <w:pPr>
              <w:spacing w:before="28" w:after="28"/>
            </w:pPr>
            <w:r>
              <w:rPr>
                <w:sz w:val="15"/>
                <w:szCs w:val="15"/>
              </w:rPr>
              <w:t xml:space="preserve">ASSETS</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Current assets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Cash</w:t>
            </w:r>
          </w:p>
        </w:tc>
        <w:tc>
          <w:tcPr>
            <w:tcW w:type="pct" w:w="1400"/>
            <w:tcMar>
              <w:top w:type="dxa" w:w="50"/>
              <w:left w:type="dxa" w:w="110"/>
              <w:bottom w:type="dxa" w:w="50"/>
              <w:right w:type="dxa" w:w="110"/>
            </w:tcMar>
          </w:tcPr>
          <w:p>
            <w:pPr>
              <w:spacing w:before="28" w:after="28"/>
            </w:pPr>
            <w:r>
              <w:rPr>
                <w:sz w:val="15"/>
                <w:szCs w:val="15"/>
              </w:rPr>
              <w:t xml:space="preserve">7,302,100</w:t>
            </w:r>
          </w:p>
        </w:tc>
        <w:tc>
          <w:tcPr>
            <w:tcW w:type="pct" w:w="1400"/>
            <w:tcMar>
              <w:top w:type="dxa" w:w="50"/>
              <w:left w:type="dxa" w:w="110"/>
              <w:bottom w:type="dxa" w:w="50"/>
              <w:right w:type="dxa" w:w="110"/>
            </w:tcMar>
          </w:tcPr>
          <w:p>
            <w:pPr>
              <w:spacing w:before="28" w:after="28"/>
            </w:pPr>
            <w:r>
              <w:rPr>
                <w:sz w:val="15"/>
                <w:szCs w:val="15"/>
              </w:rPr>
              <w:t xml:space="preserve">2,100,000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Trading securities</w:t>
            </w:r>
          </w:p>
        </w:tc>
        <w:tc>
          <w:tcPr>
            <w:tcW w:type="pct" w:w="1400"/>
            <w:shd w:fill="FBFAF6" w:val="clear"/>
            <w:tcMar>
              <w:top w:type="dxa" w:w="50"/>
              <w:left w:type="dxa" w:w="110"/>
              <w:bottom w:type="dxa" w:w="50"/>
              <w:right w:type="dxa" w:w="110"/>
            </w:tcMar>
          </w:tcPr>
          <w:p>
            <w:pPr>
              <w:spacing w:before="28" w:after="28"/>
            </w:pPr>
            <w:r>
              <w:rPr>
                <w:sz w:val="15"/>
                <w:szCs w:val="15"/>
              </w:rPr>
              <w:t xml:space="preserve">42,000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200"/>
            <w:tcMar>
              <w:top w:type="dxa" w:w="50"/>
              <w:left w:type="dxa" w:w="110"/>
              <w:bottom w:type="dxa" w:w="50"/>
              <w:right w:type="dxa" w:w="110"/>
            </w:tcMar>
          </w:tcPr>
          <w:p>
            <w:pPr>
              <w:spacing w:before="28" w:after="28"/>
            </w:pPr>
            <w:r>
              <w:rPr>
                <w:sz w:val="15"/>
                <w:szCs w:val="15"/>
              </w:rPr>
              <w:t xml:space="preserve">Accounts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net of allowance (2025: 156,000; 2024: 140,000)</w:t>
            </w:r>
          </w:p>
        </w:tc>
        <w:tc>
          <w:tcPr>
            <w:tcW w:type="pct" w:w="1400"/>
            <w:tcMar>
              <w:top w:type="dxa" w:w="50"/>
              <w:left w:type="dxa" w:w="110"/>
              <w:bottom w:type="dxa" w:w="50"/>
              <w:right w:type="dxa" w:w="110"/>
            </w:tcMar>
          </w:tcPr>
          <w:p>
            <w:pPr>
              <w:spacing w:before="28" w:after="28"/>
            </w:pPr>
            <w:r>
              <w:rPr>
                <w:sz w:val="15"/>
                <w:szCs w:val="15"/>
              </w:rPr>
              <w:t xml:space="preserve">4,144,000</w:t>
            </w:r>
          </w:p>
        </w:tc>
        <w:tc>
          <w:tcPr>
            <w:tcW w:type="pct" w:w="1400"/>
            <w:tcMar>
              <w:top w:type="dxa" w:w="50"/>
              <w:left w:type="dxa" w:w="110"/>
              <w:bottom w:type="dxa" w:w="50"/>
              <w:right w:type="dxa" w:w="110"/>
            </w:tcMar>
          </w:tcPr>
          <w:p>
            <w:pPr>
              <w:spacing w:before="28" w:after="28"/>
            </w:pPr>
            <w:r>
              <w:rPr>
                <w:sz w:val="15"/>
                <w:szCs w:val="15"/>
              </w:rPr>
              <w:t xml:space="preserve">3,760,000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Inventory</w:t>
            </w:r>
          </w:p>
        </w:tc>
        <w:tc>
          <w:tcPr>
            <w:tcW w:type="pct" w:w="1400"/>
            <w:shd w:fill="FBFAF6" w:val="clear"/>
            <w:tcMar>
              <w:top w:type="dxa" w:w="50"/>
              <w:left w:type="dxa" w:w="110"/>
              <w:bottom w:type="dxa" w:w="50"/>
              <w:right w:type="dxa" w:w="110"/>
            </w:tcMar>
          </w:tcPr>
          <w:p>
            <w:pPr>
              <w:spacing w:before="28" w:after="28"/>
            </w:pPr>
            <w:r>
              <w:rPr>
                <w:sz w:val="15"/>
                <w:szCs w:val="15"/>
              </w:rPr>
              <w:t xml:space="preserve">2,450,000</w:t>
            </w:r>
          </w:p>
        </w:tc>
        <w:tc>
          <w:tcPr>
            <w:tcW w:type="pct" w:w="1400"/>
            <w:shd w:fill="FBFAF6" w:val="clear"/>
            <w:tcMar>
              <w:top w:type="dxa" w:w="50"/>
              <w:left w:type="dxa" w:w="110"/>
              <w:bottom w:type="dxa" w:w="50"/>
              <w:right w:type="dxa" w:w="110"/>
            </w:tcMar>
          </w:tcPr>
          <w:p>
            <w:pPr>
              <w:spacing w:before="28" w:after="28"/>
            </w:pPr>
            <w:r>
              <w:rPr>
                <w:sz w:val="15"/>
                <w:szCs w:val="15"/>
              </w:rPr>
              <w:t xml:space="preserve">2,300,000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204,000</w:t>
            </w:r>
          </w:p>
        </w:tc>
        <w:tc>
          <w:tcPr>
            <w:tcW w:type="pct" w:w="1400"/>
            <w:tcMar>
              <w:top w:type="dxa" w:w="50"/>
              <w:left w:type="dxa" w:w="110"/>
              <w:bottom w:type="dxa" w:w="50"/>
              <w:right w:type="dxa" w:w="110"/>
            </w:tcMar>
          </w:tcPr>
          <w:p>
            <w:pPr>
              <w:spacing w:before="28" w:after="28"/>
            </w:pPr>
            <w:r>
              <w:rPr>
                <w:sz w:val="15"/>
                <w:szCs w:val="15"/>
              </w:rPr>
              <w:t xml:space="preserve">180,000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Assets held for sale</w:t>
            </w:r>
          </w:p>
        </w:tc>
        <w:tc>
          <w:tcPr>
            <w:tcW w:type="pct" w:w="1400"/>
            <w:shd w:fill="FBFAF6" w:val="clear"/>
            <w:tcMar>
              <w:top w:type="dxa" w:w="50"/>
              <w:left w:type="dxa" w:w="110"/>
              <w:bottom w:type="dxa" w:w="50"/>
              <w:right w:type="dxa" w:w="110"/>
            </w:tcMar>
          </w:tcPr>
          <w:p>
            <w:pPr>
              <w:spacing w:before="28" w:after="28"/>
            </w:pPr>
            <w:r>
              <w:rPr>
                <w:sz w:val="15"/>
                <w:szCs w:val="15"/>
              </w:rPr>
              <w:t xml:space="preserve">46,000</w:t>
            </w:r>
          </w:p>
        </w:tc>
        <w:tc>
          <w:tcPr>
            <w:tcW w:type="pct" w:w="1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Total current assets</w:t>
            </w:r>
          </w:p>
        </w:tc>
        <w:tc>
          <w:tcPr>
            <w:tcW w:type="pct" w:w="1400"/>
            <w:tcMar>
              <w:top w:type="dxa" w:w="50"/>
              <w:left w:type="dxa" w:w="110"/>
              <w:bottom w:type="dxa" w:w="50"/>
              <w:right w:type="dxa" w:w="110"/>
            </w:tcMar>
          </w:tcPr>
          <w:p>
            <w:pPr>
              <w:spacing w:before="28" w:after="28"/>
            </w:pPr>
            <w:r>
              <w:rPr>
                <w:sz w:val="15"/>
                <w:szCs w:val="15"/>
              </w:rPr>
              <w:t xml:space="preserve">14,188,100</w:t>
            </w:r>
          </w:p>
        </w:tc>
        <w:tc>
          <w:tcPr>
            <w:tcW w:type="pct" w:w="1400"/>
            <w:tcMar>
              <w:top w:type="dxa" w:w="50"/>
              <w:left w:type="dxa" w:w="110"/>
              <w:bottom w:type="dxa" w:w="50"/>
              <w:right w:type="dxa" w:w="110"/>
            </w:tcMar>
          </w:tcPr>
          <w:p>
            <w:pPr>
              <w:spacing w:before="28" w:after="28"/>
            </w:pPr>
            <w:r>
              <w:rPr>
                <w:sz w:val="15"/>
                <w:szCs w:val="15"/>
              </w:rPr>
              <w:t xml:space="preserve">8,380,000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Noncurrent assets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Debt securities (held-to-maturity and available-for-sale)</w:t>
            </w:r>
          </w:p>
        </w:tc>
        <w:tc>
          <w:tcPr>
            <w:tcW w:type="pct" w:w="1400"/>
            <w:tcMar>
              <w:top w:type="dxa" w:w="50"/>
              <w:left w:type="dxa" w:w="110"/>
              <w:bottom w:type="dxa" w:w="50"/>
              <w:right w:type="dxa" w:w="110"/>
            </w:tcMar>
          </w:tcPr>
          <w:p>
            <w:pPr>
              <w:spacing w:before="28" w:after="28"/>
            </w:pPr>
            <w:r>
              <w:rPr>
                <w:sz w:val="15"/>
                <w:szCs w:val="15"/>
              </w:rPr>
              <w:t xml:space="preserve">88,500</w:t>
            </w:r>
          </w:p>
        </w:tc>
        <w:tc>
          <w:tcPr>
            <w:tcW w:type="pct" w:w="1400"/>
            <w:tcMar>
              <w:top w:type="dxa" w:w="50"/>
              <w:left w:type="dxa" w:w="110"/>
              <w:bottom w:type="dxa" w:w="50"/>
              <w:right w:type="dxa" w:w="110"/>
            </w:tcMar>
          </w:tcPr>
          <w:p>
            <w:pPr>
              <w:spacing w:before="28" w:after="28"/>
            </w:pPr>
            <w:r>
              <w:rPr>
                <w:sz w:val="15"/>
                <w:szCs w:val="15"/>
              </w:rPr>
              <w:t xml:space="preserve">90,000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Equity securities</w:t>
            </w:r>
          </w:p>
        </w:tc>
        <w:tc>
          <w:tcPr>
            <w:tcW w:type="pct" w:w="1400"/>
            <w:shd w:fill="FBFAF6" w:val="clear"/>
            <w:tcMar>
              <w:top w:type="dxa" w:w="50"/>
              <w:left w:type="dxa" w:w="110"/>
              <w:bottom w:type="dxa" w:w="50"/>
              <w:right w:type="dxa" w:w="110"/>
            </w:tcMar>
          </w:tcPr>
          <w:p>
            <w:pPr>
              <w:spacing w:before="28" w:after="28"/>
            </w:pPr>
            <w:r>
              <w:rPr>
                <w:sz w:val="15"/>
                <w:szCs w:val="15"/>
              </w:rPr>
              <w:t xml:space="preserve">27,000</w:t>
            </w:r>
          </w:p>
        </w:tc>
        <w:tc>
          <w:tcPr>
            <w:tcW w:type="pct" w:w="1400"/>
            <w:shd w:fill="FBFAF6" w:val="clear"/>
            <w:tcMar>
              <w:top w:type="dxa" w:w="50"/>
              <w:left w:type="dxa" w:w="110"/>
              <w:bottom w:type="dxa" w:w="50"/>
              <w:right w:type="dxa" w:w="110"/>
            </w:tcMar>
          </w:tcPr>
          <w:p>
            <w:pPr>
              <w:spacing w:before="28" w:after="28"/>
            </w:pPr>
            <w:r>
              <w:rPr>
                <w:sz w:val="15"/>
                <w:szCs w:val="15"/>
              </w:rPr>
              <w:t xml:space="preserve">25,000</w:t>
            </w:r>
          </w:p>
        </w:tc>
      </w:tr>
      <w:tr>
        <w:tc>
          <w:tcPr>
            <w:tcW w:type="pct" w:w="2200"/>
            <w:tcMar>
              <w:top w:type="dxa" w:w="50"/>
              <w:left w:type="dxa" w:w="110"/>
              <w:bottom w:type="dxa" w:w="50"/>
              <w:right w:type="dxa" w:w="110"/>
            </w:tcMar>
          </w:tcPr>
          <w:p>
            <w:pPr>
              <w:spacing w:before="28" w:after="28"/>
            </w:pPr>
            <w:r>
              <w:rPr>
                <w:sz w:val="15"/>
                <w:szCs w:val="15"/>
              </w:rPr>
              <w:t xml:space="preserve">Equity-method investments</w:t>
            </w:r>
          </w:p>
        </w:tc>
        <w:tc>
          <w:tcPr>
            <w:tcW w:type="pct" w:w="1400"/>
            <w:tcMar>
              <w:top w:type="dxa" w:w="50"/>
              <w:left w:type="dxa" w:w="110"/>
              <w:bottom w:type="dxa" w:w="50"/>
              <w:right w:type="dxa" w:w="110"/>
            </w:tcMar>
          </w:tcPr>
          <w:p>
            <w:pPr>
              <w:spacing w:before="28" w:after="28"/>
            </w:pPr>
            <w:r>
              <w:rPr>
                <w:sz w:val="15"/>
                <w:szCs w:val="15"/>
              </w:rPr>
              <w:t xml:space="preserve">1,807,000</w:t>
            </w:r>
          </w:p>
        </w:tc>
        <w:tc>
          <w:tcPr>
            <w:tcW w:type="pct" w:w="1400"/>
            <w:tcMar>
              <w:top w:type="dxa" w:w="50"/>
              <w:left w:type="dxa" w:w="110"/>
              <w:bottom w:type="dxa" w:w="50"/>
              <w:right w:type="dxa" w:w="110"/>
            </w:tcMar>
          </w:tcPr>
          <w:p>
            <w:pPr>
              <w:spacing w:before="28" w:after="28"/>
            </w:pPr>
            <w:r>
              <w:rPr>
                <w:sz w:val="15"/>
                <w:szCs w:val="15"/>
              </w:rPr>
              <w:t xml:space="preserve">500,000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Property, plant and equipment, net of accumulated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(2025: 11,988,000; 2024: 8,000,000)</w:t>
            </w:r>
          </w:p>
        </w:tc>
        <w:tc>
          <w:tcPr>
            <w:tcW w:type="pct" w:w="1400"/>
            <w:shd w:fill="FBFAF6" w:val="clear"/>
            <w:tcMar>
              <w:top w:type="dxa" w:w="50"/>
              <w:left w:type="dxa" w:w="110"/>
              <w:bottom w:type="dxa" w:w="50"/>
              <w:right w:type="dxa" w:w="110"/>
            </w:tcMar>
          </w:tcPr>
          <w:p>
            <w:pPr>
              <w:spacing w:before="28" w:after="28"/>
            </w:pPr>
            <w:r>
              <w:rPr>
                <w:sz w:val="15"/>
                <w:szCs w:val="15"/>
              </w:rPr>
              <w:t xml:space="preserve">14,802,000</w:t>
            </w:r>
          </w:p>
        </w:tc>
        <w:tc>
          <w:tcPr>
            <w:tcW w:type="pct" w:w="1400"/>
            <w:shd w:fill="FBFAF6" w:val="clear"/>
            <w:tcMar>
              <w:top w:type="dxa" w:w="50"/>
              <w:left w:type="dxa" w:w="110"/>
              <w:bottom w:type="dxa" w:w="50"/>
              <w:right w:type="dxa" w:w="110"/>
            </w:tcMar>
          </w:tcPr>
          <w:p>
            <w:pPr>
              <w:spacing w:before="28" w:after="28"/>
            </w:pPr>
            <w:r>
              <w:rPr>
                <w:sz w:val="15"/>
                <w:szCs w:val="15"/>
              </w:rPr>
              <w:t xml:space="preserve">16,000,000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tcMar>
              <w:top w:type="dxa" w:w="50"/>
              <w:left w:type="dxa" w:w="110"/>
              <w:bottom w:type="dxa" w:w="50"/>
              <w:right w:type="dxa" w:w="110"/>
            </w:tcMar>
          </w:tcPr>
          <w:p>
            <w:pPr>
              <w:spacing w:before="28" w:after="28"/>
            </w:pPr>
            <w:r>
              <w:rPr>
                <w:sz w:val="15"/>
                <w:szCs w:val="15"/>
              </w:rPr>
              <w:t xml:space="preserve">260,000</w:t>
            </w:r>
          </w:p>
        </w:tc>
        <w:tc>
          <w:tcPr>
            <w:tcW w:type="pct" w:w="1400"/>
            <w:tcMar>
              <w:top w:type="dxa" w:w="50"/>
              <w:left w:type="dxa" w:w="110"/>
              <w:bottom w:type="dxa" w:w="50"/>
              <w:right w:type="dxa" w:w="110"/>
            </w:tcMar>
          </w:tcPr>
          <w:p>
            <w:pPr>
              <w:spacing w:before="28" w:after="28"/>
            </w:pPr>
            <w:r>
              <w:rPr>
                <w:sz w:val="15"/>
                <w:szCs w:val="15"/>
              </w:rPr>
              <w:t xml:space="preserve">300,000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Goodwill</w:t>
            </w:r>
          </w:p>
        </w:tc>
        <w:tc>
          <w:tcPr>
            <w:tcW w:type="pct" w:w="1400"/>
            <w:shd w:fill="FBFAF6" w:val="clear"/>
            <w:tcMar>
              <w:top w:type="dxa" w:w="50"/>
              <w:left w:type="dxa" w:w="110"/>
              <w:bottom w:type="dxa" w:w="50"/>
              <w:right w:type="dxa" w:w="110"/>
            </w:tcMar>
          </w:tcPr>
          <w:p>
            <w:pPr>
              <w:spacing w:before="28" w:after="28"/>
            </w:pPr>
            <w:r>
              <w:rPr>
                <w:sz w:val="15"/>
                <w:szCs w:val="15"/>
              </w:rPr>
              <w:t xml:space="preserve">300,000</w:t>
            </w:r>
          </w:p>
        </w:tc>
        <w:tc>
          <w:tcPr>
            <w:tcW w:type="pct" w:w="1400"/>
            <w:shd w:fill="FBFAF6" w:val="clear"/>
            <w:tcMar>
              <w:top w:type="dxa" w:w="50"/>
              <w:left w:type="dxa" w:w="110"/>
              <w:bottom w:type="dxa" w:w="50"/>
              <w:right w:type="dxa" w:w="110"/>
            </w:tcMar>
          </w:tcPr>
          <w:p>
            <w:pPr>
              <w:spacing w:before="28" w:after="28"/>
            </w:pPr>
            <w:r>
              <w:rPr>
                <w:sz w:val="15"/>
                <w:szCs w:val="15"/>
              </w:rPr>
              <w:t xml:space="preserve">950,000</w:t>
            </w:r>
          </w:p>
        </w:tc>
      </w:tr>
      <w:tr>
        <w:tc>
          <w:tcPr>
            <w:tcW w:type="pct" w:w="2200"/>
            <w:tcMar>
              <w:top w:type="dxa" w:w="50"/>
              <w:left w:type="dxa" w:w="110"/>
              <w:bottom w:type="dxa" w:w="50"/>
              <w:right w:type="dxa" w:w="110"/>
            </w:tcMar>
          </w:tcPr>
          <w:p>
            <w:pPr>
              <w:spacing w:before="28" w:after="28"/>
            </w:pPr>
            <w:r>
              <w:rPr>
                <w:sz w:val="15"/>
                <w:szCs w:val="15"/>
              </w:rPr>
              <w:t xml:space="preserve">Other noncurrent assets</w:t>
            </w:r>
          </w:p>
        </w:tc>
        <w:tc>
          <w:tcPr>
            <w:tcW w:type="pct" w:w="1400"/>
            <w:tcMar>
              <w:top w:type="dxa" w:w="50"/>
              <w:left w:type="dxa" w:w="110"/>
              <w:bottom w:type="dxa" w:w="50"/>
              <w:right w:type="dxa" w:w="110"/>
            </w:tcMar>
          </w:tcPr>
          <w:p>
            <w:pPr>
              <w:spacing w:before="28" w:after="28"/>
            </w:pPr>
            <w:r>
              <w:rPr>
                <w:sz w:val="15"/>
                <w:szCs w:val="15"/>
              </w:rPr>
              <w:t xml:space="preserve">200,000</w:t>
            </w:r>
          </w:p>
        </w:tc>
        <w:tc>
          <w:tcPr>
            <w:tcW w:type="pct" w:w="1400"/>
            <w:tcMar>
              <w:top w:type="dxa" w:w="50"/>
              <w:left w:type="dxa" w:w="110"/>
              <w:bottom w:type="dxa" w:w="50"/>
              <w:right w:type="dxa" w:w="110"/>
            </w:tcMar>
          </w:tcPr>
          <w:p>
            <w:pPr>
              <w:spacing w:before="28" w:after="28"/>
            </w:pPr>
            <w:r>
              <w:rPr>
                <w:sz w:val="15"/>
                <w:szCs w:val="15"/>
              </w:rPr>
              <w:t xml:space="preserve">200,000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ASSETS</w:t>
            </w:r>
          </w:p>
        </w:tc>
        <w:tc>
          <w:tcPr>
            <w:tcW w:type="pct" w:w="1400"/>
            <w:shd w:fill="FBFAF6" w:val="clear"/>
            <w:tcMar>
              <w:top w:type="dxa" w:w="50"/>
              <w:left w:type="dxa" w:w="110"/>
              <w:bottom w:type="dxa" w:w="50"/>
              <w:right w:type="dxa" w:w="110"/>
            </w:tcMar>
          </w:tcPr>
          <w:p>
            <w:pPr>
              <w:spacing w:before="28" w:after="28"/>
            </w:pPr>
            <w:r>
              <w:rPr>
                <w:sz w:val="15"/>
                <w:szCs w:val="15"/>
              </w:rPr>
              <w:t xml:space="preserve">31,672,600</w:t>
            </w:r>
          </w:p>
        </w:tc>
        <w:tc>
          <w:tcPr>
            <w:tcW w:type="pct" w:w="1400"/>
            <w:shd w:fill="FBFAF6" w:val="clear"/>
            <w:tcMar>
              <w:top w:type="dxa" w:w="50"/>
              <w:left w:type="dxa" w:w="110"/>
              <w:bottom w:type="dxa" w:w="50"/>
              <w:right w:type="dxa" w:w="110"/>
            </w:tcMar>
          </w:tcPr>
          <w:p>
            <w:pPr>
              <w:spacing w:before="28" w:after="28"/>
            </w:pPr>
            <w:r>
              <w:rPr>
                <w:sz w:val="15"/>
                <w:szCs w:val="15"/>
              </w:rPr>
              <w:t xml:space="preserve">26,445,000</w:t>
            </w:r>
          </w:p>
        </w:tc>
      </w:tr>
      <w:tr>
        <w:tc>
          <w:tcPr>
            <w:tcW w:type="pct" w:w="2200"/>
            <w:tcMar>
              <w:top w:type="dxa" w:w="50"/>
              <w:left w:type="dxa" w:w="110"/>
              <w:bottom w:type="dxa" w:w="50"/>
              <w:right w:type="dxa" w:w="110"/>
            </w:tcMar>
          </w:tcPr>
          <w:p>
            <w:pPr>
              <w:spacing w:before="28" w:after="28"/>
            </w:pPr>
            <w:r>
              <w:rPr>
                <w:sz w:val="15"/>
                <w:szCs w:val="15"/>
              </w:rPr>
              <w:t xml:space="preserve">LIABILITIES AND STOCKHOLDERS' EQUITY</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Current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0"/>
            <w:tcMar>
              <w:top w:type="dxa" w:w="50"/>
              <w:left w:type="dxa" w:w="110"/>
              <w:bottom w:type="dxa" w:w="50"/>
              <w:right w:type="dxa" w:w="110"/>
            </w:tcMar>
          </w:tcPr>
          <w:p>
            <w:pPr>
              <w:spacing w:before="28" w:after="28"/>
            </w:pPr>
            <w:r>
              <w:rPr>
                <w:sz w:val="15"/>
                <w:szCs w:val="15"/>
              </w:rPr>
              <w:t xml:space="preserve">2,050,000</w:t>
            </w:r>
          </w:p>
        </w:tc>
        <w:tc>
          <w:tcPr>
            <w:tcW w:type="pct" w:w="1400"/>
            <w:tcMar>
              <w:top w:type="dxa" w:w="50"/>
              <w:left w:type="dxa" w:w="110"/>
              <w:bottom w:type="dxa" w:w="50"/>
              <w:right w:type="dxa" w:w="110"/>
            </w:tcMar>
          </w:tcPr>
          <w:p>
            <w:pPr>
              <w:spacing w:before="28" w:after="28"/>
            </w:pPr>
            <w:r>
              <w:rPr>
                <w:sz w:val="15"/>
                <w:szCs w:val="15"/>
              </w:rPr>
              <w:t xml:space="preserve">1,900,000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Accrued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900,000</w:t>
            </w:r>
          </w:p>
        </w:tc>
        <w:tc>
          <w:tcPr>
            <w:tcW w:type="pct" w:w="1400"/>
            <w:shd w:fill="FBFAF6" w:val="clear"/>
            <w:tcMar>
              <w:top w:type="dxa" w:w="50"/>
              <w:left w:type="dxa" w:w="110"/>
              <w:bottom w:type="dxa" w:w="50"/>
              <w:right w:type="dxa" w:w="110"/>
            </w:tcMar>
          </w:tcPr>
          <w:p>
            <w:pPr>
              <w:spacing w:before="28" w:after="28"/>
            </w:pPr>
            <w:r>
              <w:rPr>
                <w:sz w:val="15"/>
                <w:szCs w:val="15"/>
              </w:rPr>
              <w:t xml:space="preserve">850,000</w:t>
            </w:r>
          </w:p>
        </w:tc>
      </w:tr>
      <w:tr>
        <w:tc>
          <w:tcPr>
            <w:tcW w:type="pct" w:w="2200"/>
            <w:tcMar>
              <w:top w:type="dxa" w:w="50"/>
              <w:left w:type="dxa" w:w="110"/>
              <w:bottom w:type="dxa" w:w="50"/>
              <w:right w:type="dxa" w:w="110"/>
            </w:tcMar>
          </w:tcPr>
          <w:p>
            <w:pPr>
              <w:spacing w:before="28" w:after="28"/>
            </w:pPr>
            <w:r>
              <w:rPr>
                <w:sz w:val="15"/>
                <w:szCs w:val="15"/>
              </w:rPr>
              <w:t xml:space="preserve">Income taxes payable</w:t>
            </w:r>
          </w:p>
        </w:tc>
        <w:tc>
          <w:tcPr>
            <w:tcW w:type="pct" w:w="1400"/>
            <w:tcMar>
              <w:top w:type="dxa" w:w="50"/>
              <w:left w:type="dxa" w:w="110"/>
              <w:bottom w:type="dxa" w:w="50"/>
              <w:right w:type="dxa" w:w="110"/>
            </w:tcMar>
          </w:tcPr>
          <w:p>
            <w:pPr>
              <w:spacing w:before="28" w:after="28"/>
            </w:pPr>
            <w:r>
              <w:rPr>
                <w:sz w:val="15"/>
                <w:szCs w:val="15"/>
              </w:rPr>
              <w:t xml:space="preserve">350,000</w:t>
            </w:r>
          </w:p>
        </w:tc>
        <w:tc>
          <w:tcPr>
            <w:tcW w:type="pct" w:w="1400"/>
            <w:tcMar>
              <w:top w:type="dxa" w:w="50"/>
              <w:left w:type="dxa" w:w="110"/>
              <w:bottom w:type="dxa" w:w="50"/>
              <w:right w:type="dxa" w:w="110"/>
            </w:tcMar>
          </w:tcPr>
          <w:p>
            <w:pPr>
              <w:spacing w:before="28" w:after="28"/>
            </w:pPr>
            <w:r>
              <w:rPr>
                <w:sz w:val="15"/>
                <w:szCs w:val="15"/>
              </w:rPr>
              <w:t xml:space="preserve">300,000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Contract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180,000</w:t>
            </w:r>
          </w:p>
        </w:tc>
        <w:tc>
          <w:tcPr>
            <w:tcW w:type="pct" w:w="1400"/>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200"/>
            <w:tcMar>
              <w:top w:type="dxa" w:w="50"/>
              <w:left w:type="dxa" w:w="110"/>
              <w:bottom w:type="dxa" w:w="50"/>
              <w:right w:type="dxa" w:w="110"/>
            </w:tcMar>
          </w:tcPr>
          <w:p>
            <w:pPr>
              <w:spacing w:before="28" w:after="28"/>
            </w:pPr>
            <w:r>
              <w:rPr>
                <w:sz w:val="15"/>
                <w:szCs w:val="15"/>
              </w:rPr>
              <w:t xml:space="preserve">Dividends payable</w:t>
            </w:r>
          </w:p>
        </w:tc>
        <w:tc>
          <w:tcPr>
            <w:tcW w:type="pct" w:w="1400"/>
            <w:tcMar>
              <w:top w:type="dxa" w:w="50"/>
              <w:left w:type="dxa" w:w="110"/>
              <w:bottom w:type="dxa" w:w="50"/>
              <w:right w:type="dxa" w:w="110"/>
            </w:tcMar>
          </w:tcPr>
          <w:p>
            <w:pPr>
              <w:spacing w:before="28" w:after="28"/>
            </w:pPr>
            <w:r>
              <w:rPr>
                <w:sz w:val="15"/>
                <w:szCs w:val="15"/>
              </w:rPr>
              <w:t xml:space="preserve">400,000</w:t>
            </w:r>
          </w:p>
        </w:tc>
        <w:tc>
          <w:tcPr>
            <w:tcW w:type="pct" w:w="1400"/>
            <w:tcMar>
              <w:top w:type="dxa" w:w="50"/>
              <w:left w:type="dxa" w:w="110"/>
              <w:bottom w:type="dxa" w:w="50"/>
              <w:right w:type="dxa" w:w="110"/>
            </w:tcMar>
          </w:tcPr>
          <w:p>
            <w:pPr>
              <w:spacing w:before="28" w:after="28"/>
            </w:pPr>
            <w:r>
              <w:rPr>
                <w:sz w:val="15"/>
                <w:szCs w:val="15"/>
              </w:rPr>
              <w:t xml:space="preserv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0"/>
            <w:shd w:fill="FBFAF6" w:val="clear"/>
            <w:tcMar>
              <w:top w:type="dxa" w:w="50"/>
              <w:left w:type="dxa" w:w="110"/>
              <w:bottom w:type="dxa" w:w="50"/>
              <w:right w:type="dxa" w:w="110"/>
            </w:tcMar>
          </w:tcPr>
          <w:p>
            <w:pPr>
              <w:spacing w:before="28" w:after="28"/>
            </w:pPr>
            <w:r>
              <w:rPr>
                <w:sz w:val="15"/>
                <w:szCs w:val="15"/>
              </w:rPr>
              <w:t xml:space="preserve">400,000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2200"/>
            <w:tcMar>
              <w:top w:type="dxa" w:w="50"/>
              <w:left w:type="dxa" w:w="110"/>
              <w:bottom w:type="dxa" w:w="50"/>
              <w:right w:type="dxa" w:w="110"/>
            </w:tcMar>
          </w:tcPr>
          <w:p>
            <w:pPr>
              <w:spacing w:before="28" w:after="28"/>
            </w:pPr>
            <w:r>
              <w:rPr>
                <w:sz w:val="15"/>
                <w:szCs w:val="15"/>
              </w:rPr>
              <w:t xml:space="preserve">Total current liabilities</w:t>
            </w:r>
          </w:p>
        </w:tc>
        <w:tc>
          <w:tcPr>
            <w:tcW w:type="pct" w:w="1400"/>
            <w:tcMar>
              <w:top w:type="dxa" w:w="50"/>
              <w:left w:type="dxa" w:w="110"/>
              <w:bottom w:type="dxa" w:w="50"/>
              <w:right w:type="dxa" w:w="110"/>
            </w:tcMar>
          </w:tcPr>
          <w:p>
            <w:pPr>
              <w:spacing w:before="28" w:after="28"/>
            </w:pPr>
            <w:r>
              <w:rPr>
                <w:sz w:val="15"/>
                <w:szCs w:val="15"/>
              </w:rPr>
              <w:t xml:space="preserve">4,280,000</w:t>
            </w:r>
          </w:p>
        </w:tc>
        <w:tc>
          <w:tcPr>
            <w:tcW w:type="pct" w:w="1400"/>
            <w:tcMar>
              <w:top w:type="dxa" w:w="50"/>
              <w:left w:type="dxa" w:w="110"/>
              <w:bottom w:type="dxa" w:w="50"/>
              <w:right w:type="dxa" w:w="110"/>
            </w:tcMar>
          </w:tcPr>
          <w:p>
            <w:pPr>
              <w:spacing w:before="28" w:after="28"/>
            </w:pPr>
            <w:r>
              <w:rPr>
                <w:sz w:val="15"/>
                <w:szCs w:val="15"/>
              </w:rPr>
              <w:t xml:space="preserve">3,570,000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0"/>
            <w:shd w:fill="FBFAF6" w:val="clear"/>
            <w:tcMar>
              <w:top w:type="dxa" w:w="50"/>
              <w:left w:type="dxa" w:w="110"/>
              <w:bottom w:type="dxa" w:w="50"/>
              <w:right w:type="dxa" w:w="110"/>
            </w:tcMar>
          </w:tcPr>
          <w:p>
            <w:pPr>
              <w:spacing w:before="28" w:after="28"/>
            </w:pPr>
            <w:r>
              <w:rPr>
                <w:sz w:val="15"/>
                <w:szCs w:val="15"/>
              </w:rPr>
              <w:t xml:space="preserve">6,000,000</w:t>
            </w:r>
          </w:p>
        </w:tc>
        <w:tc>
          <w:tcPr>
            <w:tcW w:type="pct" w:w="1400"/>
            <w:shd w:fill="FBFAF6" w:val="clear"/>
            <w:tcMar>
              <w:top w:type="dxa" w:w="50"/>
              <w:left w:type="dxa" w:w="110"/>
              <w:bottom w:type="dxa" w:w="50"/>
              <w:right w:type="dxa" w:w="110"/>
            </w:tcMar>
          </w:tcPr>
          <w:p>
            <w:pPr>
              <w:spacing w:before="28" w:after="28"/>
            </w:pPr>
            <w:r>
              <w:rPr>
                <w:sz w:val="15"/>
                <w:szCs w:val="15"/>
              </w:rPr>
              <w:t xml:space="preserve">5,600,000</w:t>
            </w:r>
          </w:p>
        </w:tc>
      </w:tr>
      <w:tr>
        <w:tc>
          <w:tcPr>
            <w:tcW w:type="pct" w:w="2200"/>
            <w:tcMar>
              <w:top w:type="dxa" w:w="50"/>
              <w:left w:type="dxa" w:w="110"/>
              <w:bottom w:type="dxa" w:w="50"/>
              <w:right w:type="dxa" w:w="110"/>
            </w:tcMar>
          </w:tcPr>
          <w:p>
            <w:pPr>
              <w:spacing w:before="28" w:after="28"/>
            </w:pPr>
            <w:r>
              <w:rPr>
                <w:sz w:val="15"/>
                <w:szCs w:val="15"/>
              </w:rPr>
              <w:t xml:space="preserve">Deferred tax liability</w:t>
            </w:r>
          </w:p>
        </w:tc>
        <w:tc>
          <w:tcPr>
            <w:tcW w:type="pct" w:w="1400"/>
            <w:tcMar>
              <w:top w:type="dxa" w:w="50"/>
              <w:left w:type="dxa" w:w="110"/>
              <w:bottom w:type="dxa" w:w="50"/>
              <w:right w:type="dxa" w:w="110"/>
            </w:tcMar>
          </w:tcPr>
          <w:p>
            <w:pPr>
              <w:spacing w:before="28" w:after="28"/>
            </w:pPr>
            <w:r>
              <w:rPr>
                <w:sz w:val="15"/>
                <w:szCs w:val="15"/>
              </w:rPr>
              <w:t xml:space="preserve">999,625</w:t>
            </w:r>
          </w:p>
        </w:tc>
        <w:tc>
          <w:tcPr>
            <w:tcW w:type="pct" w:w="1400"/>
            <w:tcMar>
              <w:top w:type="dxa" w:w="50"/>
              <w:left w:type="dxa" w:w="110"/>
              <w:bottom w:type="dxa" w:w="50"/>
              <w:right w:type="dxa" w:w="110"/>
            </w:tcMar>
          </w:tcPr>
          <w:p>
            <w:pPr>
              <w:spacing w:before="28" w:after="28"/>
            </w:pPr>
            <w:r>
              <w:rPr>
                <w:sz w:val="15"/>
                <w:szCs w:val="15"/>
              </w:rPr>
              <w:t xml:space="preserve">900,000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11,279,625</w:t>
            </w:r>
          </w:p>
        </w:tc>
        <w:tc>
          <w:tcPr>
            <w:tcW w:type="pct" w:w="1400"/>
            <w:shd w:fill="FBFAF6" w:val="clear"/>
            <w:tcMar>
              <w:top w:type="dxa" w:w="50"/>
              <w:left w:type="dxa" w:w="110"/>
              <w:bottom w:type="dxa" w:w="50"/>
              <w:right w:type="dxa" w:w="110"/>
            </w:tcMar>
          </w:tcPr>
          <w:p>
            <w:pPr>
              <w:spacing w:before="28" w:after="28"/>
            </w:pPr>
            <w:r>
              <w:rPr>
                <w:sz w:val="15"/>
                <w:szCs w:val="15"/>
              </w:rPr>
              <w:t xml:space="preserve">10,070,000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Stockholders' equity</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Common stock, $1 par; shares issued and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2025 8,100,000, 2024 8,000,000</w:t>
            </w:r>
          </w:p>
        </w:tc>
        <w:tc>
          <w:tcPr>
            <w:tcW w:type="pct" w:w="1400"/>
            <w:tcMar>
              <w:top w:type="dxa" w:w="50"/>
              <w:left w:type="dxa" w:w="110"/>
              <w:bottom w:type="dxa" w:w="50"/>
              <w:right w:type="dxa" w:w="110"/>
            </w:tcMar>
          </w:tcPr>
          <w:p>
            <w:pPr>
              <w:spacing w:before="28" w:after="28"/>
            </w:pPr>
            <w:r>
              <w:rPr>
                <w:sz w:val="15"/>
                <w:szCs w:val="15"/>
              </w:rPr>
              <w:t xml:space="preserve">8,100,000</w:t>
            </w:r>
          </w:p>
        </w:tc>
        <w:tc>
          <w:tcPr>
            <w:tcW w:type="pct" w:w="1400"/>
            <w:tcMar>
              <w:top w:type="dxa" w:w="50"/>
              <w:left w:type="dxa" w:w="110"/>
              <w:bottom w:type="dxa" w:w="50"/>
              <w:right w:type="dxa" w:w="110"/>
            </w:tcMar>
          </w:tcPr>
          <w:p>
            <w:pPr>
              <w:spacing w:before="28" w:after="28"/>
            </w:pPr>
            <w:r>
              <w:rPr>
                <w:sz w:val="15"/>
                <w:szCs w:val="15"/>
              </w:rPr>
              <w:t xml:space="preserve">8,000,000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0"/>
            <w:shd w:fill="FBFAF6" w:val="clear"/>
            <w:tcMar>
              <w:top w:type="dxa" w:w="50"/>
              <w:left w:type="dxa" w:w="110"/>
              <w:bottom w:type="dxa" w:w="50"/>
              <w:right w:type="dxa" w:w="110"/>
            </w:tcMar>
          </w:tcPr>
          <w:p>
            <w:pPr>
              <w:spacing w:before="28" w:after="28"/>
            </w:pPr>
            <w:r>
              <w:rPr>
                <w:sz w:val="15"/>
                <w:szCs w:val="15"/>
              </w:rPr>
              <w:t xml:space="preserve">5,400,000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4,000,000</w:t>
            </w:r>
          </w:p>
        </w:tc>
      </w:tr>
      <w:tr>
        <w:tc>
          <w:tcPr>
            <w:tcW w:type="pct" w:w="2200"/>
            <w:tcMar>
              <w:top w:type="dxa" w:w="50"/>
              <w:left w:type="dxa" w:w="110"/>
              <w:bottom w:type="dxa" w:w="50"/>
              <w:right w:type="dxa" w:w="110"/>
            </w:tcMar>
          </w:tcPr>
          <w:p>
            <w:pPr>
              <w:spacing w:before="28" w:after="28"/>
            </w:pPr>
            <w:r>
              <w:rPr>
                <w:sz w:val="15"/>
                <w:szCs w:val="15"/>
              </w:rPr>
              <w:t xml:space="preserve">Retained earnings</w:t>
            </w:r>
          </w:p>
        </w:tc>
        <w:tc>
          <w:tcPr>
            <w:tcW w:type="pct" w:w="1400"/>
            <w:tcMar>
              <w:top w:type="dxa" w:w="50"/>
              <w:left w:type="dxa" w:w="110"/>
              <w:bottom w:type="dxa" w:w="50"/>
              <w:right w:type="dxa" w:w="110"/>
            </w:tcMar>
          </w:tcPr>
          <w:p>
            <w:pPr>
              <w:spacing w:before="28" w:after="28"/>
            </w:pPr>
            <w:r>
              <w:rPr>
                <w:sz w:val="15"/>
                <w:szCs w:val="15"/>
              </w:rPr>
              <w:t xml:space="preserve">6,894,100</w:t>
            </w:r>
          </w:p>
        </w:tc>
        <w:tc>
          <w:tcPr>
            <w:tcW w:type="pct" w:w="1400"/>
            <w:tcMar>
              <w:top w:type="dxa" w:w="50"/>
              <w:left w:type="dxa" w:w="110"/>
              <w:bottom w:type="dxa" w:w="50"/>
              <w:right w:type="dxa" w:w="110"/>
            </w:tcMar>
          </w:tcPr>
          <w:p>
            <w:pPr>
              <w:spacing w:before="28" w:after="28"/>
            </w:pPr>
            <w:r>
              <w:rPr>
                <w:sz w:val="15"/>
                <w:szCs w:val="15"/>
              </w:rPr>
              <w:t xml:space="preserve">4,375,000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Accumulated other comprehensive income (loss)</w:t>
            </w:r>
          </w:p>
        </w:tc>
        <w:tc>
          <w:tcPr>
            <w:tcW w:type="pct" w:w="1400"/>
            <w:shd w:fill="FBFAF6" w:val="clear"/>
            <w:tcMar>
              <w:top w:type="dxa" w:w="50"/>
              <w:left w:type="dxa" w:w="110"/>
              <w:bottom w:type="dxa" w:w="50"/>
              <w:right w:type="dxa" w:w="110"/>
            </w:tcMar>
          </w:tcPr>
          <w:p>
            <w:pPr>
              <w:spacing w:before="28" w:after="28"/>
            </w:pPr>
            <w:r>
              <w:rPr>
                <w:sz w:val="15"/>
                <w:szCs w:val="15"/>
              </w:rPr>
              <w:t xml:space="preserve">(1,125)</w:t>
            </w:r>
          </w:p>
        </w:tc>
        <w:tc>
          <w:tcPr>
            <w:tcW w:type="pct" w:w="1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Total stockholders' equity</w:t>
            </w:r>
          </w:p>
        </w:tc>
        <w:tc>
          <w:tcPr>
            <w:tcW w:type="pct" w:w="1400"/>
            <w:tcMar>
              <w:top w:type="dxa" w:w="50"/>
              <w:left w:type="dxa" w:w="110"/>
              <w:bottom w:type="dxa" w:w="50"/>
              <w:right w:type="dxa" w:w="110"/>
            </w:tcMar>
          </w:tcPr>
          <w:p>
            <w:pPr>
              <w:spacing w:before="28" w:after="28"/>
            </w:pPr>
            <w:r>
              <w:rPr>
                <w:sz w:val="15"/>
                <w:szCs w:val="15"/>
              </w:rPr>
              <w:t xml:space="preserve">20,392,975</w:t>
            </w:r>
          </w:p>
        </w:tc>
        <w:tc>
          <w:tcPr>
            <w:tcW w:type="pct" w:w="1400"/>
            <w:tcMar>
              <w:top w:type="dxa" w:w="50"/>
              <w:left w:type="dxa" w:w="110"/>
              <w:bottom w:type="dxa" w:w="50"/>
              <w:right w:type="dxa" w:w="110"/>
            </w:tcMar>
          </w:tcPr>
          <w:p>
            <w:pPr>
              <w:spacing w:before="28" w:after="28"/>
            </w:pPr>
            <w:r>
              <w:rPr>
                <w:sz w:val="15"/>
                <w:szCs w:val="15"/>
              </w:rPr>
              <w:t xml:space="preserve">16,375,000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LIABILITIES AND STOCKHOLDERS' EQUITY</w:t>
            </w:r>
          </w:p>
        </w:tc>
        <w:tc>
          <w:tcPr>
            <w:tcW w:type="pct" w:w="1400"/>
            <w:shd w:fill="FBFAF6" w:val="clear"/>
            <w:tcMar>
              <w:top w:type="dxa" w:w="50"/>
              <w:left w:type="dxa" w:w="110"/>
              <w:bottom w:type="dxa" w:w="50"/>
              <w:right w:type="dxa" w:w="110"/>
            </w:tcMar>
          </w:tcPr>
          <w:p>
            <w:pPr>
              <w:spacing w:before="28" w:after="28"/>
            </w:pPr>
            <w:r>
              <w:rPr>
                <w:sz w:val="15"/>
                <w:szCs w:val="15"/>
              </w:rPr>
              <w:t xml:space="preserve">31,672,600</w:t>
            </w:r>
          </w:p>
        </w:tc>
        <w:tc>
          <w:tcPr>
            <w:tcW w:type="pct" w:w="1400"/>
            <w:shd w:fill="FBFAF6" w:val="clear"/>
            <w:tcMar>
              <w:top w:type="dxa" w:w="50"/>
              <w:left w:type="dxa" w:w="110"/>
              <w:bottom w:type="dxa" w:w="50"/>
              <w:right w:type="dxa" w:w="110"/>
            </w:tcMar>
          </w:tcPr>
          <w:p>
            <w:pPr>
              <w:spacing w:before="28" w:after="28"/>
            </w:pPr>
            <w:r>
              <w:rPr>
                <w:sz w:val="15"/>
                <w:szCs w:val="15"/>
              </w:rPr>
              <w:t xml:space="preserve">26,445,000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expenses   ·   Current portion of long-term debt   ·   Equity-method investments   ·   Brand (indefinite-lived)   ·   Long-term debt, less current portion   ·   outstanding   ·   Additional paid-in capital   ·   depreciation   ·   receivable   ·   Accounts payable   ·   Commitments and contingencies (Note 12)</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23–28</w:t>
      </w:r>
    </w:p>
    <w:p>
      <w:pPr>
        <w:spacing w:before="20" w:after="20" w:line="360" w:lineRule="auto"/>
        <w:ind w:left="200"/>
      </w:pPr>
      <w:r>
        <w:rPr>
          <w:sz w:val="19"/>
          <w:szCs w:val="19"/>
        </w:rPr>
        <w:t xml:space="preserve">Read the figure from the top.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assets come first, from cash down to assets held for sale. </w:t>
      </w:r>
      <w:r>
        <w:rPr>
          <w:sz w:val="19"/>
          <w:szCs w:val="19"/>
        </w:rPr>
        <w:t xml:space="preserve">Then come the noncurrent assets: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property, plant and equipment,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assets.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follow the same order, and equity comes last. </w:t>
      </w:r>
      <w:r>
        <w:rPr>
          <w:sz w:val="19"/>
          <w:szCs w:val="19"/>
        </w:rPr>
        <w:t xml:space="preserve">Contra accounts, such as the allowance for credit losses and accumulated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 shown with the asset they reduce. </w:t>
      </w:r>
      <w:r>
        <w:rPr>
          <w:sz w:val="19"/>
          <w:szCs w:val="19"/>
        </w:rPr>
        <w:t xml:space="preserve">The line Commitments and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has no amount; it tells the reader to look at a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intangible   ·   depreciation   ·   Liabilities   ·   Current   ·   investments   ·   contingencies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السيولة   ·   liquidity   ·   classified balance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2"/>
        <w:gridCol w:w="49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3"/>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577"/>
            <w:tcMar>
              <w:top w:type="dxa" w:w="50"/>
              <w:left w:type="dxa" w:w="110"/>
              <w:bottom w:type="dxa" w:w="50"/>
              <w:right w:type="dxa" w:w="110"/>
            </w:tcMar>
          </w:tcPr>
          <w:p>
            <w:pPr>
              <w:spacing w:before="26" w:after="26"/>
            </w:pPr>
            <w:r>
              <w:rPr>
                <w:color w:val="232733"/>
                <w:sz w:val="16"/>
                <w:szCs w:val="16"/>
              </w:rPr>
              <w:t xml:space="preserve">قائمة المركز المالي المبوبة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liquidity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السيولة</w:t>
            </w:r>
          </w:p>
        </w:tc>
      </w:tr>
      <w:tr>
        <w:tc>
          <w:tcPr>
            <w:tcW w:type="pct" w:w="2423"/>
            <w:tcMar>
              <w:top w:type="dxa" w:w="50"/>
              <w:left w:type="dxa" w:w="110"/>
              <w:bottom w:type="dxa" w:w="50"/>
              <w:right w:type="dxa" w:w="110"/>
            </w:tcMar>
          </w:tcPr>
          <w:p>
            <w:pPr>
              <w:spacing w:before="26" w:after="26"/>
            </w:pPr>
            <w:r>
              <w:rPr>
                <w:color w:val="232733"/>
                <w:sz w:val="16"/>
                <w:szCs w:val="16"/>
              </w:rPr>
              <w:t xml:space="preserve">solvency</w:t>
            </w:r>
          </w:p>
        </w:tc>
        <w:tc>
          <w:tcPr>
            <w:tcW w:type="pct" w:w="2577"/>
            <w:tcMar>
              <w:top w:type="dxa" w:w="50"/>
              <w:left w:type="dxa" w:w="110"/>
              <w:bottom w:type="dxa" w:w="50"/>
              <w:right w:type="dxa" w:w="110"/>
            </w:tcMar>
          </w:tcPr>
          <w:p>
            <w:pPr>
              <w:spacing w:before="26" w:after="26"/>
            </w:pPr>
            <w:r>
              <w:rPr>
                <w:color w:val="232733"/>
                <w:sz w:val="16"/>
                <w:szCs w:val="16"/>
              </w:rPr>
              <w:t xml:space="preserve">الملاءة المالية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المرونة المالية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Purpose and structure of the balance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Purpose and structure of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Brand (indefinite-lived)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 presentation matters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Current portion of long-term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Long-term debt, less current 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Commitments and contingencies (Note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solvency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unexpected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flexibility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contingencies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Prepaid expenses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classified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liquidity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flexibility. U.S. companies that file with the SEC present a classified balance sheet. It separates current from noncurrent assets and current from noncurrent liabilities, so users can see the short-term position at once. Some companies, such as banks, list items in order of liquidity instead, without a current subtotal.</w:t>
      </w:r>
    </w:p>
    <w:p>
      <w:pPr>
        <w:spacing w:before="20" w:after="20"/>
        <w:ind w:left="240" w:hanging="240"/>
      </w:pPr>
      <w:r>
        <w:rPr>
          <w:b/>
          <w:bCs/>
          <w:color w:val="353A7C"/>
          <w:sz w:val="15"/>
          <w:szCs w:val="15"/>
        </w:rPr>
        <w:t xml:space="preserve">Summary 2   </w:t>
      </w:r>
      <w:r>
        <w:rPr>
          <w:color w:val="6B7280"/>
          <w:sz w:val="15"/>
          <w:szCs w:val="15"/>
        </w:rPr>
        <w:t xml:space="preserve">Read the figure from the top. Current assets come first, from cash down to assets held for sale. Then come the noncurrent assets: investments, property, plant and equipment, and intangible assets. Liabilities follow the same order, and equity comes last. Contra accounts, such as the allowance for credit losses and accumulated depreciation, are shown with the asset they reduce. The line Commitments and contingencies has no amount; it tells the reader to look at a note.</w:t>
      </w:r>
    </w:p>
    <w:p>
      <w:pPr>
        <w:sectPr>
          <w:headerReference w:type="default" r:id="rIdHdr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Current and noncurrent items</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Current assets are cash and other assets that the company expects to turn into cash, sell or use up within one year or within its operating cycle,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longer. </w:t>
      </w:r>
      <w:r>
        <w:rPr>
          <w:sz w:val="19"/>
          <w:szCs w:val="19"/>
        </w:rPr>
        <w:t xml:space="preserve">The operating cycle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time from buying materials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from customers. </w:t>
      </w:r>
      <w:r>
        <w:rPr>
          <w:sz w:val="19"/>
          <w:szCs w:val="19"/>
        </w:rPr>
        <w:t xml:space="preserve">Current liabilities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company expects to settle by using current assets or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other current liabilities. </w:t>
      </w:r>
      <w:r>
        <w:rPr>
          <w:sz w:val="19"/>
          <w:szCs w:val="19"/>
        </w:rPr>
        <w:t xml:space="preserve">Some assets that look current are not.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cash set aside to repay long-term debt or to build a plant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So are long-term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receivables that will not be collected within the period, the cash surrender value of life insurance, and long-term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side, current portion of long-term debt is current, because that part of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due within a year. </w:t>
      </w:r>
      <w:r>
        <w:rPr>
          <w:sz w:val="19"/>
          <w:szCs w:val="19"/>
        </w:rPr>
        <w:t xml:space="preserve">Two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come directly from these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   liability   ·   principal   ·   investments   ·   obligations   ·   collecting   ·   creating   ·   Reclassifying   ·   whichever   ·   prepayments   ·   measures   ·   Restricted   ·   noncurrent</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Working capital is current assets minus current liabilities. </w:t>
      </w:r>
      <w:r>
        <w:rPr>
          <w:sz w:val="19"/>
          <w:szCs w:val="19"/>
        </w:rPr>
        <w:t xml:space="preserve">The current ratio is current assets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current liabilities. </w:t>
      </w:r>
      <w:r>
        <w:rPr>
          <w:sz w:val="19"/>
          <w:szCs w:val="19"/>
        </w:rPr>
        <w:t xml:space="preserve">For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the end of 2025, working capital is $14,188,100 − $4,280,000 = $9,908,100, and the current ratio is 3.31. </w:t>
      </w:r>
      <w:r>
        <w:rPr>
          <w:sz w:val="19"/>
          <w:szCs w:val="19"/>
        </w:rPr>
        <w:t xml:space="preserve">A year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ratio was 2.35. </w:t>
      </w:r>
      <w:r>
        <w:rPr>
          <w:sz w:val="19"/>
          <w:szCs w:val="19"/>
        </w:rPr>
        <w:t xml:space="preserve">Part 2 of the CMA exam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these ratios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analyzes   ·   Orontes   ·   earlier   ·   solvency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Working capital or the ratio?</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Paying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 cash reduces current assets and current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by the same amount: working capital does not change, but the current ratio changes.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debt from current to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increases working capital and the current ratio. </w:t>
      </w:r>
      <w:r>
        <w:rPr>
          <w:sz w:val="19"/>
          <w:szCs w:val="19"/>
        </w:rPr>
        <w:t xml:space="preserve">Use the operating cycle only when it is longer than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   liabilities   ·   capital   ·   Reclassifying   ·   supplier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three Orontes items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21–26</w:t>
      </w:r>
    </w:p>
    <w:p>
      <w:pPr>
        <w:spacing w:before="20" w:after="20" w:line="360" w:lineRule="auto"/>
        <w:ind w:left="200"/>
      </w:pPr>
      <w:r>
        <w:rPr>
          <w:sz w:val="19"/>
          <w:szCs w:val="19"/>
        </w:rPr>
        <w:t xml:space="preserve">Next year's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 long-term debt, $400,000. </w:t>
      </w:r>
      <w:r>
        <w:rPr>
          <w:sz w:val="19"/>
          <w:szCs w:val="19"/>
        </w:rPr>
        <w:t xml:space="preserve">It is due within one year, so it is a current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the rest of the debt stays noncurrent.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van held for sale, $46,000. </w:t>
      </w:r>
      <w:r>
        <w:rPr>
          <w:sz w:val="19"/>
          <w:szCs w:val="19"/>
        </w:rPr>
        <w:t xml:space="preserve">Orontes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sell it within the year, so it is a current asset, outside PP&amp;E. </w:t>
      </w:r>
      <w:r>
        <w:rPr>
          <w:sz w:val="19"/>
          <w:szCs w:val="19"/>
        </w:rPr>
        <w:t xml:space="preserve">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investments, $1,807,000. </w:t>
      </w:r>
      <w:r>
        <w:rPr>
          <w:sz w:val="19"/>
          <w:szCs w:val="19"/>
        </w:rPr>
        <w:t xml:space="preserve">Orontes plans to hold them for the long term, so they are noncurrent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assets   ·   liability   ·   obligations   ·   installment   ·   expects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Current or noncurrent?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each item: current or noncurrent?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Classification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Reason</w:t>
            </w:r>
          </w:p>
        </w:tc>
      </w:tr>
      <w:tr>
        <w:tc>
          <w:tcPr>
            <w:tcW w:type="pct" w:w="2200"/>
            <w:tcMar>
              <w:top w:type="dxa" w:w="50"/>
              <w:left w:type="dxa" w:w="110"/>
              <w:bottom w:type="dxa" w:w="50"/>
              <w:right w:type="dxa" w:w="110"/>
            </w:tcMar>
          </w:tcPr>
          <w:p>
            <w:pPr>
              <w:spacing w:before="28" w:after="28"/>
            </w:pPr>
            <w:r>
              <w:rPr>
                <w:sz w:val="15"/>
                <w:szCs w:val="15"/>
              </w:rPr>
              <w:t xml:space="preserve">Cash set aside in a sinking fund to repay bonds in 2029</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042"/>
            <w:tcMar>
              <w:top w:type="dxa" w:w="50"/>
              <w:left w:type="dxa" w:w="110"/>
              <w:bottom w:type="dxa" w:w="50"/>
              <w:right w:type="dxa" w:w="110"/>
            </w:tcMar>
          </w:tcPr>
          <w:p>
            <w:pPr>
              <w:spacing w:before="28" w:after="28"/>
            </w:pPr>
            <w:r>
              <w:rPr>
                <w:sz w:val="15"/>
                <w:szCs w:val="15"/>
              </w:rPr>
              <w:t xml:space="preserve">Restricted for a noncurrent purpose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Date vinegar that Orontes ages for 18 months before sale</w:t>
            </w:r>
          </w:p>
        </w:tc>
        <w:tc>
          <w:tcPr>
            <w:tcW w:type="pct" w:w="758"/>
            <w:shd w:fill="FBFAF6" w:val="clear"/>
            <w:tcMar>
              <w:top w:type="dxa" w:w="50"/>
              <w:left w:type="dxa" w:w="110"/>
              <w:bottom w:type="dxa" w:w="50"/>
              <w:right w:type="dxa" w:w="110"/>
            </w:tcMar>
          </w:tcPr>
          <w:p>
            <w:pPr>
              <w:spacing w:before="28" w:after="28"/>
            </w:pPr>
            <w:r>
              <w:rPr>
                <w:sz w:val="15"/>
                <w:szCs w:val="15"/>
              </w:rPr>
              <w:t xml:space="preserve">Current asset</w:t>
            </w:r>
          </w:p>
        </w:tc>
        <w:tc>
          <w:tcPr>
            <w:tcW w:type="pct" w:w="2042"/>
            <w:shd w:fill="FBFAF6" w:val="clear"/>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(28) </w:t>
            </w:r>
            <w:r>
              <w:rPr>
                <w:u w:val="single"/>
                <w:sz w:val="15"/>
                <w:szCs w:val="15"/>
              </w:rPr>
              <w:t xml:space="preserve">              </w:t>
            </w:r>
            <w:r>
              <w:rPr>
                <w:sz w:val="15"/>
                <w:szCs w:val="15"/>
              </w:rPr>
              <w:t xml:space="preserve"> </w:t>
            </w:r>
            <w:r>
              <w:rPr>
                <w:sz w:val="15"/>
                <w:szCs w:val="15"/>
              </w:rPr>
              <w:t xml:space="preserve"> is longer than one year, so the cycle applies</w:t>
            </w:r>
          </w:p>
        </w:tc>
      </w:tr>
      <w:tr>
        <w:tc>
          <w:tcPr>
            <w:tcW w:type="pct" w:w="2200"/>
            <w:tcMar>
              <w:top w:type="dxa" w:w="50"/>
              <w:left w:type="dxa" w:w="110"/>
              <w:bottom w:type="dxa" w:w="50"/>
              <w:right w:type="dxa" w:w="110"/>
            </w:tcMar>
          </w:tcPr>
          <w:p>
            <w:pPr>
              <w:spacing w:before="28" w:after="28"/>
            </w:pPr>
            <w:r>
              <w:rPr>
                <w:sz w:val="15"/>
                <w:szCs w:val="15"/>
              </w:rPr>
              <w:t xml:space="preserve">Cash surrender value of an executive life insurance policy</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Bank loan due on demand; the bank has never asked for repayment</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Deferred tax asset from warranty costs expected to reverse next year</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Customer deposits for orders to be delivered next month</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asset   ·   callable debt   ·   operating cycle</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2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527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callable debt   ·   operating cycle   ·   current liabilities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4"/>
            <w:tcMar>
              <w:top w:type="dxa" w:w="50"/>
              <w:left w:type="dxa" w:w="110"/>
              <w:bottom w:type="dxa" w:w="50"/>
              <w:right w:type="dxa" w:w="110"/>
            </w:tcMar>
          </w:tcPr>
          <w:p>
            <w:pPr>
              <w:spacing w:before="26" w:after="26"/>
            </w:pPr>
            <w:r>
              <w:rPr>
                <w:color w:val="232733"/>
                <w:sz w:val="16"/>
                <w:szCs w:val="16"/>
              </w:rPr>
              <w:t xml:space="preserve">current assets</w:t>
            </w:r>
          </w:p>
        </w:tc>
        <w:tc>
          <w:tcPr>
            <w:tcW w:type="pct" w:w="2496"/>
            <w:tcMar>
              <w:top w:type="dxa" w:w="50"/>
              <w:left w:type="dxa" w:w="110"/>
              <w:bottom w:type="dxa" w:w="50"/>
              <w:right w:type="dxa" w:w="110"/>
            </w:tcMar>
          </w:tcPr>
          <w:p>
            <w:pPr>
              <w:spacing w:before="26" w:after="26"/>
            </w:pPr>
            <w:r>
              <w:rPr>
                <w:color w:val="232733"/>
                <w:sz w:val="16"/>
                <w:szCs w:val="16"/>
              </w:rPr>
              <w:t xml:space="preserve">الأصول المتداولة</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504"/>
            <w:tcMar>
              <w:top w:type="dxa" w:w="50"/>
              <w:left w:type="dxa" w:w="110"/>
              <w:bottom w:type="dxa" w:w="50"/>
              <w:right w:type="dxa" w:w="110"/>
            </w:tcMar>
          </w:tcPr>
          <w:p>
            <w:pPr>
              <w:spacing w:before="26" w:after="26"/>
            </w:pPr>
            <w:r>
              <w:rPr>
                <w:color w:val="232733"/>
                <w:sz w:val="16"/>
                <w:szCs w:val="16"/>
              </w:rPr>
              <w:t xml:space="preserve">operating cycle</w:t>
            </w:r>
          </w:p>
        </w:tc>
        <w:tc>
          <w:tcPr>
            <w:tcW w:type="pct" w:w="2496"/>
            <w:tcMar>
              <w:top w:type="dxa" w:w="50"/>
              <w:left w:type="dxa" w:w="110"/>
              <w:bottom w:type="dxa" w:w="50"/>
              <w:right w:type="dxa" w:w="110"/>
            </w:tcMar>
          </w:tcPr>
          <w:p>
            <w:pPr>
              <w:spacing w:before="26" w:after="26"/>
            </w:pPr>
            <w:r>
              <w:rPr>
                <w:color w:val="232733"/>
                <w:sz w:val="16"/>
                <w:szCs w:val="16"/>
              </w:rPr>
              <w:t xml:space="preserve">دورة التشغيل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رأس المال العامل</w:t>
            </w:r>
          </w:p>
        </w:tc>
      </w:tr>
      <w:tr>
        <w:tc>
          <w:tcPr>
            <w:tcW w:type="pct" w:w="2504"/>
            <w:tcMar>
              <w:top w:type="dxa" w:w="50"/>
              <w:left w:type="dxa" w:w="110"/>
              <w:bottom w:type="dxa" w:w="50"/>
              <w:right w:type="dxa" w:w="110"/>
            </w:tcMar>
          </w:tcPr>
          <w:p>
            <w:pPr>
              <w:spacing w:before="26" w:after="26"/>
            </w:pPr>
            <w:r>
              <w:rPr>
                <w:color w:val="232733"/>
                <w:sz w:val="16"/>
                <w:szCs w:val="16"/>
              </w:rPr>
              <w:t xml:space="preserve">current ratio</w:t>
            </w:r>
          </w:p>
        </w:tc>
        <w:tc>
          <w:tcPr>
            <w:tcW w:type="pct" w:w="2496"/>
            <w:tcMar>
              <w:top w:type="dxa" w:w="50"/>
              <w:left w:type="dxa" w:w="110"/>
              <w:bottom w:type="dxa" w:w="50"/>
              <w:right w:type="dxa" w:w="110"/>
            </w:tcMar>
          </w:tcPr>
          <w:p>
            <w:pPr>
              <w:spacing w:before="26" w:after="26"/>
            </w:pPr>
            <w:r>
              <w:rPr>
                <w:color w:val="232733"/>
                <w:sz w:val="16"/>
                <w:szCs w:val="16"/>
              </w:rPr>
              <w:t xml:space="preserve">نسبة التداول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restricted cash</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النقد المقيد</w:t>
            </w:r>
          </w:p>
        </w:tc>
      </w:tr>
    </w:tbl>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Current and noncurrent items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installment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prepayments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operating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operating cycle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 creating other current liabilities. Some assets that look current are not. Restricted cash set aside to repay long-term debt or to build a plant is noncurrent. So are long-term investments, receivables that will not be collected within the period, the cash surrender value of life insurance, and long-term prepayments. On the liability side, current portion of long-term debt is current, because that part of the principal is due within a year. Two measures come directly from these totals.</w:t>
      </w:r>
    </w:p>
    <w:p>
      <w:pPr>
        <w:spacing w:before="20" w:after="20"/>
        <w:ind w:left="240" w:hanging="240"/>
      </w:pPr>
      <w:r>
        <w:rPr>
          <w:b/>
          <w:bCs/>
          <w:color w:val="353A7C"/>
          <w:sz w:val="15"/>
          <w:szCs w:val="15"/>
        </w:rPr>
        <w:t xml:space="preserve">Summary 2   </w:t>
      </w:r>
      <w:r>
        <w:rPr>
          <w:color w:val="6B7280"/>
          <w:sz w:val="15"/>
          <w:szCs w:val="15"/>
        </w:rPr>
        <w:t xml:space="preserve">Working capital is current assets minus current liabilities. The current ratio is current assets divided by current liabilities. For Orontes at the end of 2025, working capital is $14,188,100 − $4,280,000 = $9,908,100, and the current ratio is 3.31. A year earlier the ratio was 2.35. Part 2 of the CMA exam analyzes these ratios in depth.</w:t>
      </w:r>
    </w:p>
    <w:p>
      <w:pPr>
        <w:spacing w:before="20" w:after="20"/>
        <w:ind w:left="240" w:hanging="240"/>
      </w:pPr>
      <w:r>
        <w:rPr>
          <w:b/>
          <w:bCs/>
          <w:color w:val="353A7C"/>
          <w:sz w:val="15"/>
          <w:szCs w:val="15"/>
        </w:rPr>
        <w:t xml:space="preserve">Summary 3   </w:t>
      </w:r>
      <w:r>
        <w:rPr>
          <w:color w:val="6B7280"/>
          <w:sz w:val="15"/>
          <w:szCs w:val="15"/>
        </w:rPr>
        <w:t xml:space="preserve">Paying a supplier in cash reduces current assets and current liabilities by the same amount: working capital does not change, but the current ratio changes. Reclassifying debt from current to noncurrent increases working capital and the current ratio. Use the operating cycle only when it is longer than one year.</w:t>
      </w:r>
    </w:p>
    <w:p>
      <w:pPr>
        <w:spacing w:before="20" w:after="20"/>
        <w:ind w:left="240" w:hanging="240"/>
      </w:pPr>
      <w:r>
        <w:rPr>
          <w:b/>
          <w:bCs/>
          <w:color w:val="353A7C"/>
          <w:sz w:val="15"/>
          <w:szCs w:val="15"/>
        </w:rPr>
        <w:t xml:space="preserve">Summary 4   </w:t>
      </w:r>
      <w:r>
        <w:rPr>
          <w:color w:val="6B7280"/>
          <w:sz w:val="15"/>
          <w:szCs w:val="15"/>
        </w:rPr>
        <w:t xml:space="preserve">Next year's installment on long-term debt, $400,000. It is due within one year, so it is a current liability; the rest of the debt stays noncurrent. The delivery van held for sale, $46,000. Orontes expects to sell it within the year, so it is a current asset, outside PP&amp;E. The equity-method investments, $1,807,000. Orontes plans to hold them for the long term, so they are noncurrent assets.</w:t>
      </w:r>
    </w:p>
    <w:p>
      <w:pPr>
        <w:sectPr>
          <w:headerReference w:type="default" r:id="rIdHdr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Classifying debt</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Debt is where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gets difficult, and where the exam likes to test. </w:t>
      </w:r>
      <w:r>
        <w:rPr>
          <w:sz w:val="19"/>
          <w:szCs w:val="19"/>
        </w:rPr>
        <w:t xml:space="preserve">Long-term debt that is due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split: the current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long-term debt is current and the rest is noncurrent.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shows $400,000 as current and $6,000,000 as long-term. </w:t>
      </w:r>
      <w:r>
        <w:rPr>
          <w:sz w:val="19"/>
          <w:szCs w:val="19"/>
        </w:rPr>
        <w:t xml:space="preserve">Loan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contain conditions called covenants, for example a maximum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ratio. </w:t>
      </w:r>
      <w:r>
        <w:rPr>
          <w:sz w:val="19"/>
          <w:szCs w:val="19"/>
        </w:rPr>
        <w:t xml:space="preserve">If a company breaks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lender may be able to demand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once. </w:t>
      </w:r>
      <w:r>
        <w:rPr>
          <w:sz w:val="19"/>
          <w:szCs w:val="19"/>
        </w:rPr>
        <w:t xml:space="preserve">Such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debt is current, even if the company does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lender to act. </w:t>
      </w:r>
      <w:r>
        <w:rPr>
          <w:sz w:val="19"/>
          <w:szCs w:val="19"/>
        </w:rPr>
        <w:t xml:space="preserve">It stays noncurrent only if,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issued, the lender gives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more than one year, or a grace period exists and the company will probably cure the violation within it. </w:t>
      </w:r>
      <w:r>
        <w:rPr>
          <w:sz w:val="19"/>
          <w:szCs w:val="19"/>
        </w:rPr>
        <w:t xml:space="preserve">A subjective acceleration clause, such as a right to demand payment after a 'material adverse change', makes debt current only if acceleration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portion   ·   covenant   ·   debt-to-equity   ·   signing   ·   Orontes   ·   classification   ·   statements   ·   expect   ·   installments   ·   agreements   ·   callable   ·   repayment   ·   waiver</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Debt that is due on demand is always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debt can be shown as noncurrent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refinancing, but only if the company intends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It shows this by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long-term debt or shares after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sheet date but before the statements are issued, or by signing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financing agreement. </w:t>
      </w:r>
      <w:r>
        <w:rPr>
          <w:sz w:val="19"/>
          <w:szCs w:val="19"/>
        </w:rPr>
        <w:t xml:space="preserve">IAS 1 asks one question: at the reporting date, does the company have a right to defer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for at least twelve months?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or refinancing obtained after the reporting date does not count. </w:t>
      </w:r>
      <w:r>
        <w:rPr>
          <w:sz w:val="19"/>
          <w:szCs w:val="19"/>
        </w:rPr>
        <w:t xml:space="preserve">U.S. GAAP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events up to the date the statements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counts   ·   Short-term   ·   refinance   ·   current   ·   through   ·   waiver   ·   issuing   ·   balance   ·   intends   ·   settlement   ·   qualifying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2"/>
        <w:gridCol w:w="29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Debt classification: U.S. GAAP versus IFRS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Situation at the reporting date</w:t>
            </w:r>
          </w:p>
        </w:tc>
        <w:tc>
          <w:tcPr>
            <w:tcW w:type="pct" w:w="1287"/>
            <w:shd w:fill="353A7C" w:val="clear"/>
            <w:tcMar>
              <w:top w:type="dxa" w:w="50"/>
              <w:left w:type="dxa" w:w="110"/>
              <w:bottom w:type="dxa" w:w="50"/>
              <w:right w:type="dxa" w:w="110"/>
            </w:tcMar>
          </w:tcPr>
          <w:p>
            <w:pPr>
              <w:spacing w:before="30" w:after="30"/>
            </w:pPr>
            <w:r>
              <w:rPr>
                <w:b/>
                <w:bCs/>
                <w:color w:val="FFFFFF"/>
                <w:sz w:val="15"/>
                <w:szCs w:val="15"/>
              </w:rPr>
              <w:t xml:space="preserve">U.S. GAAP (ASC 470-10)</w:t>
            </w:r>
          </w:p>
        </w:tc>
        <w:tc>
          <w:tcPr>
            <w:tcW w:type="pct" w:w="1513"/>
            <w:shd w:fill="353A7C" w:val="clear"/>
            <w:tcMar>
              <w:top w:type="dxa" w:w="50"/>
              <w:left w:type="dxa" w:w="110"/>
              <w:bottom w:type="dxa" w:w="50"/>
              <w:right w:type="dxa" w:w="110"/>
            </w:tcMar>
          </w:tcPr>
          <w:p>
            <w:pPr>
              <w:spacing w:before="30" w:after="30"/>
            </w:pPr>
            <w:r>
              <w:rPr>
                <w:b/>
                <w:bCs/>
                <w:color w:val="FFFFFF"/>
                <w:sz w:val="15"/>
                <w:szCs w:val="15"/>
              </w:rPr>
              <w:t xml:space="preserve">IFRS (IAS 1)</w:t>
            </w:r>
          </w:p>
        </w:tc>
      </w:tr>
      <w:tr>
        <w:tc>
          <w:tcPr>
            <w:tcW w:type="pct" w:w="2200"/>
            <w:tcMar>
              <w:top w:type="dxa" w:w="50"/>
              <w:left w:type="dxa" w:w="110"/>
              <w:bottom w:type="dxa" w:w="50"/>
              <w:right w:type="dxa" w:w="110"/>
            </w:tcMar>
          </w:tcPr>
          <w:p>
            <w:pPr>
              <w:spacing w:before="28" w:after="28"/>
            </w:pPr>
            <w:r>
              <w:rPr>
                <w:sz w:val="15"/>
                <w:szCs w:val="15"/>
              </w:rPr>
              <w:t xml:space="preserve">Short-term debt refinanced long-term after year-end, before issuance</w:t>
            </w:r>
          </w:p>
        </w:tc>
        <w:tc>
          <w:tcPr>
            <w:tcW w:type="pct" w:w="1287"/>
            <w:tcMar>
              <w:top w:type="dxa" w:w="50"/>
              <w:left w:type="dxa" w:w="110"/>
              <w:bottom w:type="dxa" w:w="50"/>
              <w:right w:type="dxa" w:w="110"/>
            </w:tcMar>
          </w:tcPr>
          <w:p>
            <w:pPr>
              <w:spacing w:before="28" w:after="28"/>
            </w:pPr>
            <w:r>
              <w:rPr>
                <w:sz w:val="15"/>
                <w:szCs w:val="15"/>
              </w:rPr>
              <w:t xml:space="preserve">Noncurrent (intent and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ability)</w:t>
            </w:r>
          </w:p>
        </w:tc>
        <w:tc>
          <w:tcPr>
            <w:tcW w:type="pct" w:w="1513"/>
            <w:tcMar>
              <w:top w:type="dxa" w:w="50"/>
              <w:left w:type="dxa" w:w="110"/>
              <w:bottom w:type="dxa" w:w="50"/>
              <w:right w:type="dxa" w:w="110"/>
            </w:tcMar>
          </w:tcPr>
          <w:p>
            <w:pPr>
              <w:spacing w:before="28" w:after="28"/>
            </w:pPr>
            <w:r>
              <w:rPr>
                <w:sz w:val="15"/>
                <w:szCs w:val="15"/>
              </w:rPr>
              <w:t xml:space="preserve">Current (no right to defer at the reporting date)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broken at year-end; waiver for more than 12 months obtained after year-end</w:t>
            </w:r>
          </w:p>
        </w:tc>
        <w:tc>
          <w:tcPr>
            <w:tcW w:type="pct" w:w="1287"/>
            <w:shd w:fill="FBFAF6" w:val="clear"/>
            <w:tcMar>
              <w:top w:type="dxa" w:w="50"/>
              <w:left w:type="dxa" w:w="110"/>
              <w:bottom w:type="dxa" w:w="50"/>
              <w:right w:type="dxa" w:w="110"/>
            </w:tcMar>
          </w:tcPr>
          <w:p>
            <w:pPr>
              <w:spacing w:before="28" w:after="28"/>
            </w:pPr>
            <w:r>
              <w:rPr>
                <w:sz w:val="15"/>
                <w:szCs w:val="15"/>
              </w:rPr>
              <w:t xml:space="preserve">Noncurrent</w:t>
            </w:r>
          </w:p>
        </w:tc>
        <w:tc>
          <w:tcPr>
            <w:tcW w:type="pct" w:w="1513"/>
            <w:shd w:fill="FBFAF6" w:val="clear"/>
            <w:tcMar>
              <w:top w:type="dxa" w:w="50"/>
              <w:left w:type="dxa" w:w="110"/>
              <w:bottom w:type="dxa" w:w="50"/>
              <w:right w:type="dxa" w:w="110"/>
            </w:tcMar>
          </w:tcPr>
          <w:p>
            <w:pPr>
              <w:spacing w:before="28" w:after="28"/>
            </w:pPr>
            <w:r>
              <w:rPr>
                <w:sz w:val="15"/>
                <w:szCs w:val="15"/>
              </w:rPr>
              <w:t xml:space="preserve">Current</w:t>
            </w:r>
          </w:p>
        </w:tc>
      </w:tr>
      <w:tr>
        <w:tc>
          <w:tcPr>
            <w:tcW w:type="pct" w:w="2200"/>
            <w:tcMar>
              <w:top w:type="dxa" w:w="50"/>
              <w:left w:type="dxa" w:w="110"/>
              <w:bottom w:type="dxa" w:w="50"/>
              <w:right w:type="dxa" w:w="110"/>
            </w:tcMar>
          </w:tcPr>
          <w:p>
            <w:pPr>
              <w:spacing w:before="28" w:after="28"/>
            </w:pPr>
            <w:r>
              <w:rPr>
                <w:sz w:val="15"/>
                <w:szCs w:val="15"/>
              </w:rPr>
              <w:t xml:space="preserve">Covenant broken at year-end; waiver obtained on or before year-end</w:t>
            </w:r>
          </w:p>
        </w:tc>
        <w:tc>
          <w:tcPr>
            <w:tcW w:type="pct" w:w="1287"/>
            <w:tcMar>
              <w:top w:type="dxa" w:w="50"/>
              <w:left w:type="dxa" w:w="110"/>
              <w:bottom w:type="dxa" w:w="50"/>
              <w:right w:type="dxa" w:w="110"/>
            </w:tcMar>
          </w:tcPr>
          <w:p>
            <w:pPr>
              <w:spacing w:before="28" w:after="28"/>
            </w:pPr>
            <w:r>
              <w:rPr>
                <w:sz w:val="15"/>
                <w:szCs w:val="15"/>
              </w:rPr>
              <w:t xml:space="preserve">Noncurrent</w:t>
            </w:r>
          </w:p>
        </w:tc>
        <w:tc>
          <w:tcPr>
            <w:tcW w:type="pct" w:w="1513"/>
            <w:tcMar>
              <w:top w:type="dxa" w:w="50"/>
              <w:left w:type="dxa" w:w="110"/>
              <w:bottom w:type="dxa" w:w="50"/>
              <w:right w:type="dxa" w:w="110"/>
            </w:tcMar>
          </w:tcPr>
          <w:p>
            <w:pPr>
              <w:spacing w:before="28" w:after="28"/>
            </w:pPr>
            <w:r>
              <w:rPr>
                <w:sz w:val="15"/>
                <w:szCs w:val="15"/>
              </w:rPr>
              <w:t xml:space="preserve">Noncurrent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tested only after year-end (future compliance doubtful)</w:t>
            </w:r>
          </w:p>
        </w:tc>
        <w:tc>
          <w:tcPr>
            <w:tcW w:type="pct" w:w="1287"/>
            <w:shd w:fill="FBFAF6" w:val="clear"/>
            <w:tcMar>
              <w:top w:type="dxa" w:w="50"/>
              <w:left w:type="dxa" w:w="110"/>
              <w:bottom w:type="dxa" w:w="50"/>
              <w:right w:type="dxa" w:w="110"/>
            </w:tcMar>
          </w:tcPr>
          <w:p>
            <w:pPr>
              <w:spacing w:before="28" w:after="28"/>
            </w:pPr>
            <w:r>
              <w:rPr>
                <w:sz w:val="15"/>
                <w:szCs w:val="15"/>
              </w:rPr>
              <w:t xml:space="preserve">Noncurrent; disclose</w:t>
            </w:r>
          </w:p>
        </w:tc>
        <w:tc>
          <w:tcPr>
            <w:tcW w:type="pct" w:w="1513"/>
            <w:shd w:fill="FBFAF6" w:val="clear"/>
            <w:tcMar>
              <w:top w:type="dxa" w:w="50"/>
              <w:left w:type="dxa" w:w="110"/>
              <w:bottom w:type="dxa" w:w="50"/>
              <w:right w:type="dxa" w:w="110"/>
            </w:tcMar>
          </w:tcPr>
          <w:p>
            <w:pPr>
              <w:spacing w:before="28" w:after="28"/>
            </w:pPr>
            <w:r>
              <w:rPr>
                <w:sz w:val="15"/>
                <w:szCs w:val="15"/>
              </w:rPr>
              <w:t xml:space="preserve">Noncurrent; disclose the risk</w:t>
            </w:r>
          </w:p>
        </w:tc>
      </w:tr>
      <w:tr>
        <w:tc>
          <w:tcPr>
            <w:tcW w:type="pct" w:w="2200"/>
            <w:tcMar>
              <w:top w:type="dxa" w:w="50"/>
              <w:left w:type="dxa" w:w="110"/>
              <w:bottom w:type="dxa" w:w="50"/>
              <w:right w:type="dxa" w:w="110"/>
            </w:tcMar>
          </w:tcPr>
          <w:p>
            <w:pPr>
              <w:spacing w:before="28" w:after="28"/>
            </w:pPr>
            <w:r>
              <w:rPr>
                <w:sz w:val="15"/>
                <w:szCs w:val="15"/>
              </w:rPr>
              <w:t xml:space="preserve">Subjective acceleration clause</w:t>
            </w:r>
          </w:p>
        </w:tc>
        <w:tc>
          <w:tcPr>
            <w:tcW w:type="pct" w:w="1287"/>
            <w:tcMar>
              <w:top w:type="dxa" w:w="50"/>
              <w:left w:type="dxa" w:w="110"/>
              <w:bottom w:type="dxa" w:w="50"/>
              <w:right w:type="dxa" w:w="110"/>
            </w:tcMar>
          </w:tcPr>
          <w:p>
            <w:pPr>
              <w:spacing w:before="28" w:after="28"/>
            </w:pPr>
            <w:r>
              <w:rPr>
                <w:sz w:val="15"/>
                <w:szCs w:val="15"/>
              </w:rPr>
              <w:t xml:space="preserve">Current only if acceleration is probable</w:t>
            </w:r>
          </w:p>
        </w:tc>
        <w:tc>
          <w:tcPr>
            <w:tcW w:type="pct" w:w="1513"/>
            <w:tcMar>
              <w:top w:type="dxa" w:w="50"/>
              <w:left w:type="dxa" w:w="110"/>
              <w:bottom w:type="dxa" w:w="50"/>
              <w:right w:type="dxa" w:w="110"/>
            </w:tcMar>
          </w:tcPr>
          <w:p>
            <w:pPr>
              <w:spacing w:before="28" w:after="28"/>
            </w:pPr>
            <w:r>
              <w:rPr>
                <w:sz w:val="15"/>
                <w:szCs w:val="15"/>
              </w:rPr>
              <w:t xml:space="preserve">Ignored unless it removes the right to defer</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Deferred tax assets and liabilities</w:t>
            </w:r>
          </w:p>
        </w:tc>
        <w:tc>
          <w:tcPr>
            <w:tcW w:type="pct" w:w="1287"/>
            <w:shd w:fill="FBFAF6" w:val="clear"/>
            <w:tcMar>
              <w:top w:type="dxa" w:w="50"/>
              <w:left w:type="dxa" w:w="110"/>
              <w:bottom w:type="dxa" w:w="50"/>
              <w:right w:type="dxa" w:w="110"/>
            </w:tcMar>
          </w:tcPr>
          <w:p>
            <w:pPr>
              <w:spacing w:before="28" w:after="28"/>
            </w:pPr>
            <w:r>
              <w:rPr>
                <w:sz w:val="15"/>
                <w:szCs w:val="15"/>
              </w:rPr>
              <w:t xml:space="preserve">All noncurrent</w:t>
            </w:r>
          </w:p>
        </w:tc>
        <w:tc>
          <w:tcPr>
            <w:tcW w:type="pct" w:w="1513"/>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demonstrated   ·   All non-current   ·   working capital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25–26</w:t>
      </w:r>
    </w:p>
    <w:p>
      <w:pPr>
        <w:spacing w:before="20" w:after="20" w:line="360" w:lineRule="auto"/>
        <w:ind w:left="200"/>
      </w:pPr>
      <w:r>
        <w:rPr>
          <w:sz w:val="19"/>
          <w:szCs w:val="19"/>
        </w:rPr>
        <w:t xml:space="preserve">The FASB proposed a simpler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rule in 2017 and again in 2019, but removed the project from its agenda in April 2021. </w:t>
      </w:r>
      <w:r>
        <w:rPr>
          <w:sz w:val="19"/>
          <w:szCs w:val="19"/>
        </w:rPr>
        <w:t xml:space="preserve">Do not use the old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on the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agreements   ·   debt-classification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Debt traps</w:t>
            </w:r>
          </w:p>
        </w:tc>
      </w:tr>
    </w:tbl>
    <w:p/>
    <w:p>
      <w:pPr>
        <w:spacing w:before="44" w:after="14"/>
      </w:pPr>
      <w:r>
        <w:rPr>
          <w:b/>
          <w:bCs/>
          <w:color w:val="353A7C"/>
          <w:sz w:val="18"/>
          <w:szCs w:val="18"/>
        </w:rPr>
        <w:t xml:space="preserve">Summary 4</w:t>
      </w:r>
      <w:r>
        <w:rPr>
          <w:color w:val="6B7280"/>
          <w:sz w:val="16"/>
          <w:szCs w:val="16"/>
        </w:rPr>
        <w:t xml:space="preserve">      gaps 27–28</w:t>
      </w:r>
    </w:p>
    <w:p>
      <w:pPr>
        <w:spacing w:before="20" w:after="20" w:line="360" w:lineRule="auto"/>
        <w:ind w:left="200"/>
      </w:pPr>
      <w:r>
        <w:rPr>
          <w:sz w:val="19"/>
          <w:szCs w:val="19"/>
        </w:rPr>
        <w:t xml:space="preserve">Refinanced after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but before issuance: noncurrent under U.S. GAAP, current under IFRS. </w:t>
      </w:r>
      <w:r>
        <w:rPr>
          <w:sz w:val="19"/>
          <w:szCs w:val="19"/>
        </w:rPr>
        <w:t xml:space="preserve">Due on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always current. </w:t>
      </w:r>
      <w:r>
        <w:rPr>
          <w:sz w:val="19"/>
          <w:szCs w:val="19"/>
        </w:rPr>
        <w:t xml:space="preserve">A waiver obtained before issuance, for more than a year: noncurrent under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demand   ·   year-end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flexibility   ·   waiver   ·   callable debt   ·   subjective acceleration clause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tcMar>
              <w:top w:type="dxa" w:w="50"/>
              <w:left w:type="dxa" w:w="110"/>
              <w:bottom w:type="dxa" w:w="50"/>
              <w:right w:type="dxa" w:w="110"/>
            </w:tcMar>
          </w:tcPr>
          <w:p>
            <w:pPr>
              <w:spacing w:before="26" w:after="26"/>
            </w:pPr>
            <w:r>
              <w:rPr>
                <w:color w:val="232733"/>
                <w:sz w:val="16"/>
                <w:szCs w:val="16"/>
              </w:rPr>
              <w:t xml:space="preserve">الجزء المتداول من الديون طويلة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تعهد (شرط) في اتفاقية القرض</w:t>
            </w:r>
          </w:p>
        </w:tc>
      </w:tr>
      <w:tr>
        <w:tc>
          <w:tcPr>
            <w:tcW w:type="pct" w:w="2400"/>
            <w:tcMar>
              <w:top w:type="dxa" w:w="50"/>
              <w:left w:type="dxa" w:w="110"/>
              <w:bottom w:type="dxa" w:w="50"/>
              <w:right w:type="dxa" w:w="110"/>
            </w:tcMar>
          </w:tcPr>
          <w:p>
            <w:pPr>
              <w:spacing w:before="26" w:after="26"/>
            </w:pPr>
            <w:r>
              <w:rPr>
                <w:color w:val="232733"/>
                <w:sz w:val="16"/>
                <w:szCs w:val="16"/>
              </w:rPr>
              <w:t xml:space="preserve">callable debt</w:t>
            </w:r>
          </w:p>
        </w:tc>
        <w:tc>
          <w:tcPr>
            <w:tcW w:type="pct" w:w="2600"/>
            <w:tcMar>
              <w:top w:type="dxa" w:w="50"/>
              <w:left w:type="dxa" w:w="110"/>
              <w:bottom w:type="dxa" w:w="50"/>
              <w:right w:type="dxa" w:w="110"/>
            </w:tcMar>
          </w:tcPr>
          <w:p>
            <w:pPr>
              <w:spacing w:before="26" w:after="26"/>
            </w:pPr>
            <w:r>
              <w:rPr>
                <w:color w:val="232733"/>
                <w:sz w:val="16"/>
                <w:szCs w:val="16"/>
              </w:rPr>
              <w:t xml:space="preserve">دين قابل للاستدعاء (مستحق عند الطلب)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تنازل (إعفاء) من الدائن</w:t>
            </w:r>
          </w:p>
        </w:tc>
      </w:tr>
      <w:tr>
        <w:tc>
          <w:tcPr>
            <w:tcW w:type="pct" w:w="2400"/>
            <w:tcMar>
              <w:top w:type="dxa" w:w="50"/>
              <w:left w:type="dxa" w:w="110"/>
              <w:bottom w:type="dxa" w:w="50"/>
              <w:right w:type="dxa" w:w="110"/>
            </w:tcMar>
          </w:tcPr>
          <w:p>
            <w:pPr>
              <w:spacing w:before="26" w:after="26"/>
            </w:pPr>
            <w:r>
              <w:rPr>
                <w:color w:val="232733"/>
                <w:sz w:val="16"/>
                <w:szCs w:val="16"/>
              </w:rPr>
              <w:t xml:space="preserve">grace period</w:t>
            </w:r>
          </w:p>
        </w:tc>
        <w:tc>
          <w:tcPr>
            <w:tcW w:type="pct" w:w="2600"/>
            <w:tcMar>
              <w:top w:type="dxa" w:w="50"/>
              <w:left w:type="dxa" w:w="110"/>
              <w:bottom w:type="dxa" w:w="50"/>
              <w:right w:type="dxa" w:w="110"/>
            </w:tcMar>
          </w:tcPr>
          <w:p>
            <w:pPr>
              <w:spacing w:before="26" w:after="26"/>
            </w:pPr>
            <w:r>
              <w:rPr>
                <w:color w:val="232733"/>
                <w:sz w:val="16"/>
                <w:szCs w:val="16"/>
              </w:rPr>
              <w:t xml:space="preserve">فترة سماح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شرط التعجيل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refinancing</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التمويل</w:t>
            </w:r>
          </w:p>
        </w:tc>
      </w:tr>
    </w:tbl>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Classifying debt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installments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portion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agreements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debt-to-equity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covenant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demonstrated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All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callable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debt-classification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waiver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demand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callable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subjective acceleration clause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refinance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 Loan agreements contain conditions called covenants, for example a maximum debt-to-equity ratio.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 A subjective acceleration clause, such as a right to demand payment after a 'material adverse change', makes debt current only if acceleration is probable.</w:t>
      </w:r>
    </w:p>
    <w:p>
      <w:pPr>
        <w:spacing w:before="20" w:after="20"/>
        <w:ind w:left="240" w:hanging="240"/>
      </w:pPr>
      <w:r>
        <w:rPr>
          <w:b/>
          <w:bCs/>
          <w:color w:val="353A7C"/>
          <w:sz w:val="15"/>
          <w:szCs w:val="15"/>
        </w:rPr>
        <w:t xml:space="preserve">Summary 2   </w:t>
      </w:r>
      <w:r>
        <w:rPr>
          <w:color w:val="6B7280"/>
          <w:sz w:val="15"/>
          <w:szCs w:val="15"/>
        </w:rPr>
        <w:t xml:space="preserve">Debt that is due on demand is always current. Short-term debt can be shown as noncurrent through refinancing, but only if the company intends to refinance it on a long-term basis and shows that it can. It shows this by issuing long-term debt or shares after the balance sheet date but before the statements are issued, or by signing a qualifying financing agreement. IAS 1 asks one question: at the reporting date, does the company have a right to defer settlement for at least twelve months? A waiver or refinancing obtained after the reporting date does not count. U.S. GAAP counts events up to the date the statements are issued.</w:t>
      </w:r>
    </w:p>
    <w:p>
      <w:pPr>
        <w:spacing w:before="20" w:after="20"/>
        <w:ind w:left="240" w:hanging="240"/>
      </w:pPr>
      <w:r>
        <w:rPr>
          <w:b/>
          <w:bCs/>
          <w:color w:val="353A7C"/>
          <w:sz w:val="15"/>
          <w:szCs w:val="15"/>
        </w:rPr>
        <w:t xml:space="preserve">Summary 3   </w:t>
      </w:r>
      <w:r>
        <w:rPr>
          <w:color w:val="6B7280"/>
          <w:sz w:val="15"/>
          <w:szCs w:val="15"/>
        </w:rPr>
        <w:t xml:space="preserve">The FASB proposed a simpler debt-classification rule in 2017 and again in 2019, but removed the project from its agenda in April 2021. Do not use the old proposal on the exam.</w:t>
      </w:r>
    </w:p>
    <w:p>
      <w:pPr>
        <w:spacing w:before="20" w:after="20"/>
        <w:ind w:left="240" w:hanging="240"/>
      </w:pPr>
      <w:r>
        <w:rPr>
          <w:b/>
          <w:bCs/>
          <w:color w:val="353A7C"/>
          <w:sz w:val="15"/>
          <w:szCs w:val="15"/>
        </w:rPr>
        <w:t xml:space="preserve">Summary 4   </w:t>
      </w:r>
      <w:r>
        <w:rPr>
          <w:color w:val="6B7280"/>
          <w:sz w:val="15"/>
          <w:szCs w:val="15"/>
        </w:rPr>
        <w:t xml:space="preserve">Refinanced after year-end but before issuance: noncurrent under U.S. GAAP, current under IFRS. Due on demand: always current. A waiver obtained before issuance, for more than a year: noncurrent under U.S. GAAP.</w:t>
      </w:r>
    </w:p>
    <w:p>
      <w:pPr>
        <w:sectPr>
          <w:headerReference w:type="default" r:id="rIdHdr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Other presentation matters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few more rules decide what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balance sheet and how. </w:t>
      </w:r>
      <w:r>
        <w:rPr>
          <w:sz w:val="19"/>
          <w:szCs w:val="19"/>
        </w:rPr>
        <w:t xml:space="preserve">All deferred tax assets and liabilities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shows its 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$999,625 below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debt. </w:t>
      </w:r>
      <w:r>
        <w:rPr>
          <w:sz w:val="19"/>
          <w:szCs w:val="19"/>
        </w:rPr>
        <w:t xml:space="preserve">Assets and liabilities may be offset only when a right of setoff exists: the two parties owe each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amounts, the company has the legal right and the intent to set them off, and the right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loss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an existing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that may cause a loss, such as a lawsuit. </w:t>
      </w:r>
      <w:r>
        <w:rPr>
          <w:sz w:val="19"/>
          <w:szCs w:val="19"/>
        </w:rPr>
        <w:t xml:space="preserve">Gain contingencies are never recorded before they are realized.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determinable   ·   contingency   ·   enforceable   ·   appears   ·   liquidity   ·   noncurrent   ·   situation   ·   long-term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Loss contingencies: recognition and disclosure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Likelihood of the loss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Recognition (if reasonably estimable)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r>
      <w:tr>
        <w:tc>
          <w:tcPr>
            <w:tcW w:type="pct" w:w="758"/>
            <w:tcMar>
              <w:top w:type="dxa" w:w="50"/>
              <w:left w:type="dxa" w:w="110"/>
              <w:bottom w:type="dxa" w:w="50"/>
              <w:right w:type="dxa" w:w="110"/>
            </w:tcMar>
          </w:tcPr>
          <w:p>
            <w:pPr>
              <w:spacing w:before="28" w:after="28"/>
            </w:pPr>
            <w:r>
              <w:rPr>
                <w:sz w:val="15"/>
                <w:szCs w:val="15"/>
              </w:rPr>
              <w:t xml:space="preserve">Probable</w:t>
            </w:r>
          </w:p>
        </w:tc>
        <w:tc>
          <w:tcPr>
            <w:tcW w:type="pct" w:w="2200"/>
            <w:tcMar>
              <w:top w:type="dxa" w:w="50"/>
              <w:left w:type="dxa" w:w="110"/>
              <w:bottom w:type="dxa" w:w="50"/>
              <w:right w:type="dxa" w:w="110"/>
            </w:tcMar>
          </w:tcPr>
          <w:p>
            <w:pPr>
              <w:spacing w:before="28" w:after="28"/>
            </w:pPr>
            <w:r>
              <w:rPr>
                <w:sz w:val="15"/>
                <w:szCs w:val="15"/>
              </w:rPr>
              <w:t xml:space="preserve">Accrue a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and a loss (best estimate; if no best estimate, the minimum of the range)</w:t>
            </w:r>
          </w:p>
        </w:tc>
        <w:tc>
          <w:tcPr>
            <w:tcW w:type="pct" w:w="2042"/>
            <w:tcMar>
              <w:top w:type="dxa" w:w="50"/>
              <w:left w:type="dxa" w:w="110"/>
              <w:bottom w:type="dxa" w:w="50"/>
              <w:right w:type="dxa" w:w="110"/>
            </w:tcMar>
          </w:tcPr>
          <w:p>
            <w:pPr>
              <w:spacing w:before="28" w:after="28"/>
            </w:pPr>
            <w:r>
              <w:rPr>
                <w:sz w:val="15"/>
                <w:szCs w:val="15"/>
              </w:rPr>
              <w:t xml:space="preserve">Accrue and disclose</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Reasonably possible</w:t>
            </w:r>
          </w:p>
        </w:tc>
        <w:tc>
          <w:tcPr>
            <w:tcW w:type="pct" w:w="2200"/>
            <w:shd w:fill="FBFAF6" w:val="clear"/>
            <w:tcMar>
              <w:top w:type="dxa" w:w="50"/>
              <w:left w:type="dxa" w:w="110"/>
              <w:bottom w:type="dxa" w:w="50"/>
              <w:right w:type="dxa" w:w="110"/>
            </w:tcMar>
          </w:tcPr>
          <w:p>
            <w:pPr>
              <w:spacing w:before="28" w:after="28"/>
            </w:pPr>
            <w:r>
              <w:rPr>
                <w:sz w:val="15"/>
                <w:szCs w:val="15"/>
              </w:rPr>
              <w:t xml:space="preserve">No accrual</w:t>
            </w:r>
          </w:p>
        </w:tc>
        <w:tc>
          <w:tcPr>
            <w:tcW w:type="pct" w:w="2042"/>
            <w:shd w:fill="FBFAF6" w:val="clear"/>
            <w:tcMar>
              <w:top w:type="dxa" w:w="50"/>
              <w:left w:type="dxa" w:w="110"/>
              <w:bottom w:type="dxa" w:w="50"/>
              <w:right w:type="dxa" w:w="110"/>
            </w:tcMar>
          </w:tcPr>
          <w:p>
            <w:pPr>
              <w:spacing w:before="28" w:after="28"/>
            </w:pPr>
            <w:r>
              <w:rPr>
                <w:sz w:val="15"/>
                <w:szCs w:val="15"/>
              </w:rPr>
              <w:t xml:space="preserve">Disclose the nature and an estimate (or say it cannot be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w:t>
            </w:r>
          </w:p>
        </w:tc>
      </w:tr>
      <w:tr>
        <w:tc>
          <w:tcPr>
            <w:tcW w:type="pct" w:w="758"/>
            <w:tcMar>
              <w:top w:type="dxa" w:w="50"/>
              <w:left w:type="dxa" w:w="110"/>
              <w:bottom w:type="dxa" w:w="50"/>
              <w:right w:type="dxa" w:w="110"/>
            </w:tcMar>
          </w:tcPr>
          <w:p>
            <w:pPr>
              <w:spacing w:before="28" w:after="28"/>
            </w:pPr>
            <w:r>
              <w:rPr>
                <w:sz w:val="15"/>
                <w:szCs w:val="15"/>
              </w:rPr>
              <w:t xml:space="preserve">Remote</w:t>
            </w:r>
          </w:p>
        </w:tc>
        <w:tc>
          <w:tcPr>
            <w:tcW w:type="pct" w:w="2200"/>
            <w:tcMar>
              <w:top w:type="dxa" w:w="50"/>
              <w:left w:type="dxa" w:w="110"/>
              <w:bottom w:type="dxa" w:w="50"/>
              <w:right w:type="dxa" w:w="110"/>
            </w:tcMar>
          </w:tcPr>
          <w:p>
            <w:pPr>
              <w:spacing w:before="28" w:after="28"/>
            </w:pPr>
            <w:r>
              <w:rPr>
                <w:sz w:val="15"/>
                <w:szCs w:val="15"/>
              </w:rPr>
              <w:t xml:space="preserve">No accrual</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Gain contingency</w:t>
            </w:r>
          </w:p>
        </w:tc>
        <w:tc>
          <w:tcPr>
            <w:tcW w:type="pct" w:w="2200"/>
            <w:shd w:fill="FBFAF6" w:val="clear"/>
            <w:tcMar>
              <w:top w:type="dxa" w:w="50"/>
              <w:left w:type="dxa" w:w="110"/>
              <w:bottom w:type="dxa" w:w="50"/>
              <w:right w:type="dxa" w:w="110"/>
            </w:tcMar>
          </w:tcPr>
          <w:p>
            <w:pPr>
              <w:spacing w:before="28" w:after="28"/>
            </w:pPr>
            <w:r>
              <w:rPr>
                <w:sz w:val="15"/>
                <w:szCs w:val="15"/>
              </w:rPr>
              <w:t xml:space="preserve">Never recognized before it is realized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contingency   ·   liability   ·   estimated   ·   No disclosure (except guarantees)   ·   Disclose carefully, without misleading</w:t>
            </w:r>
          </w:p>
        </w:tc>
      </w:tr>
    </w:tbl>
    <w:p/>
    <w:p>
      <w:pPr>
        <w:spacing w:before="44" w:after="10"/>
      </w:pPr>
      <w:r>
        <w:rPr>
          <w:b/>
          <w:bCs/>
          <w:color w:val="353A7C"/>
          <w:sz w:val="18"/>
          <w:szCs w:val="18"/>
        </w:rPr>
        <w:t xml:space="preserve">Each fact, and what it settles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company discloses it in a note   ·   the company does nothing   ·   it is only reasonably possible   ·   liability</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16–25</w:t>
      </w:r>
    </w:p>
    <w:p>
      <w:pPr>
        <w:spacing w:before="20" w:after="20" w:line="360" w:lineRule="auto"/>
        <w:ind w:left="200"/>
      </w:pPr>
      <w:r>
        <w:rPr>
          <w:sz w:val="19"/>
          <w:szCs w:val="19"/>
        </w:rPr>
        <w:t xml:space="preserve">Subsequent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happen after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sheet date but before the statements are issued. </w:t>
      </w:r>
      <w:r>
        <w:rPr>
          <w:sz w:val="19"/>
          <w:szCs w:val="19"/>
        </w:rPr>
        <w:t xml:space="preserve">If an event gives more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about a condition that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existed at year-end, the company adjusts the statements. </w:t>
      </w:r>
      <w:r>
        <w:rPr>
          <w:sz w:val="19"/>
          <w:szCs w:val="19"/>
        </w:rPr>
        <w:t xml:space="preserve">If the condition arose after year-end, the company only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w:t>
      </w:r>
      <w:r>
        <w:rPr>
          <w:sz w:val="19"/>
          <w:szCs w:val="19"/>
        </w:rPr>
        <w:t xml:space="preserve">Finally, the notes begin with a summary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policies, such as the inventory method and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methods. </w:t>
      </w:r>
      <w:r>
        <w:rPr>
          <w:sz w:val="19"/>
          <w:szCs w:val="19"/>
        </w:rPr>
        <w:t xml:space="preserve">The notes are part of the statements, not an extra. </w:t>
      </w:r>
      <w:r>
        <w:rPr>
          <w:sz w:val="19"/>
          <w:szCs w:val="19"/>
        </w:rPr>
        <w:t xml:space="preserve">IFRS records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when a loss is more likely than not, a lower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than the U.S. 'probable'. </w:t>
      </w:r>
      <w:r>
        <w:rPr>
          <w:sz w:val="19"/>
          <w:szCs w:val="19"/>
        </w:rPr>
        <w:t xml:space="preserve">When the estimate is a range, IFRS usually uses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U.S. GAAP uses the best estimate or, if none, the minimum.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threshold   ·   reasonably   ·   depreciation   ·   already   ·   midpoint   ·   events   ·   information   ·   balance   ·   provision   ·   discloses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provision, allowance</w:t>
            </w:r>
          </w:p>
        </w:tc>
      </w:tr>
    </w:tbl>
    <w:p/>
    <w:p>
      <w:pPr>
        <w:spacing w:before="44" w:after="14"/>
      </w:pPr>
      <w:r>
        <w:rPr>
          <w:b/>
          <w:bCs/>
          <w:color w:val="353A7C"/>
          <w:sz w:val="18"/>
          <w:szCs w:val="18"/>
        </w:rPr>
        <w:t xml:space="preserve">Summary 3</w:t>
      </w:r>
      <w:r>
        <w:rPr>
          <w:color w:val="6B7280"/>
          <w:sz w:val="16"/>
          <w:szCs w:val="16"/>
        </w:rPr>
        <w:t xml:space="preserve">      gaps 26–27</w:t>
      </w:r>
    </w:p>
    <w:p>
      <w:pPr>
        <w:spacing w:before="20" w:after="20" w:line="360" w:lineRule="auto"/>
        <w:ind w:left="200"/>
      </w:pPr>
      <w:r>
        <w:rPr>
          <w:sz w:val="19"/>
          <w:szCs w:val="19"/>
        </w:rPr>
        <w:t xml:space="preserve">A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 liability) or even a reserve in equity. </w:t>
      </w:r>
      <w:r>
        <w:rPr>
          <w:sz w:val="19"/>
          <w:szCs w:val="19"/>
        </w:rPr>
        <w:t xml:space="preserve">In U.S. GAAP answers, use allowance for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accrued liability or loss contingency for liabilities, and never call either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contra-assets   ·   provision   ·   appears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cycle   ·   subsequent events   ·   right of setoff</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right of setoff</w:t>
            </w:r>
          </w:p>
        </w:tc>
        <w:tc>
          <w:tcPr>
            <w:tcW w:type="pct" w:w="2600"/>
            <w:tcMar>
              <w:top w:type="dxa" w:w="50"/>
              <w:left w:type="dxa" w:w="110"/>
              <w:bottom w:type="dxa" w:w="50"/>
              <w:right w:type="dxa" w:w="110"/>
            </w:tcMar>
          </w:tcPr>
          <w:p>
            <w:pPr>
              <w:spacing w:before="26" w:after="26"/>
            </w:pPr>
            <w:r>
              <w:rPr>
                <w:color w:val="232733"/>
                <w:sz w:val="16"/>
                <w:szCs w:val="16"/>
              </w:rPr>
              <w:t xml:space="preserve">حق المقاصة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 محتملة (التزام محتمل)</w:t>
            </w:r>
          </w:p>
        </w:tc>
      </w:tr>
      <w:tr>
        <w:tc>
          <w:tcPr>
            <w:tcW w:type="pct" w:w="2400"/>
            <w:tcMar>
              <w:top w:type="dxa" w:w="50"/>
              <w:left w:type="dxa" w:w="110"/>
              <w:bottom w:type="dxa" w:w="50"/>
              <w:right w:type="dxa" w:w="110"/>
            </w:tcMar>
          </w:tcPr>
          <w:p>
            <w:pPr>
              <w:spacing w:before="26" w:after="26"/>
            </w:pPr>
            <w:r>
              <w:rPr>
                <w:color w:val="232733"/>
                <w:sz w:val="16"/>
                <w:szCs w:val="16"/>
              </w:rPr>
              <w:t xml:space="preserve">subsequent events</w:t>
            </w:r>
          </w:p>
        </w:tc>
        <w:tc>
          <w:tcPr>
            <w:tcW w:type="pct" w:w="2600"/>
            <w:tcMar>
              <w:top w:type="dxa" w:w="50"/>
              <w:left w:type="dxa" w:w="110"/>
              <w:bottom w:type="dxa" w:w="50"/>
              <w:right w:type="dxa" w:w="110"/>
            </w:tcMar>
          </w:tcPr>
          <w:p>
            <w:pPr>
              <w:spacing w:before="26" w:after="26"/>
            </w:pPr>
            <w:r>
              <w:rPr>
                <w:color w:val="232733"/>
                <w:sz w:val="16"/>
                <w:szCs w:val="16"/>
              </w:rPr>
              <w:t xml:space="preserve">الأحداث اللاحقة لتاريخ الميزانية</w:t>
            </w:r>
          </w:p>
        </w:tc>
      </w:tr>
    </w:tbl>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Other presentation matters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determinable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discloses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enforceable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situation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threshold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midpoint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disclosure (except guarantees)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 carefully, without misleading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contra-assets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right of setoff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 company discloses it in a note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subsequent events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the company does nothing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the intent to set them off, and the right is enforceable. A loss contingency is an existing situation that may cause a loss, such as a lawsuit. Gain contingencies are never recorded before they are realized.</w:t>
      </w:r>
    </w:p>
    <w:p>
      <w:pPr>
        <w:spacing w:before="20" w:after="20"/>
        <w:ind w:left="240" w:hanging="240"/>
      </w:pPr>
      <w:r>
        <w:rPr>
          <w:b/>
          <w:bCs/>
          <w:color w:val="353A7C"/>
          <w:sz w:val="15"/>
          <w:szCs w:val="15"/>
        </w:rPr>
        <w:t xml:space="preserve">Summary 2   </w:t>
      </w:r>
      <w:r>
        <w:rPr>
          <w:color w:val="6B7280"/>
          <w:sz w:val="15"/>
          <w:szCs w:val="15"/>
        </w:rPr>
        <w:t xml:space="preserve">Subsequent events happen after the balance sheet date but before the statements are issued. If an event gives more information about a condition that already existed at year-end, the company adjusts the statements. If the condition arose after year-end, the company only discloses it. Finally, the notes begin with a summary of significant accounting policies, such as the inventory method and depreciation methods. The notes are part of the statements, not an extra. IFRS records a provision when a loss is more likely than not, a lower threshold than the U.S. 'probable'. When the estimate is a range, IFRS usually uses the midpoint; U.S. GAAP uses the best estimate or, if none, the minimum.</w:t>
      </w:r>
    </w:p>
    <w:p>
      <w:pPr>
        <w:spacing w:before="20" w:after="20"/>
        <w:ind w:left="240" w:hanging="240"/>
      </w:pPr>
      <w:r>
        <w:rPr>
          <w:b/>
          <w:bCs/>
          <w:color w:val="353A7C"/>
          <w:sz w:val="15"/>
          <w:szCs w:val="15"/>
        </w:rPr>
        <w:t xml:space="preserve">Summary 3   </w:t>
      </w:r>
      <w:r>
        <w:rPr>
          <w:color w:val="6B7280"/>
          <w:sz w:val="15"/>
          <w:szCs w:val="15"/>
        </w:rPr>
        <w:t xml:space="preserve">A provision (a liability) or even a reserve in equity. In U.S. GAAP answers, use allowance for contra-assets, accrued liability or loss contingency for liabilities, and never call either a reserve.</w:t>
      </w:r>
    </w:p>
    <w:p>
      <w:pPr>
        <w:sectPr>
          <w:headerReference w:type="default" r:id="rIdHdr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Limitations and links to the other statements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balance sheet is useful, but it is not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the company. </w:t>
      </w:r>
      <w:r>
        <w:rPr>
          <w:sz w:val="19"/>
          <w:szCs w:val="19"/>
        </w:rPr>
        <w:t xml:space="preserve">Most assets are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not current value: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land and buildings are shown at what they cost years ago. </w:t>
      </w:r>
      <w:r>
        <w:rPr>
          <w:sz w:val="19"/>
          <w:szCs w:val="19"/>
        </w:rPr>
        <w:t xml:space="preserve">Many amounts depend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credit losses and useful lives.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resources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developed brands, customer loyalty and a skilled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recorded, so the balance sheet usually shows much less than the market value of the company. </w:t>
      </w:r>
      <w:r>
        <w:rPr>
          <w:sz w:val="19"/>
          <w:szCs w:val="19"/>
        </w:rPr>
        <w:t xml:space="preserve">Some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 only in the notes.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balance sheet shows one day. </w:t>
      </w:r>
      <w:r>
        <w:rPr>
          <w:sz w:val="19"/>
          <w:szCs w:val="19"/>
        </w:rPr>
        <w:t xml:space="preserve">A company can improve its year-end picture, for example by delaying payments to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a few days. </w:t>
      </w:r>
      <w:r>
        <w:rPr>
          <w:sz w:val="19"/>
          <w:szCs w:val="19"/>
        </w:rPr>
        <w:t xml:space="preserve">Readers therefore compare several dates and read the other statements too. </w:t>
      </w:r>
      <w:r>
        <w:rPr>
          <w:sz w:val="19"/>
          <w:szCs w:val="19"/>
        </w:rPr>
        <w:t xml:space="preserve">The four statements are connected. </w:t>
      </w:r>
      <w:r>
        <w:rPr>
          <w:sz w:val="19"/>
          <w:szCs w:val="19"/>
        </w:rPr>
        <w:t xml:space="preserve">Net income from the income statement increases retained earnings in the statement of changes in equity, and the closing retained earnings appear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historical   ·   missing   ·   Finally   ·   Orontes's   ·   obligations   ·   allowance   ·   workforce   ·   Important   ·   Internally   ·   improve   ·   estimates   ·   valuation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The net change in cash in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cash flows explains the change in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cash. </w:t>
      </w:r>
      <w:r>
        <w:rPr>
          <w:sz w:val="19"/>
          <w:szCs w:val="19"/>
        </w:rPr>
        <w:t xml:space="preserve">Other comprehensive income works the same way.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OCI of $(1,125) does not go into retained earnings. </w:t>
      </w:r>
      <w:r>
        <w:rPr>
          <w:sz w:val="19"/>
          <w:szCs w:val="19"/>
        </w:rPr>
        <w:t xml:space="preserve">It goes into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other comprehensive income, which is $(1,125)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missing   ·   Orontes's   ·   balance-sheet   ·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Book value is not market value</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Total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equity is a book amount. </w:t>
      </w:r>
      <w:r>
        <w:rPr>
          <w:sz w:val="19"/>
          <w:szCs w:val="19"/>
        </w:rPr>
        <w:t xml:space="preserve">It is not what the company is worth, and it is not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value of the shares.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stockholders   ·   market   ·   compare</w:t>
            </w:r>
          </w:p>
        </w:tc>
      </w:tr>
    </w:tbl>
    <w:p/>
    <w:p>
      <w:pPr>
        <w:pageBreakBefore w:val="true"/>
        <w:spacing w:after="0"/>
      </w:pPr>
      <w:r>
        <w:rPr>
          <w:sz w:val="2"/>
        </w:rPr>
        <w:t xml:space="preserve"> </w:t>
      </w:r>
    </w:p>
    <w:p>
      <w:pPr>
        <w:spacing w:before="44" w:after="10"/>
      </w:pPr>
      <w:r>
        <w:rPr>
          <w:b/>
          <w:bCs/>
          <w:color w:val="353A7C"/>
          <w:sz w:val="18"/>
          <w:szCs w:val="18"/>
        </w:rPr>
        <w:t xml:space="preserve">Book value is not market value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251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rent   ·   Allowance for credit losses   ·   Accounts payable   ·   Additional paid-in capital   ·   Accounts receivable   ·   Notes payable (long-term)   ·   Cash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Cash surrender value</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(26) </w:t>
            </w:r>
            <w:r>
              <w:rPr>
                <w:u w:val="single"/>
                <w:sz w:val="15"/>
                <w:szCs w:val="15"/>
              </w:rPr>
              <w:t xml:space="preserve">              </w:t>
            </w:r>
            <w:r>
              <w:rPr>
                <w:sz w:val="15"/>
                <w:szCs w:val="15"/>
              </w:rPr>
              <w:t xml:space="preserve"> </w:t>
            </w:r>
            <w:r>
              <w:rPr>
                <w:sz w:val="15"/>
                <w:szCs w:val="15"/>
              </w:rPr>
              <w:t xml:space="preserve">: it is not expected to be turned into cash in the operating cycle.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Loan due on demand</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(27) </w:t>
            </w:r>
            <w:r>
              <w:rPr>
                <w:u w:val="single"/>
                <w:sz w:val="15"/>
                <w:szCs w:val="15"/>
              </w:rPr>
              <w:t xml:space="preserve">              </w:t>
            </w:r>
            <w:r>
              <w:rPr>
                <w:sz w:val="15"/>
                <w:szCs w:val="15"/>
              </w:rPr>
              <w:t xml:space="preserve"> </w:t>
            </w:r>
            <w:r>
              <w:rPr>
                <w:sz w:val="15"/>
                <w:szCs w:val="15"/>
              </w:rPr>
              <w:t xml:space="preserve">: debt due on demand is current, whatever the bank's expected behaviour.</w:t>
            </w:r>
          </w:p>
        </w:tc>
      </w:tr>
      <w:tr>
        <w:tc>
          <w:tcPr>
            <w:tcW w:type="pct" w:w="2400"/>
            <w:tcMar>
              <w:top w:type="dxa" w:w="50"/>
              <w:left w:type="dxa" w:w="110"/>
              <w:bottom w:type="dxa" w:w="50"/>
              <w:right w:type="dxa" w:w="110"/>
            </w:tcMar>
          </w:tcPr>
          <w:p>
            <w:pPr>
              <w:spacing w:before="28" w:after="28"/>
            </w:pPr>
            <w:r>
              <w:rPr>
                <w:sz w:val="15"/>
                <w:szCs w:val="15"/>
              </w:rPr>
              <w:t xml:space="preserve">Deferred tax asset</w:t>
            </w:r>
          </w:p>
        </w:tc>
        <w:tc>
          <w:tcPr>
            <w:tcW w:type="pct" w:w="2600"/>
            <w:tcMar>
              <w:top w:type="dxa" w:w="50"/>
              <w:left w:type="dxa" w:w="110"/>
              <w:bottom w:type="dxa" w:w="50"/>
              <w:right w:type="dxa" w:w="110"/>
            </w:tcMar>
          </w:tcPr>
          <w:p>
            <w:pPr>
              <w:spacing w:before="28" w:after="28"/>
            </w:pPr>
            <w:r>
              <w:rPr>
                <w:sz w:val="15"/>
                <w:szCs w:val="15"/>
              </w:rPr>
              <w:t xml:space="preserve">Noncurrent asset: all deferred taxes are noncurrent.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 deposits</w:t>
            </w:r>
          </w:p>
        </w:tc>
        <w:tc>
          <w:tcPr>
            <w:tcW w:type="pct" w:w="2600"/>
            <w:shd w:fill="FBFAF6" w:val="clear"/>
            <w:tcMar>
              <w:top w:type="dxa" w:w="50"/>
              <w:left w:type="dxa" w:w="110"/>
              <w:bottom w:type="dxa" w:w="50"/>
              <w:right w:type="dxa" w:w="110"/>
            </w:tcMar>
          </w:tcPr>
          <w:p>
            <w:pPr>
              <w:spacing w:before="28" w:after="28"/>
            </w:pPr>
            <w:r>
              <w:rPr>
                <w:sz w:val="15"/>
                <w:szCs w:val="15"/>
              </w:rPr>
              <w:t xml:space="preserve">Current liability (contract liability): it will be settled by delivering goods within a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callable debt   ·   Noncurrent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Noncurrent asset</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Current asset   ·   M1   ·   Equity</w:t>
            </w:r>
          </w:p>
        </w:tc>
      </w:tr>
    </w:tbl>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stockholders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allowance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Accounts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missing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Allowance for credit 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workforce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Notes payable (long-term)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balance-sheet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 Important resources are missing. Internally developed brands, customer loyalty and a skilled workforce are not recorded, so the balance sheet usually shows much less than the market value of the company. Some obligations are only in the notes. Finally, the balance sheet shows one day. A company can improve its year-end picture, for example by delaying payments to suppliers for a few days. Readers therefore compare several dates and read the other statements too. The four statements are connected. Net income from the income statement increases retained earnings in the statement of changes in equity, and the closing retained earnings appear on the balance sheet.</w:t>
      </w:r>
    </w:p>
    <w:p>
      <w:pPr>
        <w:spacing w:before="20" w:after="20"/>
        <w:ind w:left="240" w:hanging="240"/>
      </w:pPr>
      <w:r>
        <w:rPr>
          <w:b/>
          <w:bCs/>
          <w:color w:val="353A7C"/>
          <w:sz w:val="15"/>
          <w:szCs w:val="15"/>
        </w:rPr>
        <w:t xml:space="preserve">Summary 2   </w:t>
      </w:r>
      <w:r>
        <w:rPr>
          <w:color w:val="6B7280"/>
          <w:sz w:val="15"/>
          <w:szCs w:val="15"/>
        </w:rPr>
        <w:t xml:space="preserve">The net change in cash in the statement of cash flows explains the change in the balance-sheet cash. Other comprehensive income works the same way. Orontes's OCI of $(1,125) does not go into retained earnings. It goes into accumulated other comprehensive income, which is $(1,125) on the balance sheet.</w:t>
      </w:r>
    </w:p>
    <w:p>
      <w:pPr>
        <w:spacing w:before="20" w:after="20"/>
        <w:ind w:left="240" w:hanging="240"/>
      </w:pPr>
      <w:r>
        <w:rPr>
          <w:b/>
          <w:bCs/>
          <w:color w:val="353A7C"/>
          <w:sz w:val="15"/>
          <w:szCs w:val="15"/>
        </w:rPr>
        <w:t xml:space="preserve">Summary 3   </w:t>
      </w:r>
      <w:r>
        <w:rPr>
          <w:color w:val="6B7280"/>
          <w:sz w:val="15"/>
          <w:szCs w:val="15"/>
        </w:rPr>
        <w:t xml:space="preserve">Total stockholders' equity is a book amount. It is not what the company is worth, and it is not the market value of the shares.</w:t>
      </w:r>
    </w:p>
    <w:p>
      <w:pPr>
        <w:sectPr>
          <w:headerReference w:type="default" r:id="rIdHdr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Purpose and structure of the income statement</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income statement   ·   Unusual items and discontinued operations   ·   Limitations and links to the other statements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income statement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revenues, expenses, gains and losses for a period,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year.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net income,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Where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sheet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income statement is a film of the whole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 it to judge how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company is and to predict its future earnings and cash flows.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use it to see whether the company earns enough to pay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use it to compare results with budgets and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U.S. GAAP does not require one layout. </w:t>
      </w:r>
      <w:r>
        <w:rPr>
          <w:sz w:val="19"/>
          <w:szCs w:val="19"/>
        </w:rPr>
        <w:t xml:space="preserve">A multi-step income statement shows subtotals: gross profit, operating income and income before income taxes. </w:t>
      </w:r>
      <w:r>
        <w:rPr>
          <w:sz w:val="19"/>
          <w:szCs w:val="19"/>
        </w:rPr>
        <w:t xml:space="preserve">A single-step income statement adds all revenues and gains, deducts all expenses and losses, and reaches net income in one step. </w:t>
      </w:r>
      <w:r>
        <w:rPr>
          <w:sz w:val="19"/>
          <w:szCs w:val="19"/>
        </w:rPr>
        <w:t xml:space="preserve">SEC registrants such as Orontes follow the SEC's list of captions, which gives a multi-step layout.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balance   ·   increases   ·   company's   ·   whether   ·   profitable   ·   usually   ·   Managers   ·   competitors   ·   result   ·   Investors   ·   Lenders   ·   photograph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income and comprehensive income,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Net sales</w:t>
            </w:r>
          </w:p>
        </w:tc>
        <w:tc>
          <w:tcPr>
            <w:tcW w:type="pct" w:w="2400"/>
            <w:tcMar>
              <w:top w:type="dxa" w:w="50"/>
              <w:left w:type="dxa" w:w="110"/>
              <w:bottom w:type="dxa" w:w="50"/>
              <w:right w:type="dxa" w:w="110"/>
            </w:tcMar>
          </w:tcPr>
          <w:p>
            <w:pPr>
              <w:spacing w:before="28" w:after="28"/>
            </w:pPr>
            <w:r>
              <w:rPr>
                <w:sz w:val="15"/>
                <w:szCs w:val="15"/>
              </w:rPr>
              <w:t xml:space="preserve">42,000,000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(27,300,000)</w:t>
            </w:r>
          </w:p>
        </w:tc>
      </w:tr>
      <w:tr>
        <w:tc>
          <w:tcPr>
            <w:tcW w:type="pct" w:w="2600"/>
            <w:tcMar>
              <w:top w:type="dxa" w:w="50"/>
              <w:left w:type="dxa" w:w="110"/>
              <w:bottom w:type="dxa" w:w="50"/>
              <w:right w:type="dxa" w:w="110"/>
            </w:tcMar>
          </w:tcPr>
          <w:p>
            <w:pPr>
              <w:spacing w:before="28" w:after="28"/>
            </w:pPr>
            <w:r>
              <w:rPr>
                <w:sz w:val="15"/>
                <w:szCs w:val="15"/>
              </w:rPr>
              <w:t xml:space="preserve">Gross profit</w:t>
            </w:r>
          </w:p>
        </w:tc>
        <w:tc>
          <w:tcPr>
            <w:tcW w:type="pct" w:w="2400"/>
            <w:tcMar>
              <w:top w:type="dxa" w:w="50"/>
              <w:left w:type="dxa" w:w="110"/>
              <w:bottom w:type="dxa" w:w="50"/>
              <w:right w:type="dxa" w:w="110"/>
            </w:tcMar>
          </w:tcPr>
          <w:p>
            <w:pPr>
              <w:spacing w:before="28" w:after="28"/>
            </w:pPr>
            <w:r>
              <w:rPr>
                <w:sz w:val="15"/>
                <w:szCs w:val="15"/>
              </w:rPr>
              <w:t xml:space="preserve">14,700,000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Operating expenses</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Selling, general and administrative</w:t>
            </w:r>
          </w:p>
        </w:tc>
        <w:tc>
          <w:tcPr>
            <w:tcW w:type="pct" w:w="2400"/>
            <w:tcMar>
              <w:top w:type="dxa" w:w="50"/>
              <w:left w:type="dxa" w:w="110"/>
              <w:bottom w:type="dxa" w:w="50"/>
              <w:right w:type="dxa" w:w="110"/>
            </w:tcMar>
          </w:tcPr>
          <w:p>
            <w:pPr>
              <w:spacing w:before="28" w:after="28"/>
            </w:pPr>
            <w:r>
              <w:rPr>
                <w:sz w:val="15"/>
                <w:szCs w:val="15"/>
              </w:rPr>
              <w:t xml:space="preserve">(7,237,000)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Credit loss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(63,000)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(500,000)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Impairment losses</w:t>
            </w:r>
          </w:p>
        </w:tc>
        <w:tc>
          <w:tcPr>
            <w:tcW w:type="pct" w:w="2400"/>
            <w:shd w:fill="FBFAF6" w:val="clear"/>
            <w:tcMar>
              <w:top w:type="dxa" w:w="50"/>
              <w:left w:type="dxa" w:w="110"/>
              <w:bottom w:type="dxa" w:w="50"/>
              <w:right w:type="dxa" w:w="110"/>
            </w:tcMar>
          </w:tcPr>
          <w:p>
            <w:pPr>
              <w:spacing w:before="28" w:after="28"/>
            </w:pPr>
            <w:r>
              <w:rPr>
                <w:sz w:val="15"/>
                <w:szCs w:val="15"/>
              </w:rPr>
              <w:t xml:space="preserve">(2,724,000)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(10,524,000)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4,176,000</w:t>
            </w:r>
          </w:p>
        </w:tc>
      </w:tr>
      <w:tr>
        <w:tc>
          <w:tcPr>
            <w:tcW w:type="pct" w:w="2600"/>
            <w:tcMar>
              <w:top w:type="dxa" w:w="50"/>
              <w:left w:type="dxa" w:w="110"/>
              <w:bottom w:type="dxa" w:w="50"/>
              <w:right w:type="dxa" w:w="110"/>
            </w:tcMar>
          </w:tcPr>
          <w:p>
            <w:pPr>
              <w:spacing w:before="28" w:after="28"/>
            </w:pPr>
            <w:r>
              <w:rPr>
                <w:sz w:val="15"/>
                <w:szCs w:val="15"/>
              </w:rPr>
              <w:t xml:space="preserve">Other income and (expense)</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tcMar>
              <w:top w:type="dxa" w:w="50"/>
              <w:left w:type="dxa" w:w="110"/>
              <w:bottom w:type="dxa" w:w="50"/>
              <w:right w:type="dxa" w:w="110"/>
            </w:tcMar>
          </w:tcPr>
          <w:p>
            <w:pPr>
              <w:spacing w:before="28" w:after="28"/>
            </w:pPr>
            <w:r>
              <w:rPr>
                <w:sz w:val="15"/>
                <w:szCs w:val="15"/>
              </w:rPr>
              <w:t xml:space="preserve">Interest and dividend income</w:t>
            </w:r>
          </w:p>
        </w:tc>
        <w:tc>
          <w:tcPr>
            <w:tcW w:type="pct" w:w="2400"/>
            <w:tcMar>
              <w:top w:type="dxa" w:w="50"/>
              <w:left w:type="dxa" w:w="110"/>
              <w:bottom w:type="dxa" w:w="50"/>
              <w:right w:type="dxa" w:w="110"/>
            </w:tcMar>
          </w:tcPr>
          <w:p>
            <w:pPr>
              <w:spacing w:before="28" w:after="28"/>
            </w:pPr>
            <w:r>
              <w:rPr>
                <w:sz w:val="15"/>
                <w:szCs w:val="15"/>
              </w:rPr>
              <w:t xml:space="preserve">3,800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tcMar>
              <w:top w:type="dxa" w:w="50"/>
              <w:left w:type="dxa" w:w="110"/>
              <w:bottom w:type="dxa" w:w="50"/>
              <w:right w:type="dxa" w:w="110"/>
            </w:tcMar>
          </w:tcPr>
          <w:p>
            <w:pPr>
              <w:spacing w:before="28" w:after="28"/>
            </w:pPr>
            <w:r>
              <w:rPr>
                <w:sz w:val="15"/>
                <w:szCs w:val="15"/>
              </w:rPr>
              <w:t xml:space="preserve">177,000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4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(15,000)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(217,200)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3,958,800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Income tax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2,969,100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Earnings per share, basic and diluted</w:t>
            </w:r>
          </w:p>
        </w:tc>
        <w:tc>
          <w:tcPr>
            <w:tcW w:type="pct" w:w="2400"/>
            <w:shd w:fill="FBFAF6" w:val="clear"/>
            <w:tcMar>
              <w:top w:type="dxa" w:w="50"/>
              <w:left w:type="dxa" w:w="110"/>
              <w:bottom w:type="dxa" w:w="50"/>
              <w:right w:type="dxa" w:w="110"/>
            </w:tcMar>
          </w:tcPr>
          <w:p>
            <w:pPr>
              <w:spacing w:before="28" w:after="28"/>
            </w:pPr>
            <w:r>
              <w:rPr>
                <w:sz w:val="15"/>
                <w:szCs w:val="15"/>
              </w:rPr>
              <w:t xml:space="preserve">$0.37</w:t>
            </w:r>
          </w:p>
        </w:tc>
      </w:tr>
      <w:tr>
        <w:tc>
          <w:tcPr>
            <w:tcW w:type="pct" w:w="2600"/>
            <w:tcMar>
              <w:top w:type="dxa" w:w="50"/>
              <w:left w:type="dxa" w:w="110"/>
              <w:bottom w:type="dxa" w:w="50"/>
              <w:right w:type="dxa" w:w="110"/>
            </w:tcMar>
          </w:tcPr>
          <w:p>
            <w:pPr>
              <w:spacing w:before="28" w:after="28"/>
            </w:pPr>
            <w:r>
              <w:rPr>
                <w:sz w:val="15"/>
                <w:szCs w:val="15"/>
              </w:rPr>
              <w:t xml:space="preserve">Weighted-average shares outstanding</w:t>
            </w:r>
          </w:p>
        </w:tc>
        <w:tc>
          <w:tcPr>
            <w:tcW w:type="pct" w:w="2400"/>
            <w:tcMar>
              <w:top w:type="dxa" w:w="50"/>
              <w:left w:type="dxa" w:w="110"/>
              <w:bottom w:type="dxa" w:w="50"/>
              <w:right w:type="dxa" w:w="110"/>
            </w:tcMar>
          </w:tcPr>
          <w:p>
            <w:pPr>
              <w:spacing w:before="28" w:after="28"/>
            </w:pPr>
            <w:r>
              <w:rPr>
                <w:sz w:val="15"/>
                <w:szCs w:val="15"/>
              </w:rPr>
              <w:t xml:space="preserve">8,099,726</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Unrealized loss on available-for-sale debt securities, net of tax of 375</w:t>
            </w:r>
          </w:p>
        </w:tc>
        <w:tc>
          <w:tcPr>
            <w:tcW w:type="pct" w:w="2400"/>
            <w:tcMar>
              <w:top w:type="dxa" w:w="50"/>
              <w:left w:type="dxa" w:w="110"/>
              <w:bottom w:type="dxa" w:w="50"/>
              <w:right w:type="dxa" w:w="110"/>
            </w:tcMar>
          </w:tcPr>
          <w:p>
            <w:pPr>
              <w:spacing w:before="28" w:after="28"/>
            </w:pPr>
            <w:r>
              <w:rPr>
                <w:sz w:val="15"/>
                <w:szCs w:val="15"/>
              </w:rPr>
              <w:t xml:space="preserve">(1,125)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Comprehensive income</w:t>
            </w:r>
          </w:p>
        </w:tc>
        <w:tc>
          <w:tcPr>
            <w:tcW w:type="pct" w:w="2400"/>
            <w:shd w:fill="FBFAF6" w:val="clear"/>
            <w:tcMar>
              <w:top w:type="dxa" w:w="50"/>
              <w:left w:type="dxa" w:w="110"/>
              <w:bottom w:type="dxa" w:w="50"/>
              <w:right w:type="dxa" w:w="110"/>
            </w:tcMar>
          </w:tcPr>
          <w:p>
            <w:pPr>
              <w:spacing w:before="28" w:after="28"/>
            </w:pPr>
            <w:r>
              <w:rPr>
                <w:sz w:val="15"/>
                <w:szCs w:val="15"/>
              </w:rPr>
              <w:t xml:space="preserve">2,967,975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before income taxes   ·   Operating income   ·   Gross profit   ·   Total other income and (expense)   ·   Research and development   ·   Loss on sale of receivables   ·   Total operating expenses   ·   Cost of goods sold   ·   Unrealized gains on securities   ·   Equity-method income   ·   Other comprehensive income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tax allocation   ·   single-step income statement   ·   multi-step income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8"/>
        <w:gridCol w:w="48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2"/>
            <w:tcMar>
              <w:top w:type="dxa" w:w="50"/>
              <w:left w:type="dxa" w:w="110"/>
              <w:bottom w:type="dxa" w:w="50"/>
              <w:right w:type="dxa" w:w="110"/>
            </w:tcMar>
          </w:tcPr>
          <w:p>
            <w:pPr>
              <w:spacing w:before="26" w:after="26"/>
            </w:pPr>
            <w:r>
              <w:rPr>
                <w:color w:val="232733"/>
                <w:sz w:val="16"/>
                <w:szCs w:val="16"/>
              </w:rPr>
              <w:t xml:space="preserve">multi-step income statement</w:t>
            </w:r>
          </w:p>
        </w:tc>
        <w:tc>
          <w:tcPr>
            <w:tcW w:type="pct" w:w="2548"/>
            <w:tcMar>
              <w:top w:type="dxa" w:w="50"/>
              <w:left w:type="dxa" w:w="110"/>
              <w:bottom w:type="dxa" w:w="50"/>
              <w:right w:type="dxa" w:w="110"/>
            </w:tcMar>
          </w:tcPr>
          <w:p>
            <w:pPr>
              <w:spacing w:before="26" w:after="26"/>
            </w:pPr>
            <w:r>
              <w:rPr>
                <w:color w:val="232733"/>
                <w:sz w:val="16"/>
                <w:szCs w:val="16"/>
              </w:rPr>
              <w:t xml:space="preserve">قائمة الدخل متعددة المراحل</w:t>
            </w:r>
          </w:p>
        </w:tc>
      </w:tr>
      <w:tr>
        <w:tc>
          <w:tcPr>
            <w:tcW w:type="pct" w:w="2452"/>
            <w:shd w:fill="FBFAF6" w:val="clear"/>
            <w:tcMar>
              <w:top w:type="dxa" w:w="50"/>
              <w:left w:type="dxa" w:w="110"/>
              <w:bottom w:type="dxa" w:w="50"/>
              <w:right w:type="dxa" w:w="110"/>
            </w:tcMar>
          </w:tcPr>
          <w:p>
            <w:pPr>
              <w:spacing w:before="26" w:after="26"/>
            </w:pPr>
            <w:r>
              <w:rPr>
                <w:color w:val="232733"/>
                <w:sz w:val="16"/>
                <w:szCs w:val="16"/>
              </w:rPr>
              <w:t xml:space="preserve">single-step income statement</w:t>
            </w:r>
          </w:p>
        </w:tc>
        <w:tc>
          <w:tcPr>
            <w:tcW w:type="pct" w:w="2548"/>
            <w:shd w:fill="FBFAF6" w:val="clear"/>
            <w:tcMar>
              <w:top w:type="dxa" w:w="50"/>
              <w:left w:type="dxa" w:w="110"/>
              <w:bottom w:type="dxa" w:w="50"/>
              <w:right w:type="dxa" w:w="110"/>
            </w:tcMar>
          </w:tcPr>
          <w:p>
            <w:pPr>
              <w:spacing w:before="26" w:after="26"/>
            </w:pPr>
            <w:r>
              <w:rPr>
                <w:color w:val="232733"/>
                <w:sz w:val="16"/>
                <w:szCs w:val="16"/>
              </w:rPr>
              <w:t xml:space="preserve">قائمة الدخل ذات المرحلة الواحدة</w:t>
            </w:r>
          </w:p>
        </w:tc>
      </w:tr>
    </w:tbl>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Purpose and structure of the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Unusual items and discontinued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to the other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Research and development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Total operating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Equity-method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photograph</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Loss on sale of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Total 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Other 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multi-step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single-step income statement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income statement reports a company's revenues, expenses, gains and losses for a period, usually a year. The result is net income, which increases retained earnings. Where the balance sheet is a photograph, the income statement is a film of the whole year. Investors use it to judge how profitable the company is and to predict its future earnings and cash flows. Lenders use it to see whether the company earns enough to pay interest. Managers use it to compare results with budgets and with competitors. U.S. GAAP does not require one layout. A multi-step income statement shows subtotals: gross profit, operating income and income before income taxes. A single-step income statement adds all revenues and gains, deducts all expenses and losses, and reaches net income in one step. SEC registrants such as Orontes follow the SEC's list of captions, which gives a multi-step layout.</w:t>
      </w:r>
    </w:p>
    <w:p>
      <w:pPr>
        <w:sectPr>
          <w:headerReference w:type="default" r:id="rIdHdr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Building the multi-step income statement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Gross profit is net sales minus cost of goods sold. </w:t>
      </w:r>
      <w:r>
        <w:rPr>
          <w:sz w:val="19"/>
          <w:szCs w:val="19"/>
        </w:rPr>
        <w:t xml:space="preserve">It shows how much the company earns on what it sells before its other costs. </w:t>
      </w:r>
      <w:r>
        <w:rPr>
          <w:sz w:val="19"/>
          <w:szCs w:val="19"/>
        </w:rPr>
        <w:t xml:space="preserve">Orontes's gross profit is $14,700,000, which is 35% of net sales. </w:t>
      </w:r>
      <w:r>
        <w:rPr>
          <w:sz w:val="19"/>
          <w:szCs w:val="19"/>
        </w:rPr>
        <w:t xml:space="preserve">Operating income is gross profit minus operating expenses: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general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expenses, research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credit losses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Interest and income tax are never operating expenses. </w:t>
      </w:r>
      <w:r>
        <w:rPr>
          <w:sz w:val="19"/>
          <w:szCs w:val="19"/>
        </w:rPr>
        <w:t xml:space="preserve">Orontes's operating income is $4,176,000. </w:t>
      </w:r>
      <w:r>
        <w:rPr>
          <w:sz w:val="19"/>
          <w:szCs w:val="19"/>
        </w:rPr>
        <w:t xml:space="preserve">Other income and expense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It contains interest,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and gains and losses. </w:t>
      </w:r>
      <w:r>
        <w:rPr>
          <w:sz w:val="19"/>
          <w:szCs w:val="19"/>
        </w:rPr>
        <w:t xml:space="preserve">A gain or loss comes from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incidental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it is shown net. </w:t>
      </w:r>
      <w:r>
        <w:rPr>
          <w:sz w:val="19"/>
          <w:szCs w:val="19"/>
        </w:rPr>
        <w:t xml:space="preserve">For example, Orontes sold an old oven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amount, not the full proceeds. </w:t>
      </w:r>
      <w:r>
        <w:rPr>
          <w:sz w:val="19"/>
          <w:szCs w:val="19"/>
        </w:rPr>
        <w:t xml:space="preserve">Income tax expense is then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from income before income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follows   ·   administrative   ·   reported   ·   transaction   ·   deducted   ·   impairments   ·   selling   ·   peripheral   ·   incidental   ·   carrying   ·   development</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Public companies also show earnings per share (EPS) on the face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Orontes's basic EPS is $0.37: net income divided by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number of shares outstanding. </w:t>
      </w:r>
      <w:r>
        <w:rPr>
          <w:sz w:val="19"/>
          <w:szCs w:val="19"/>
        </w:rPr>
        <w:t xml:space="preserve">Part 2 of the CMA exam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EPS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reported   ·   analyzes   ·   statement   ·   weighted-average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subtotals</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Gross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$42,000,000 − $27,300,000 = $14,700,000. </w:t>
      </w:r>
      <w:r>
        <w:rPr>
          <w:sz w:val="19"/>
          <w:szCs w:val="19"/>
        </w:rPr>
        <w:t xml:space="preserve">Operating income: $14,700,000 − $10,524,000 of operating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 $4,176,000. </w:t>
      </w:r>
      <w:r>
        <w:rPr>
          <w:sz w:val="19"/>
          <w:szCs w:val="19"/>
        </w:rPr>
        <w:t xml:space="preserve">Income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income taxes: $4,176,000 − net other expense of $217,200 = $3,958,800. </w:t>
      </w:r>
      <w:r>
        <w:rPr>
          <w:sz w:val="19"/>
          <w:szCs w:val="19"/>
        </w:rPr>
        <w:t xml:space="preserve">Net income: $3,958,800 − income tax of $989,700 = $2,969,100.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research   ·   expenses   ·   before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2025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the line is drawn</w:t>
            </w:r>
          </w:p>
        </w:tc>
      </w:tr>
    </w:tbl>
    <w:p/>
    <w:p>
      <w:pPr>
        <w:spacing w:before="44" w:after="14"/>
      </w:pPr>
      <w:r>
        <w:rPr>
          <w:b/>
          <w:bCs/>
          <w:color w:val="353A7C"/>
          <w:sz w:val="18"/>
          <w:szCs w:val="18"/>
        </w:rPr>
        <w:t xml:space="preserve">Summary 4</w:t>
      </w:r>
      <w:r>
        <w:rPr>
          <w:color w:val="6B7280"/>
          <w:sz w:val="16"/>
          <w:szCs w:val="16"/>
        </w:rPr>
        <w:t xml:space="preserve">      gaps 18–20</w:t>
      </w:r>
    </w:p>
    <w:p>
      <w:pPr>
        <w:spacing w:before="20" w:after="20" w:line="360" w:lineRule="auto"/>
        <w:ind w:left="200"/>
      </w:pPr>
      <w:r>
        <w:rPr>
          <w:sz w:val="19"/>
          <w:szCs w:val="19"/>
        </w:rPr>
        <w:t xml:space="preserve">Interest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below operating income, never inside it. </w:t>
      </w:r>
      <w:r>
        <w:rPr>
          <w:sz w:val="19"/>
          <w:szCs w:val="19"/>
        </w:rPr>
        <w:t xml:space="preserve">A gain on selling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is other income, not revenue. </w:t>
      </w:r>
      <w:r>
        <w:rPr>
          <w:sz w:val="19"/>
          <w:szCs w:val="19"/>
        </w:rPr>
        <w:t xml:space="preserve">Gross profit uses cost of goods sold only; wages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outside production are operating expenses.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equipment   ·   Orontes   ·   depreciation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 multi-step income statement, 2025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year ended December 31, 2025 (</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3,100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400"/>
            <w:shd w:fill="FBFAF6" w:val="clear"/>
            <w:tcMar>
              <w:top w:type="dxa" w:w="50"/>
              <w:left w:type="dxa" w:w="110"/>
              <w:bottom w:type="dxa" w:w="50"/>
              <w:right w:type="dxa" w:w="110"/>
            </w:tcMar>
          </w:tcPr>
          <w:p>
            <w:pPr>
              <w:spacing w:before="28" w:after="28"/>
            </w:pPr>
            <w:r>
              <w:rPr>
                <w:sz w:val="15"/>
                <w:szCs w:val="15"/>
              </w:rPr>
              <w:t xml:space="preserve">(1,860)</w:t>
            </w:r>
          </w:p>
        </w:tc>
      </w:tr>
      <w:tr>
        <w:tc>
          <w:tcPr>
            <w:tcW w:type="pct" w:w="2600"/>
            <w:tcMar>
              <w:top w:type="dxa" w:w="50"/>
              <w:left w:type="dxa" w:w="110"/>
              <w:bottom w:type="dxa" w:w="50"/>
              <w:right w:type="dxa" w:w="110"/>
            </w:tcMar>
          </w:tcPr>
          <w:p>
            <w:pPr>
              <w:spacing w:before="28" w:after="28"/>
            </w:pPr>
            <w:r>
              <w:rPr>
                <w:sz w:val="15"/>
                <w:szCs w:val="15"/>
              </w:rPr>
              <w:t xml:space="preserve">Gross profit</w:t>
            </w:r>
          </w:p>
        </w:tc>
        <w:tc>
          <w:tcPr>
            <w:tcW w:type="pct" w:w="2400"/>
            <w:tcMar>
              <w:top w:type="dxa" w:w="50"/>
              <w:left w:type="dxa" w:w="110"/>
              <w:bottom w:type="dxa" w:w="50"/>
              <w:right w:type="dxa" w:w="110"/>
            </w:tcMar>
          </w:tcPr>
          <w:p>
            <w:pPr>
              <w:spacing w:before="28" w:after="28"/>
            </w:pPr>
            <w:r>
              <w:rPr>
                <w:sz w:val="15"/>
                <w:szCs w:val="15"/>
              </w:rPr>
              <w:t xml:space="preserve">1,240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(520)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(300)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Operating income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Interest expense</w:t>
            </w:r>
          </w:p>
        </w:tc>
        <w:tc>
          <w:tcPr>
            <w:tcW w:type="pct" w:w="2400"/>
            <w:tcMar>
              <w:top w:type="dxa" w:w="50"/>
              <w:left w:type="dxa" w:w="110"/>
              <w:bottom w:type="dxa" w:w="50"/>
              <w:right w:type="dxa" w:w="110"/>
            </w:tcMar>
          </w:tcPr>
          <w:p>
            <w:pPr>
              <w:spacing w:before="28" w:after="28"/>
            </w:pPr>
            <w:r>
              <w:rPr>
                <w:sz w:val="15"/>
                <w:szCs w:val="15"/>
              </w:rPr>
              <w:t xml:space="preserve">(90)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Gross profit as a percentage of sales</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Gross profit   ·   Wages expense   ·   Sales revenue   ·   Net income   ·   Depreciation expense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other income and expense   ·   earnings per share (EPS)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2"/>
        <w:gridCol w:w="485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0"/>
            <w:tcMar>
              <w:top w:type="dxa" w:w="50"/>
              <w:left w:type="dxa" w:w="110"/>
              <w:bottom w:type="dxa" w:w="50"/>
              <w:right w:type="dxa" w:w="110"/>
            </w:tcMar>
          </w:tcPr>
          <w:p>
            <w:pPr>
              <w:spacing w:before="26" w:after="26"/>
            </w:pPr>
            <w:r>
              <w:rPr>
                <w:color w:val="232733"/>
                <w:sz w:val="16"/>
                <w:szCs w:val="16"/>
              </w:rPr>
              <w:t xml:space="preserve">operating income</w:t>
            </w:r>
          </w:p>
        </w:tc>
        <w:tc>
          <w:tcPr>
            <w:tcW w:type="pct" w:w="2530"/>
            <w:tcMar>
              <w:top w:type="dxa" w:w="50"/>
              <w:left w:type="dxa" w:w="110"/>
              <w:bottom w:type="dxa" w:w="50"/>
              <w:right w:type="dxa" w:w="110"/>
            </w:tcMar>
          </w:tcPr>
          <w:p>
            <w:pPr>
              <w:spacing w:before="26" w:after="26"/>
            </w:pPr>
            <w:r>
              <w:rPr>
                <w:color w:val="232733"/>
                <w:sz w:val="16"/>
                <w:szCs w:val="16"/>
              </w:rPr>
              <w:t xml:space="preserve">الدخل التشغيلي</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الإيرادات والمصروفات الأخرى</w:t>
            </w:r>
          </w:p>
        </w:tc>
      </w:tr>
      <w:tr>
        <w:tc>
          <w:tcPr>
            <w:tcW w:type="pct" w:w="2470"/>
            <w:tcMar>
              <w:top w:type="dxa" w:w="50"/>
              <w:left w:type="dxa" w:w="110"/>
              <w:bottom w:type="dxa" w:w="50"/>
              <w:right w:type="dxa" w:w="110"/>
            </w:tcMar>
          </w:tcPr>
          <w:p>
            <w:pPr>
              <w:spacing w:before="26" w:after="26"/>
            </w:pPr>
            <w:r>
              <w:rPr>
                <w:color w:val="232733"/>
                <w:sz w:val="16"/>
                <w:szCs w:val="16"/>
              </w:rPr>
              <w:t xml:space="preserve">earnings per share (EPS)</w:t>
            </w:r>
          </w:p>
        </w:tc>
        <w:tc>
          <w:tcPr>
            <w:tcW w:type="pct" w:w="2530"/>
            <w:tcMar>
              <w:top w:type="dxa" w:w="50"/>
              <w:left w:type="dxa" w:w="110"/>
              <w:bottom w:type="dxa" w:w="50"/>
              <w:right w:type="dxa" w:w="110"/>
            </w:tcMar>
          </w:tcPr>
          <w:p>
            <w:pPr>
              <w:spacing w:before="26" w:after="26"/>
            </w:pPr>
            <w:r>
              <w:rPr>
                <w:color w:val="232733"/>
                <w:sz w:val="16"/>
                <w:szCs w:val="16"/>
              </w:rPr>
              <w:t xml:space="preserve">ربحية السهم</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function of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عرض المصروفات حسب الوظيفة</w:t>
            </w:r>
          </w:p>
        </w:tc>
      </w:tr>
    </w:tbl>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Building the multi-step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impairments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Sales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Wages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earnings per share (EPS)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Gross profit is net sales minus cost of goods sold. It shows how much the company earns on what it sells before its other costs. Orontes's gross profit is $14,700,000, which is 35% of net sales. Operating income is gross profit minus operating expenses: selling, general and administrative expenses, research and development, credit losses and impairments. Interest and income tax are never operating expenses. Orontes's operating income is $4,176,000. Other income and expense follows operating income. It contains interest, investment income and gains and losses. A gain or loss comes from a peripheral or incidental transaction, and it is shown net. For example, Orontes sold an old oven and reported a gain of $3,000: the proceeds minus the carrying amount, not the full proceeds. Income tax expense is then deducted from income before income taxes.</w:t>
      </w:r>
    </w:p>
    <w:p>
      <w:pPr>
        <w:spacing w:before="20" w:after="20"/>
        <w:ind w:left="240" w:hanging="240"/>
      </w:pPr>
      <w:r>
        <w:rPr>
          <w:b/>
          <w:bCs/>
          <w:color w:val="353A7C"/>
          <w:sz w:val="15"/>
          <w:szCs w:val="15"/>
        </w:rPr>
        <w:t xml:space="preserve">Summary 2   </w:t>
      </w:r>
      <w:r>
        <w:rPr>
          <w:color w:val="6B7280"/>
          <w:sz w:val="15"/>
          <w:szCs w:val="15"/>
        </w:rPr>
        <w:t xml:space="preserve">Public companies also show earnings per share (EPS) on the face of the statement. Orontes's basic EPS is $0.37: net income divided by the weighted-average number of shares outstanding. Part 2 of the CMA exam analyzes EPS in depth.</w:t>
      </w:r>
    </w:p>
    <w:p>
      <w:pPr>
        <w:spacing w:before="20" w:after="20"/>
        <w:ind w:left="240" w:hanging="240"/>
      </w:pPr>
      <w:r>
        <w:rPr>
          <w:b/>
          <w:bCs/>
          <w:color w:val="353A7C"/>
          <w:sz w:val="15"/>
          <w:szCs w:val="15"/>
        </w:rPr>
        <w:t xml:space="preserve">Summary 3   </w:t>
      </w:r>
      <w:r>
        <w:rPr>
          <w:color w:val="6B7280"/>
          <w:sz w:val="15"/>
          <w:szCs w:val="15"/>
        </w:rPr>
        <w:t xml:space="preserve">Gross profit: $42,000,000 − $27,300,000 = $14,700,000. Operating income: $14,700,000 − $10,524,000 of operating expenses = $4,176,000. Income before income taxes: $4,176,000 − net other expense of $217,200 = $3,958,800. Net income: $3,958,800 − income tax of $989,700 = $2,969,100.</w:t>
      </w:r>
    </w:p>
    <w:p>
      <w:pPr>
        <w:spacing w:before="20" w:after="20"/>
        <w:ind w:left="240" w:hanging="240"/>
      </w:pPr>
      <w:r>
        <w:rPr>
          <w:b/>
          <w:bCs/>
          <w:color w:val="353A7C"/>
          <w:sz w:val="15"/>
          <w:szCs w:val="15"/>
        </w:rPr>
        <w:t xml:space="preserve">Summary 4   </w:t>
      </w:r>
      <w:r>
        <w:rPr>
          <w:color w:val="6B7280"/>
          <w:sz w:val="15"/>
          <w:szCs w:val="15"/>
        </w:rPr>
        <w:t xml:space="preserve">Interest expense is below operating income, never inside it. A gain on selling equipment is other income, not revenue. Gross profit uses cost of goods sold only; wages and depreciation outside production are operating expenses.</w:t>
      </w:r>
    </w:p>
    <w:p>
      <w:pPr>
        <w:sectPr>
          <w:headerReference w:type="default" r:id="rIdHdr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Unusual items and discontinued operations</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items need special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because they may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again. </w:t>
      </w:r>
      <w:r>
        <w:rPr>
          <w:sz w:val="19"/>
          <w:szCs w:val="19"/>
        </w:rPr>
        <w:t xml:space="preserve">U.S. GAAP no longer has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the FASB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them in 2015. </w:t>
      </w:r>
      <w:r>
        <w:rPr>
          <w:sz w:val="19"/>
          <w:szCs w:val="19"/>
        </w:rPr>
        <w:t xml:space="preserve">An unusual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item, such as a large fire loss, is shown as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line within continuing operations, before tax. </w:t>
      </w:r>
      <w:r>
        <w:rPr>
          <w:sz w:val="19"/>
          <w:szCs w:val="19"/>
        </w:rPr>
        <w:t xml:space="preserve">It is never shown net of tax. </w:t>
      </w:r>
      <w:r>
        <w:rPr>
          <w:sz w:val="19"/>
          <w:szCs w:val="19"/>
        </w:rPr>
        <w:t xml:space="preserve">A discontinued operation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an entity that the company has sold, has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held for sale, or has abandoned. </w:t>
      </w:r>
      <w:r>
        <w:rPr>
          <w:sz w:val="19"/>
          <w:szCs w:val="19"/>
        </w:rPr>
        <w:t xml:space="preserve">The disposal must also be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shift with a major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company.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leaving a major line of business or a major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area. </w:t>
      </w:r>
      <w:r>
        <w:rPr>
          <w:sz w:val="19"/>
          <w:szCs w:val="19"/>
        </w:rPr>
        <w:t xml:space="preserve">Closing one store or stopping one small product does not qualify. </w:t>
      </w:r>
      <w:r>
        <w:rPr>
          <w:sz w:val="19"/>
          <w:szCs w:val="19"/>
        </w:rPr>
        <w:t xml:space="preserve">The results of a discontinued operation, including any gain or loss on disposal, appear below income from continuing operations, net of their own tax. </w:t>
      </w:r>
      <w:r>
        <w:rPr>
          <w:sz w:val="19"/>
          <w:szCs w:val="19"/>
        </w:rPr>
        <w:t xml:space="preserve">This is called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   geographic   ·   Examples   ·   happen   ·   disposal   ·   removed   ·   infrequent   ·   attention   ·   separate   ·   effect   ·   strategic   ·   component   ·   classified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930"/>
        <w:gridCol w:w="1516"/>
        <w:gridCol w:w="193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sells its frozen-foods business in 2026 — discontinued operations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Before tax</w:t>
            </w:r>
          </w:p>
        </w:tc>
        <w:tc>
          <w:tcPr>
            <w:tcW w:type="pct" w:w="790"/>
            <w:shd w:fill="353A7C" w:val="clear"/>
            <w:tcMar>
              <w:top w:type="dxa" w:w="50"/>
              <w:left w:type="dxa" w:w="110"/>
              <w:bottom w:type="dxa" w:w="50"/>
              <w:right w:type="dxa" w:w="110"/>
            </w:tcMar>
          </w:tcPr>
          <w:p>
            <w:pPr>
              <w:spacing w:before="30" w:after="30"/>
            </w:pPr>
            <w:r>
              <w:rPr>
                <w:b/>
                <w:bCs/>
                <w:color w:val="FFFFFF"/>
                <w:sz w:val="15"/>
                <w:szCs w:val="15"/>
              </w:rPr>
              <w:t xml:space="preserve">Tax benefit</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Net of tax</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05"/>
            <w:tcMar>
              <w:top w:type="dxa" w:w="50"/>
              <w:left w:type="dxa" w:w="110"/>
              <w:bottom w:type="dxa" w:w="50"/>
              <w:right w:type="dxa" w:w="110"/>
            </w:tcMar>
          </w:tcPr>
          <w:p>
            <w:pPr>
              <w:spacing w:before="28" w:after="28"/>
            </w:pPr>
            <w:r>
              <w:rPr>
                <w:sz w:val="15"/>
                <w:szCs w:val="15"/>
              </w:rPr>
              <w:t xml:space="preserve">(420,000)</w:t>
            </w:r>
          </w:p>
        </w:tc>
        <w:tc>
          <w:tcPr>
            <w:tcW w:type="pct" w:w="790"/>
            <w:tcMar>
              <w:top w:type="dxa" w:w="50"/>
              <w:left w:type="dxa" w:w="110"/>
              <w:bottom w:type="dxa" w:w="50"/>
              <w:right w:type="dxa" w:w="110"/>
            </w:tcMar>
          </w:tcPr>
          <w:p>
            <w:pPr>
              <w:spacing w:before="28" w:after="28"/>
            </w:pPr>
            <w:r>
              <w:rPr>
                <w:sz w:val="15"/>
                <w:szCs w:val="15"/>
              </w:rPr>
              <w:t xml:space="preserve">105,000</w:t>
            </w:r>
          </w:p>
        </w:tc>
        <w:tc>
          <w:tcPr>
            <w:tcW w:type="pct" w:w="1005"/>
            <w:tcMar>
              <w:top w:type="dxa" w:w="50"/>
              <w:left w:type="dxa" w:w="110"/>
              <w:bottom w:type="dxa" w:w="50"/>
              <w:right w:type="dxa" w:w="110"/>
            </w:tcMar>
          </w:tcPr>
          <w:p>
            <w:pPr>
              <w:spacing w:before="28" w:after="28"/>
            </w:pPr>
            <w:r>
              <w:rPr>
                <w:sz w:val="15"/>
                <w:szCs w:val="15"/>
              </w:rPr>
              <w:t xml:space="preserve">(315,000)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Loss on disposal of the business</w:t>
            </w:r>
          </w:p>
        </w:tc>
        <w:tc>
          <w:tcPr>
            <w:tcW w:type="pct" w:w="1005"/>
            <w:shd w:fill="FBFAF6" w:val="clear"/>
            <w:tcMar>
              <w:top w:type="dxa" w:w="50"/>
              <w:left w:type="dxa" w:w="110"/>
              <w:bottom w:type="dxa" w:w="50"/>
              <w:right w:type="dxa" w:w="110"/>
            </w:tcMar>
          </w:tcPr>
          <w:p>
            <w:pPr>
              <w:spacing w:before="28" w:after="28"/>
            </w:pPr>
            <w:r>
              <w:rPr>
                <w:sz w:val="15"/>
                <w:szCs w:val="15"/>
              </w:rPr>
              <w:t xml:space="preserve">(180,000)</w:t>
            </w:r>
          </w:p>
        </w:tc>
        <w:tc>
          <w:tcPr>
            <w:tcW w:type="pct" w:w="790"/>
            <w:shd w:fill="FBFAF6" w:val="clear"/>
            <w:tcMar>
              <w:top w:type="dxa" w:w="50"/>
              <w:left w:type="dxa" w:w="110"/>
              <w:bottom w:type="dxa" w:w="50"/>
              <w:right w:type="dxa" w:w="110"/>
            </w:tcMar>
          </w:tcPr>
          <w:p>
            <w:pPr>
              <w:spacing w:before="28" w:after="28"/>
            </w:pPr>
            <w:r>
              <w:rPr>
                <w:sz w:val="15"/>
                <w:szCs w:val="15"/>
              </w:rPr>
              <w:t xml:space="preserve">45,000</w:t>
            </w:r>
          </w:p>
        </w:tc>
        <w:tc>
          <w:tcPr>
            <w:tcW w:type="pct" w:w="1005"/>
            <w:shd w:fill="FBFAF6" w:val="clear"/>
            <w:tcMar>
              <w:top w:type="dxa" w:w="50"/>
              <w:left w:type="dxa" w:w="110"/>
              <w:bottom w:type="dxa" w:w="50"/>
              <w:right w:type="dxa" w:w="110"/>
            </w:tcMar>
          </w:tcPr>
          <w:p>
            <w:pPr>
              <w:spacing w:before="28" w:after="28"/>
            </w:pPr>
            <w:r>
              <w:rPr>
                <w:sz w:val="15"/>
                <w:szCs w:val="15"/>
              </w:rPr>
              <w:t xml:space="preserve">(135,000)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05"/>
            <w:tcMar>
              <w:top w:type="dxa" w:w="50"/>
              <w:left w:type="dxa" w:w="110"/>
              <w:bottom w:type="dxa" w:w="50"/>
              <w:right w:type="dxa" w:w="110"/>
            </w:tcMar>
          </w:tcPr>
          <w:p>
            <w:pPr>
              <w:spacing w:before="28" w:after="28"/>
            </w:pPr>
            <w:r>
              <w:rPr>
                <w:sz w:val="15"/>
                <w:szCs w:val="15"/>
              </w:rPr>
              <w:t xml:space="preserve">(600,000)</w:t>
            </w:r>
          </w:p>
        </w:tc>
        <w:tc>
          <w:tcPr>
            <w:tcW w:type="pct" w:w="790"/>
            <w:tcMar>
              <w:top w:type="dxa" w:w="50"/>
              <w:left w:type="dxa" w:w="110"/>
              <w:bottom w:type="dxa" w:w="50"/>
              <w:right w:type="dxa" w:w="110"/>
            </w:tcMar>
          </w:tcPr>
          <w:p>
            <w:pPr>
              <w:spacing w:before="28" w:after="28"/>
            </w:pPr>
            <w:r>
              <w:rPr>
                <w:sz w:val="15"/>
                <w:szCs w:val="15"/>
              </w:rPr>
              <w:t xml:space="preserve">150,000</w:t>
            </w:r>
          </w:p>
        </w:tc>
        <w:tc>
          <w:tcPr>
            <w:tcW w:type="pct" w:w="1005"/>
            <w:tcMar>
              <w:top w:type="dxa" w:w="50"/>
              <w:left w:type="dxa" w:w="110"/>
              <w:bottom w:type="dxa" w:w="50"/>
              <w:right w:type="dxa" w:w="110"/>
            </w:tcMar>
          </w:tcPr>
          <w:p>
            <w:pPr>
              <w:spacing w:before="28" w:after="28"/>
            </w:pPr>
            <w:r>
              <w:rPr>
                <w:sz w:val="15"/>
                <w:szCs w:val="15"/>
              </w:rPr>
              <w:t xml:space="preserve">(450,000)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component of an entity   ·   Loss from discontinued operations   ·   Loss from operations of the frozen-foods business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Extraordinary nostalgia</w:t>
            </w:r>
          </w:p>
        </w:tc>
      </w:tr>
    </w:tbl>
    <w:p/>
    <w:p>
      <w:pPr>
        <w:spacing w:before="44" w:after="14"/>
      </w:pPr>
      <w:r>
        <w:rPr>
          <w:b/>
          <w:bCs/>
          <w:color w:val="353A7C"/>
          <w:sz w:val="18"/>
          <w:szCs w:val="18"/>
        </w:rPr>
        <w:t xml:space="preserve">Summary 2</w:t>
      </w:r>
      <w:r>
        <w:rPr>
          <w:color w:val="6B7280"/>
          <w:sz w:val="16"/>
          <w:szCs w:val="16"/>
        </w:rPr>
        <w:t xml:space="preserve">      gaps 15–20</w:t>
      </w:r>
    </w:p>
    <w:p>
      <w:pPr>
        <w:spacing w:before="20" w:after="20" w:line="360" w:lineRule="auto"/>
        <w:ind w:left="200"/>
      </w:pPr>
      <w:r>
        <w:rPr>
          <w:sz w:val="19"/>
          <w:szCs w:val="19"/>
        </w:rPr>
        <w:t xml:space="preserve">Older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show earthquakes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 extraordinary items, net of tax, below continuing operations. </w:t>
      </w:r>
      <w:r>
        <w:rPr>
          <w:sz w:val="19"/>
          <w:szCs w:val="19"/>
        </w:rPr>
        <w:t xml:space="preserve">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exam, such an item is unusual 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 separate pre-tax line in continuing operations. </w:t>
      </w:r>
      <w:r>
        <w:rPr>
          <w:sz w:val="19"/>
          <w:szCs w:val="19"/>
        </w:rPr>
        <w:t xml:space="preserve">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operations are shown net of tax below continuing operations. </w:t>
      </w:r>
      <w:r>
        <w:rPr>
          <w:sz w:val="19"/>
          <w:szCs w:val="19"/>
        </w:rPr>
        <w:t xml:space="preserve">IFRS 5 uses a similar idea: a separate major line of business or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area. </w:t>
      </w:r>
      <w:r>
        <w:rPr>
          <w:sz w:val="19"/>
          <w:szCs w:val="19"/>
        </w:rPr>
        <w:t xml:space="preserve">IFRS also prohibits extraordinary items, so the two frameworks now give very similar results in this area.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results   ·   textbooks   ·   expropriations   ·   discontinued   ·   infrequent   ·   today's   ·   geographic</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84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3840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component of an entity   ·   unusual or infrequent item   ·   other income and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income from continuing operations</w:t>
            </w:r>
          </w:p>
        </w:tc>
        <w:tc>
          <w:tcPr>
            <w:tcW w:type="pct" w:w="2462"/>
            <w:tcMar>
              <w:top w:type="dxa" w:w="50"/>
              <w:left w:type="dxa" w:w="110"/>
              <w:bottom w:type="dxa" w:w="50"/>
              <w:right w:type="dxa" w:w="110"/>
            </w:tcMar>
          </w:tcPr>
          <w:p>
            <w:pPr>
              <w:spacing w:before="26" w:after="26"/>
            </w:pPr>
            <w:r>
              <w:rPr>
                <w:color w:val="232733"/>
                <w:sz w:val="16"/>
                <w:szCs w:val="16"/>
              </w:rPr>
              <w:t xml:space="preserve">الدخل من العمليات المستمرة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538"/>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462"/>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strategic shift</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تحول استراتيجي</w:t>
            </w:r>
          </w:p>
        </w:tc>
      </w:tr>
      <w:tr>
        <w:tc>
          <w:tcPr>
            <w:tcW w:type="pct" w:w="2538"/>
            <w:tcMar>
              <w:top w:type="dxa" w:w="50"/>
              <w:left w:type="dxa" w:w="110"/>
              <w:bottom w:type="dxa" w:w="50"/>
              <w:right w:type="dxa" w:w="110"/>
            </w:tcMar>
          </w:tcPr>
          <w:p>
            <w:pPr>
              <w:spacing w:before="26" w:after="26"/>
            </w:pPr>
            <w:r>
              <w:rPr>
                <w:color w:val="232733"/>
                <w:sz w:val="16"/>
                <w:szCs w:val="16"/>
              </w:rPr>
              <w:t xml:space="preserve">unusual or infrequent item</w:t>
            </w:r>
          </w:p>
        </w:tc>
        <w:tc>
          <w:tcPr>
            <w:tcW w:type="pct" w:w="2462"/>
            <w:tcMar>
              <w:top w:type="dxa" w:w="50"/>
              <w:left w:type="dxa" w:w="110"/>
              <w:bottom w:type="dxa" w:w="50"/>
              <w:right w:type="dxa" w:w="110"/>
            </w:tcMar>
          </w:tcPr>
          <w:p>
            <w:pPr>
              <w:spacing w:before="26" w:after="26"/>
            </w:pPr>
            <w:r>
              <w:rPr>
                <w:color w:val="232733"/>
                <w:sz w:val="16"/>
                <w:szCs w:val="16"/>
              </w:rPr>
              <w:t xml:space="preserve">بند غير عادي أو غير متكرر</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Unusual items and discontinued operations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Loss from operations of the frozen-foods 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happen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Loss from discontinued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extraordinary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textbooks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expropriations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infrequent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geographic</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income from continuing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Examples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unusual or infrequent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geographic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It is never shown net of tax. A discontinued operation is a component of an entity that the company has sold, has classified as held for sale, or has abandoned. The disposal must also be a strategic shift with a major effect on the company. Examples are leaving a major line of business or a major geographic area. Closing one store or stopping one small product does not qualify. The results of a discontinued operation, including any gain or loss on disposal, appear below income from continuing operations, net of their own tax. This is called intraperiod tax allocation.</w:t>
      </w:r>
    </w:p>
    <w:p>
      <w:pPr>
        <w:spacing w:before="20" w:after="20"/>
        <w:ind w:left="240" w:hanging="240"/>
      </w:pPr>
      <w:r>
        <w:rPr>
          <w:b/>
          <w:bCs/>
          <w:color w:val="353A7C"/>
          <w:sz w:val="15"/>
          <w:szCs w:val="15"/>
        </w:rPr>
        <w:t xml:space="preserve">Summary 2   </w:t>
      </w:r>
      <w:r>
        <w:rPr>
          <w:color w:val="6B7280"/>
          <w:sz w:val="15"/>
          <w:szCs w:val="15"/>
        </w:rPr>
        <w:t xml:space="preserve">Older textbooks show earthquakes and expropriations as extraordinary items, net of tax, below continuing operations. On today's exam, such an item is unusual or infrequent: a separate pre-tax line in continuing operations. Only discontinued operations are shown net of tax below continuing operations. IFRS 5 uses a similar idea: a separate major line of business or geographic area. IFRS also prohibits extraordinary items, so the two frameworks now give very similar results in this area.</w:t>
      </w:r>
    </w:p>
    <w:p>
      <w:pPr>
        <w:sectPr>
          <w:headerReference w:type="default" r:id="rIdHdr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Comprehensive income</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changes in value do not go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net income. </w:t>
      </w:r>
      <w:r>
        <w:rPr>
          <w:sz w:val="19"/>
          <w:szCs w:val="19"/>
        </w:rPr>
        <w:t xml:space="preserve">U.S. GAAP sends them to other comprehensive income (OCI) until they are realized. </w:t>
      </w:r>
      <w:r>
        <w:rPr>
          <w:sz w:val="19"/>
          <w:szCs w:val="19"/>
        </w:rPr>
        <w:t xml:space="preserve">Comprehensive income is net income plus OCI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debt securities lost $1,500 in fair value in 2025. </w:t>
      </w:r>
      <w:r>
        <w:rPr>
          <w:sz w:val="19"/>
          <w:szCs w:val="19"/>
        </w:rPr>
        <w:t xml:space="preserve">After tax, the loss in OCI is $1,125, so comprehensive income is $2,969,100 − $1,125 = $2,967,975. </w:t>
      </w:r>
      <w:r>
        <w:rPr>
          <w:sz w:val="19"/>
          <w:szCs w:val="19"/>
        </w:rPr>
        <w:t xml:space="preserve">Companies show this in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statement, as Orontes does, or in two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OCI only in the statement of changes in equity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OCI builds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equity called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other comprehensive income (AOCI). </w:t>
      </w:r>
      <w:r>
        <w:rPr>
          <w:sz w:val="19"/>
          <w:szCs w:val="19"/>
        </w:rPr>
        <w:t xml:space="preserve">When an item is realized, for example when Orontes sells an AFS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gain or loss moves from AOCI into net income. </w:t>
      </w:r>
      <w:r>
        <w:rPr>
          <w:sz w:val="19"/>
          <w:szCs w:val="19"/>
        </w:rPr>
        <w:t xml:space="preserve">This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adjustment stops the same gain being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allowed   ·   through   ·   counted   ·   Showing   ·   accumulated   ·   security   ·   continuous   ·   balance   ·   consecutive   ·   period   ·   reclassification   ·   available-for-sale</w:t>
            </w:r>
          </w:p>
        </w:tc>
      </w:tr>
    </w:tbl>
    <w:p/>
    <w:p>
      <w:pPr>
        <w:spacing w:before="44" w:after="10"/>
      </w:pPr>
      <w:r>
        <w:rPr>
          <w:b/>
          <w:bCs/>
          <w:color w:val="353A7C"/>
          <w:sz w:val="18"/>
          <w:szCs w:val="18"/>
        </w:rPr>
        <w:t xml:space="preserve">Main OCI items: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OCI; reclassified when the hedged item affects income   ·   Revaluation surplus in OCI; never reclassified   ·   OCI; reclassified when the foreign operation is sold   ·   OCI; amortized into net income later   ·   OCI; reclassified to net income on sale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Under IFRS, a revaluation surplus on PP&amp;E, fair value changes on equity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elected to OCI, and pension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stay in OCI forever. </w:t>
      </w:r>
      <w:r>
        <w:rPr>
          <w:sz w:val="19"/>
          <w:szCs w:val="19"/>
        </w:rPr>
        <w:t xml:space="preserve">U.S. GAAP does not allow PP&amp;E revaluation, and 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its OCI items to net income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reclassifies   ·   investments   ·   remeasurements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Comprehensive income adds this year's OCI, not the AOCI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gains on equity securities go to net income, not OCI. </w:t>
      </w:r>
      <w:r>
        <w:rPr>
          <w:sz w:val="19"/>
          <w:szCs w:val="19"/>
        </w:rPr>
        <w:t xml:space="preserve">Use OCI after tax, unless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shows the tax on a separate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balance   ·   through   ·   question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85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859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الدخل الشامل الآخر المتراكم   ·   other comprehensive income (OCI)   ·   accumulated other comprehensive income (AOCI)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(AOCI)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 المتراكم</w:t>
            </w:r>
          </w:p>
        </w:tc>
      </w:tr>
    </w:tbl>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Comprehensive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OCI; reclassified to net income on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OCI; reclassified when the foreign operation is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OCI; amortized into net income later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OCI; reclassified when the hedged item affects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consecutive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Showing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comprehensive income (OCI)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accumulated other comprehensive income (AOCI)</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changes in value do not go through net income. U.S. GAAP sends them to other comprehensive income (OCI) until they are realized. Comprehensive income is net income plus OCI for the period. Orontes's available-for-sale debt securities lost $1,500 in fair value in 2025. After tax, the loss in OCI is $1,125, so comprehensive income is $2,969,100 − $1,125 = $2,967,975. Companies show this in one continuous statement, as Orontes does, or in two consecutive statements. Showing OCI only in the statement of changes in equity is not allowed.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before="20" w:after="20"/>
        <w:ind w:left="240" w:hanging="240"/>
      </w:pPr>
      <w:r>
        <w:rPr>
          <w:b/>
          <w:bCs/>
          <w:color w:val="353A7C"/>
          <w:sz w:val="15"/>
          <w:szCs w:val="15"/>
        </w:rPr>
        <w:t xml:space="preserve">Summary 2   </w:t>
      </w:r>
      <w:r>
        <w:rPr>
          <w:color w:val="6B7280"/>
          <w:sz w:val="15"/>
          <w:szCs w:val="15"/>
        </w:rPr>
        <w:t xml:space="preserve">Under IFRS, a revaluation surplus on PP&amp;E, fair value changes on equity investments elected to OCI, and pension remeasurements stay in OCI forever. U.S. GAAP does not allow PP&amp;E revaluation, and it reclassifies its OCI items to net income later.</w:t>
      </w:r>
    </w:p>
    <w:p>
      <w:pPr>
        <w:spacing w:before="20" w:after="20"/>
        <w:ind w:left="240" w:hanging="240"/>
      </w:pPr>
      <w:r>
        <w:rPr>
          <w:b/>
          <w:bCs/>
          <w:color w:val="353A7C"/>
          <w:sz w:val="15"/>
          <w:szCs w:val="15"/>
        </w:rPr>
        <w:t xml:space="preserve">Summary 3   </w:t>
      </w:r>
      <w:r>
        <w:rPr>
          <w:color w:val="6B7280"/>
          <w:sz w:val="15"/>
          <w:szCs w:val="15"/>
        </w:rPr>
        <w:t xml:space="preserve">Comprehensive income adds this year's OCI, not the AOCI balance. Unrealized gains on equity securities go to net income, not OCI. Use OCI after tax, unless the question shows the tax on a separate line.</w:t>
      </w:r>
    </w:p>
    <w:p>
      <w:pPr>
        <w:sectPr>
          <w:headerReference w:type="default" r:id="rIdHdr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Limitations and links to the other statements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Net income depends on many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useful lives, credit losses,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and warranty costs. </w:t>
      </w:r>
      <w:r>
        <w:rPr>
          <w:sz w:val="19"/>
          <w:szCs w:val="19"/>
        </w:rPr>
        <w:t xml:space="preserve">Different companies also choose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FIFO or LIFO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Two similar companies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report different profits from the same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income statement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things out. </w:t>
      </w:r>
      <w:r>
        <w:rPr>
          <w:sz w:val="19"/>
          <w:szCs w:val="19"/>
        </w:rPr>
        <w:t xml:space="preserve">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value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land, or of a brand it built itself, is not reported. </w:t>
      </w:r>
      <w:r>
        <w:rPr>
          <w:sz w:val="19"/>
          <w:szCs w:val="19"/>
        </w:rPr>
        <w:t xml:space="preserve">Managers can influence results by timing sales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such as research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near the year-end. </w:t>
      </w:r>
      <w:r>
        <w:rPr>
          <w:sz w:val="19"/>
          <w:szCs w:val="19"/>
        </w:rPr>
        <w:t xml:space="preserve">Most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net income is not cash. </w:t>
      </w:r>
      <w:r>
        <w:rPr>
          <w:sz w:val="19"/>
          <w:szCs w:val="19"/>
        </w:rPr>
        <w:t xml:space="preserve">Accrual accounting records revenue when it is earned and expenses when they are incurred. </w:t>
      </w:r>
      <w:r>
        <w:rPr>
          <w:sz w:val="19"/>
          <w:szCs w:val="19"/>
        </w:rPr>
        <w:t xml:space="preserve">Depreciation and impairments of $4,824,000 reduced income but used no cash in 2025. </w:t>
      </w:r>
      <w:r>
        <w:rPr>
          <w:sz w:val="19"/>
          <w:szCs w:val="19"/>
        </w:rPr>
        <w:t xml:space="preserve">Net income then moves to the statement of changes in equity, where it increases retained earnings. </w:t>
      </w:r>
      <w:r>
        <w:rPr>
          <w:sz w:val="19"/>
          <w:szCs w:val="19"/>
        </w:rPr>
        <w:t xml:space="preserve">In the statement of cash flows, the indirect method starts from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leaves   ·   Accrual   ·   impairment   ·   Orontes's   ·   importantly   ·   activity   ·   estimates   ·   increase   ·   inventory   ·   advertising   ·   methods   ·   discretionary</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ASU 2024-03 (DISE) requires public companies to break down some expense captions in the notes, such as employee pay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 face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does not change. </w:t>
      </w:r>
      <w:r>
        <w:rPr>
          <w:sz w:val="19"/>
          <w:szCs w:val="19"/>
        </w:rPr>
        <w:t xml:space="preserve">IFRS 18 replaces IAS 1 and adds required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including operating profit. </w:t>
      </w:r>
      <w:r>
        <w:rPr>
          <w:sz w:val="19"/>
          <w:szCs w:val="19"/>
        </w:rPr>
        <w:t xml:space="preserve">Both apply from 2027 and are not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Not result in general.S.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category   ·   depreciation   ·   subtotals   ·   testable   ·   expenses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memo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 memo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Net sales</w:t>
            </w:r>
          </w:p>
        </w:tc>
        <w:tc>
          <w:tcPr>
            <w:tcW w:type="pct" w:w="2600"/>
            <w:tcMar>
              <w:top w:type="dxa" w:w="50"/>
              <w:left w:type="dxa" w:w="110"/>
              <w:bottom w:type="dxa" w:w="50"/>
              <w:right w:type="dxa" w:w="110"/>
            </w:tcMar>
          </w:tcPr>
          <w:p>
            <w:pPr>
              <w:spacing w:before="28" w:after="28"/>
            </w:pPr>
            <w:r>
              <w:rPr>
                <w:sz w:val="15"/>
                <w:szCs w:val="15"/>
              </w:rPr>
              <w:t xml:space="preserve">3,400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2,040</w:t>
            </w:r>
          </w:p>
        </w:tc>
      </w:tr>
      <w:tr>
        <w:tc>
          <w:tcPr>
            <w:tcW w:type="pct" w:w="2400"/>
            <w:tcMar>
              <w:top w:type="dxa" w:w="50"/>
              <w:left w:type="dxa" w:w="110"/>
              <w:bottom w:type="dxa" w:w="50"/>
              <w:right w:type="dxa" w:w="110"/>
            </w:tcMar>
          </w:tcPr>
          <w:p>
            <w:pPr>
              <w:spacing w:before="28" w:after="28"/>
            </w:pPr>
            <w:r>
              <w:rPr>
                <w:sz w:val="15"/>
                <w:szCs w:val="15"/>
              </w:rPr>
              <w:t xml:space="preserve">Wages expense</w:t>
            </w:r>
          </w:p>
        </w:tc>
        <w:tc>
          <w:tcPr>
            <w:tcW w:type="pct" w:w="2600"/>
            <w:tcMar>
              <w:top w:type="dxa" w:w="50"/>
              <w:left w:type="dxa" w:w="110"/>
              <w:bottom w:type="dxa" w:w="50"/>
              <w:right w:type="dxa" w:w="110"/>
            </w:tcMar>
          </w:tcPr>
          <w:p>
            <w:pPr>
              <w:spacing w:before="28" w:after="28"/>
            </w:pPr>
            <w:r>
              <w:rPr>
                <w:sz w:val="15"/>
                <w:szCs w:val="15"/>
              </w:rPr>
              <w:t xml:space="preserve">560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Depreciation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400"/>
            <w:tcMar>
              <w:top w:type="dxa" w:w="50"/>
              <w:left w:type="dxa" w:w="110"/>
              <w:bottom w:type="dxa" w:w="50"/>
              <w:right w:type="dxa" w:w="110"/>
            </w:tcMar>
          </w:tcPr>
          <w:p>
            <w:pPr>
              <w:spacing w:before="28" w:after="28"/>
            </w:pPr>
            <w:r>
              <w:rPr>
                <w:sz w:val="15"/>
                <w:szCs w:val="15"/>
              </w:rPr>
              <w:t xml:space="preserve">Fire loss (uninsured inventory)</w:t>
            </w:r>
          </w:p>
        </w:tc>
        <w:tc>
          <w:tcPr>
            <w:tcW w:type="pct" w:w="2600"/>
            <w:tcMar>
              <w:top w:type="dxa" w:w="50"/>
              <w:left w:type="dxa" w:w="110"/>
              <w:bottom w:type="dxa" w:w="50"/>
              <w:right w:type="dxa" w:w="110"/>
            </w:tcMar>
          </w:tcPr>
          <w:p>
            <w:pPr>
              <w:spacing w:before="28" w:after="28"/>
            </w:pPr>
            <w:r>
              <w:rPr>
                <w:sz w:val="15"/>
                <w:szCs w:val="15"/>
              </w:rPr>
              <w:t xml:space="preserve">70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Lawsuit settlement</w:t>
            </w:r>
          </w:p>
        </w:tc>
        <w:tc>
          <w:tcPr>
            <w:tcW w:type="pct" w:w="26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400"/>
            <w:tcMar>
              <w:top w:type="dxa" w:w="50"/>
              <w:left w:type="dxa" w:w="110"/>
              <w:bottom w:type="dxa" w:w="50"/>
              <w:right w:type="dxa" w:w="110"/>
            </w:tcMar>
          </w:tcPr>
          <w:p>
            <w:pPr>
              <w:spacing w:before="28" w:after="28"/>
            </w:pPr>
            <w:r>
              <w:rPr>
                <w:sz w:val="15"/>
                <w:szCs w:val="15"/>
              </w:rPr>
              <w:t xml:space="preserve">Interest expense</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600"/>
            <w:shd w:fill="FBFAF6" w:val="clear"/>
            <w:tcMar>
              <w:top w:type="dxa" w:w="50"/>
              <w:left w:type="dxa" w:w="110"/>
              <w:bottom w:type="dxa" w:w="50"/>
              <w:right w:type="dxa" w:w="110"/>
            </w:tcMar>
          </w:tcPr>
          <w:p>
            <w:pPr>
              <w:spacing w:before="28" w:after="28"/>
            </w:pPr>
            <w:r>
              <w:rPr>
                <w:sz w:val="15"/>
                <w:szCs w:val="15"/>
              </w:rPr>
              <w:t xml:space="preserve">20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August 2026 Barada sold its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division to focus only on wholesale food. The division was one of Barada's two lines of busin</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2026 the division had an operating loss of 60 before tax. Barada lost 40 before tax on the sale.</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The fire loss is the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inventory destroyed on February 10, 2026. Fires are unusual for Barada.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The income tax rate is 25% on all items. Barada has no other comprehensive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catering-supply   ·   uninsured   ·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Operating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Gross profit percentage</w:t>
            </w:r>
          </w:p>
        </w:tc>
        <w:tc>
          <w:tcPr>
            <w:tcW w:type="pct" w:w="2400"/>
            <w:tcMar>
              <w:top w:type="dxa" w:w="50"/>
              <w:left w:type="dxa" w:w="110"/>
              <w:bottom w:type="dxa" w:w="50"/>
              <w:right w:type="dxa" w:w="110"/>
            </w:tcMar>
          </w:tcPr>
          <w:p>
            <w:pPr>
              <w:spacing w:before="28" w:after="28"/>
            </w:pPr>
            <w:r>
              <w:rPr>
                <w:sz w:val="15"/>
                <w:szCs w:val="15"/>
              </w:rPr>
              <w:t xml:space="preserve">1,240 ÷ 3,100 = 40%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420 − 90 = 330, the same as in Chapter 1   ·   Loss on sale of the division   ·   1,240 − 520 − 300 = 420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Lawsuit settlement   ·   Gain on sale of equipment   ·   Fire loss</w:t>
            </w:r>
          </w:p>
        </w:tc>
      </w:tr>
    </w:tbl>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category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catering-supply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leaves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uninsured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increase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1,240 − 520 − 300 = 420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420 − 90 = 330, the same as in Chapter 1</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Lawsuit 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importantly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 The income statement also leaves things out. An increase in the value of Orontes's land, or of a brand it built itself, is not reported. Managers can influence results by timing sales or discretionary costs, such as research or advertising, near the year-end. Most importantly, net income is not cash. Accrual accounting records revenue when it is earned and expenses when they are incurred. Depreciation and impairments of $4,824,000 reduced income but used no cash in 2025. Net income then moves to the statement of changes in equity, where it increases retained earnings. In the statement of cash flows, the indirect method starts from net income.</w:t>
      </w:r>
    </w:p>
    <w:p>
      <w:pPr>
        <w:spacing w:before="20" w:after="20"/>
        <w:ind w:left="240" w:hanging="240"/>
      </w:pPr>
      <w:r>
        <w:rPr>
          <w:b/>
          <w:bCs/>
          <w:color w:val="353A7C"/>
          <w:sz w:val="15"/>
          <w:szCs w:val="15"/>
        </w:rPr>
        <w:t xml:space="preserve">Summary 2   </w:t>
      </w:r>
      <w:r>
        <w:rPr>
          <w:color w:val="6B7280"/>
          <w:sz w:val="15"/>
          <w:szCs w:val="15"/>
        </w:rPr>
        <w:t xml:space="preserve">ASU 2024-03 (DISE) requires public companies to break down some expense captions in the notes, such as employee pay and depreciation. The face of the statement does not change. IFRS 18 replaces IAS 1 and adds required subtotals, including operating profit. Both apply from 2027 and are not testable before about January 2028. Not result in general.S. category.</w:t>
      </w:r>
    </w:p>
    <w:p>
      <w:pPr>
        <w:sectPr>
          <w:headerReference w:type="default" r:id="rIdHdr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Components of equity and the statement of changes in equity</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Limitations and links to the other statements   ·   Dividends, stock dividends and stock splits   ·   Components of equity and the statement of chan</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changes in equity explains why each part of equity changed during the period. </w:t>
      </w:r>
      <w:r>
        <w:rPr>
          <w:sz w:val="19"/>
          <w:szCs w:val="19"/>
        </w:rPr>
        <w:t xml:space="preserve">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two kinds of change.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owners, such as issuing shares and paying dividends, are one kind.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which the company earns, is the other. </w:t>
      </w:r>
      <w:r>
        <w:rPr>
          <w:sz w:val="19"/>
          <w:szCs w:val="19"/>
        </w:rPr>
        <w:t xml:space="preserve">Equity has two main parts.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capital is what owners have paid: common stock and preferred stock at par or stated value, plus additional paid-in capital. </w:t>
      </w:r>
      <w:r>
        <w:rPr>
          <w:sz w:val="19"/>
          <w:szCs w:val="19"/>
        </w:rPr>
        <w:t xml:space="preserve">Earned capital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earnings and AOCI.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deducted from the total. </w:t>
      </w: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if any, is shown separately within equity.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noncontrolling   ·   Transactions   ·   Comprehensive   ·   Contributed   ·   dividends   ·   statement   ·   Treasury   ·   retained   ·   separates</w:t>
            </w:r>
          </w:p>
        </w:tc>
      </w:tr>
    </w:tbl>
    <w:p/>
    <w:p>
      <w:pPr>
        <w:pageBreakBefore w:val="true"/>
        <w:spacing w:after="0"/>
      </w:pPr>
      <w:r>
        <w:rPr>
          <w:sz w:val="2"/>
        </w:rPr>
        <w:t xml:space="preserve"> </w:t>
      </w:r>
    </w:p>
    <w:p>
      <w:pPr>
        <w:spacing w:before="44" w:after="10"/>
      </w:pPr>
      <w:r>
        <w:rPr>
          <w:b/>
          <w:bCs/>
          <w:color w:val="353A7C"/>
          <w:sz w:val="18"/>
          <w:szCs w:val="18"/>
        </w:rPr>
        <w:t xml:space="preserve">Orontes Foods Inc. — statement of changes in equity, 2025</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appropriated retained earnings   ·   Cash dividends declared   ·   Balance, January 1, 2025</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Each column is one equity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each row is one type of change. </w:t>
      </w:r>
      <w:r>
        <w:rPr>
          <w:sz w:val="19"/>
          <w:szCs w:val="19"/>
        </w:rPr>
        <w:t xml:space="preserve">The last row equals the equity section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sheet. </w:t>
      </w:r>
      <w:r>
        <w:rPr>
          <w:sz w:val="19"/>
          <w:szCs w:val="19"/>
        </w:rPr>
        <w:t xml:space="preserve">Total equity rose by $4,017,975.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separates   ·   balance   ·   account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contributed capital   ·   treasury stock   ·   outstanding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contributed capital</w:t>
            </w:r>
          </w:p>
        </w:tc>
        <w:tc>
          <w:tcPr>
            <w:tcW w:type="pct" w:w="2600"/>
            <w:tcMar>
              <w:top w:type="dxa" w:w="50"/>
              <w:left w:type="dxa" w:w="110"/>
              <w:bottom w:type="dxa" w:w="50"/>
              <w:right w:type="dxa" w:w="110"/>
            </w:tcMar>
          </w:tcPr>
          <w:p>
            <w:pPr>
              <w:spacing w:before="26" w:after="26"/>
            </w:pPr>
            <w:r>
              <w:rPr>
                <w:color w:val="232733"/>
                <w:sz w:val="16"/>
                <w:szCs w:val="16"/>
              </w:rPr>
              <w:t xml:space="preserve">رأس المال المساهم به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الممتازة</w:t>
            </w:r>
          </w:p>
        </w:tc>
      </w:tr>
    </w:tbl>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Components of equity and the statement of changes in equity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 of equity and the statement of chan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 stock dividends and stock splits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noncontrolling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Balance, January 1, 2025</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Cash dividends declared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retained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treasury stock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 Equity has two main parts. Contributed capital is what owners have paid: common stock and preferred stock at par or stated value, plus additional paid-in capital. Earned capital is retained earnings and AOCI. Treasury stock is deducted from the total. A noncontrolling interest, if any, is shown separately within equity.</w:t>
      </w:r>
    </w:p>
    <w:p>
      <w:pPr>
        <w:spacing w:before="20" w:after="20"/>
        <w:ind w:left="240" w:hanging="240"/>
      </w:pPr>
      <w:r>
        <w:rPr>
          <w:b/>
          <w:bCs/>
          <w:color w:val="353A7C"/>
          <w:sz w:val="15"/>
          <w:szCs w:val="15"/>
        </w:rPr>
        <w:t xml:space="preserve">Summary 2   </w:t>
      </w:r>
      <w:r>
        <w:rPr>
          <w:color w:val="6B7280"/>
          <w:sz w:val="15"/>
          <w:szCs w:val="15"/>
        </w:rPr>
        <w:t xml:space="preserve">Each column is one equity account, and each row is one type of change. The last row equals the equity section of the balance sheet. Total equity rose by $4,017,975.</w:t>
      </w:r>
    </w:p>
    <w:p>
      <w:pPr>
        <w:sectPr>
          <w:headerReference w:type="default" r:id="rIdHdr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Issuing and buying back shares</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shares for cash,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common stock with the par value and APIC with the rest. </w:t>
      </w:r>
      <w:r>
        <w:rPr>
          <w:sz w:val="19"/>
          <w:szCs w:val="19"/>
        </w:rPr>
        <w:t xml:space="preserve">If the shares have no par and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goes to common stock. </w:t>
      </w:r>
      <w:r>
        <w:rPr>
          <w:sz w:val="19"/>
          <w:szCs w:val="19"/>
        </w:rPr>
        <w:t xml:space="preserve">Direct costs of issuing shares, such 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fees, reduce APIC;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Shares issued for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asset, such as land, are recorded at the fair value of the shares or of the asset,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more reliable.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recorded in the same way, in its own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company may buy back its own shares and hold them as treasury stock. </w:t>
      </w:r>
      <w:r>
        <w:rPr>
          <w:sz w:val="19"/>
          <w:szCs w:val="19"/>
        </w:rPr>
        <w:t xml:space="preserve">Under the cost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treasury stock is recorded at the price paid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from equity. </w:t>
      </w:r>
      <w:r>
        <w:rPr>
          <w:sz w:val="19"/>
          <w:szCs w:val="19"/>
        </w:rPr>
        <w:t xml:space="preserve">Shares held as treasury stock are issued shares but not outstanding shares: they receive no dividends and have no votes. </w:t>
      </w:r>
      <w:r>
        <w:rPr>
          <w:sz w:val="19"/>
          <w:szCs w:val="19"/>
        </w:rPr>
        <w:t xml:space="preserve">A company never records a gain or loss on its own shares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Preferred   ·   reduces   ·   amount   ·   stated   ·   account   ·   method   ·   credits   ·   whichever   ·   underwriting   ·   issues   ·   deducted   ·   noncash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treasury stock under the cost method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buys back 50,000 shares at $16 in 2026. </w:t>
      </w:r>
      <w:r>
        <w:rPr>
          <w:sz w:val="19"/>
          <w:szCs w:val="19"/>
        </w:rPr>
        <w:t xml:space="preserve">Treasury stock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$800,000. </w:t>
      </w:r>
      <w:r>
        <w:rPr>
          <w:sz w:val="19"/>
          <w:szCs w:val="19"/>
        </w:rPr>
        <w:t xml:space="preserve">It reissues 20,000 shares at $18. </w:t>
      </w:r>
      <w:r>
        <w:rPr>
          <w:sz w:val="19"/>
          <w:szCs w:val="19"/>
        </w:rPr>
        <w:t xml:space="preserve">Cash is $360,000 and the cost removed is $320,000, so APIC–treasury stock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$40,000. </w:t>
      </w:r>
      <w:r>
        <w:rPr>
          <w:sz w:val="19"/>
          <w:szCs w:val="19"/>
        </w:rPr>
        <w:t xml:space="preserve">It reissues 20,000 more at $13.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below cost is $60,000. </w:t>
      </w:r>
      <w:r>
        <w:rPr>
          <w:sz w:val="19"/>
          <w:szCs w:val="19"/>
        </w:rPr>
        <w:t xml:space="preserve">APIC–treasury stock absorbs $40,000, and retained earnings absorb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$20,000. </w:t>
      </w:r>
      <w:r>
        <w:rPr>
          <w:sz w:val="19"/>
          <w:szCs w:val="19"/>
        </w:rPr>
        <w:t xml:space="preserve">No gain or loss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remaining   ·   credited   ·   shortfall   ·   debited   ·   applies   ·   Orontes   ·   appears</w:t>
            </w:r>
          </w:p>
        </w:tc>
      </w:tr>
    </w:tbl>
    <w:p/>
    <w:p>
      <w:pPr>
        <w:spacing w:before="44" w:after="10"/>
      </w:pPr>
      <w:r>
        <w:rPr>
          <w:b/>
          <w:bCs/>
          <w:color w:val="353A7C"/>
          <w:sz w:val="18"/>
          <w:szCs w:val="18"/>
        </w:rPr>
        <w:t xml:space="preserve">Suppose: Orontes's treasury stock entries in 2026 (cost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 Reissue 20,000 shares at $18   ·   3. Reissue 20,000 shares at $13</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20–30</w:t>
      </w:r>
    </w:p>
    <w:p>
      <w:pPr>
        <w:spacing w:before="20" w:after="20" w:line="360" w:lineRule="auto"/>
        <w:ind w:left="200"/>
      </w:pPr>
      <w:r>
        <w:rPr>
          <w:sz w:val="19"/>
          <w:szCs w:val="19"/>
        </w:rPr>
        <w:t xml:space="preserve">If the company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its treasury stock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it removes their par value from common stock and the related APIC. </w:t>
      </w:r>
      <w:r>
        <w:rPr>
          <w:sz w:val="19"/>
          <w:szCs w:val="19"/>
        </w:rPr>
        <w:t xml:space="preserve">Any excess of cost over these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reduces retained earnings, or is split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APIC and retained earnings. </w:t>
      </w:r>
      <w:r>
        <w:rPr>
          <w:sz w:val="19"/>
          <w:szCs w:val="19"/>
        </w:rPr>
        <w:t xml:space="preserve">ASU 2025-12 allows companies to charge the whole excess on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APIC, as long as APIC does not become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It applies to annual periods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after December 15, 2026, so it is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Use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rules on the exam. </w:t>
      </w:r>
      <w:r>
        <w:rPr>
          <w:sz w:val="19"/>
          <w:szCs w:val="19"/>
        </w:rPr>
        <w:t xml:space="preserve">IFRS also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treasury shares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and never shows a gain or loss in profit. </w:t>
      </w:r>
      <w:r>
        <w:rPr>
          <w:sz w:val="19"/>
          <w:szCs w:val="19"/>
        </w:rPr>
        <w:t xml:space="preserve">It does not prescribe a cost or par-value method, so IFRS companies show the effect in reserves in different ways.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testable   ·   retirement   ·   earnings   ·   between   ·   instead   ·   beginning   ·   current   ·   amounts   ·   equity   ·   deducts   ·   retires   ·   negative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   outstanding shares   ·   issued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issued shares</w:t>
            </w:r>
          </w:p>
        </w:tc>
        <w:tc>
          <w:tcPr>
            <w:tcW w:type="pct" w:w="2600"/>
            <w:tcMar>
              <w:top w:type="dxa" w:w="50"/>
              <w:left w:type="dxa" w:w="110"/>
              <w:bottom w:type="dxa" w:w="50"/>
              <w:right w:type="dxa" w:w="110"/>
            </w:tcMar>
          </w:tcPr>
          <w:p>
            <w:pPr>
              <w:spacing w:before="26" w:after="26"/>
            </w:pPr>
            <w:r>
              <w:rPr>
                <w:color w:val="232733"/>
                <w:sz w:val="16"/>
                <w:szCs w:val="16"/>
              </w:rPr>
              <w:t xml:space="preserve">الأسهم المصدرة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outstanding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القائمة (المتداولة)</w:t>
            </w:r>
          </w:p>
        </w:tc>
      </w:tr>
      <w:tr>
        <w:tc>
          <w:tcPr>
            <w:tcW w:type="pct" w:w="2400"/>
            <w:tcMar>
              <w:top w:type="dxa" w:w="50"/>
              <w:left w:type="dxa" w:w="110"/>
              <w:bottom w:type="dxa" w:w="50"/>
              <w:right w:type="dxa" w:w="110"/>
            </w:tcMar>
          </w:tcPr>
          <w:p>
            <w:pPr>
              <w:spacing w:before="26" w:after="26"/>
            </w:pPr>
            <w:r>
              <w:rPr>
                <w:color w:val="232733"/>
                <w:sz w:val="16"/>
                <w:szCs w:val="16"/>
              </w:rPr>
              <w:t xml:space="preserve">treasury stock</w:t>
            </w:r>
          </w:p>
        </w:tc>
        <w:tc>
          <w:tcPr>
            <w:tcW w:type="pct" w:w="2600"/>
            <w:tcMar>
              <w:top w:type="dxa" w:w="50"/>
              <w:left w:type="dxa" w:w="110"/>
              <w:bottom w:type="dxa" w:w="50"/>
              <w:right w:type="dxa" w:w="110"/>
            </w:tcMar>
          </w:tcPr>
          <w:p>
            <w:pPr>
              <w:spacing w:before="26" w:after="26"/>
            </w:pPr>
            <w:r>
              <w:rPr>
                <w:color w:val="232733"/>
                <w:sz w:val="16"/>
                <w:szCs w:val="16"/>
              </w:rPr>
              <w:t xml:space="preserve">أسهم الخزينة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التكلفة</w:t>
            </w:r>
          </w:p>
        </w:tc>
      </w:tr>
    </w:tbl>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Issuing and buying back shares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issues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appears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 Reissue 20,000 shares at $18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retires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underwriting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Preferred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negative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debited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issued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shortfall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outstanding shares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 Shares issued for a noncash asset, such as land, are recorded at the fair value of the shares or of the asset, whichever is more reliable. Preferred stock is recorded in the same way, in its own account.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 A company never records a gain or loss on its own shares in net income.</w:t>
      </w:r>
    </w:p>
    <w:p>
      <w:pPr>
        <w:spacing w:before="20" w:after="20"/>
        <w:ind w:left="240" w:hanging="240"/>
      </w:pPr>
      <w:r>
        <w:rPr>
          <w:b/>
          <w:bCs/>
          <w:color w:val="353A7C"/>
          <w:sz w:val="15"/>
          <w:szCs w:val="15"/>
        </w:rPr>
        <w:t xml:space="preserve">Summary 2   </w:t>
      </w:r>
      <w:r>
        <w:rPr>
          <w:color w:val="6B7280"/>
          <w:sz w:val="15"/>
          <w:szCs w:val="15"/>
        </w:rPr>
        <w:t xml:space="preserve">Suppose Orontes buys back 50,000 shares at $16 in 2026. Treasury stock is debited at cost: $800,000. It reissues 20,000 shares at $18. Cash is $360,000 and the cost removed is $320,000, so APIC–treasury stock is credited with $40,000. It reissues 20,000 more at $13. The shortfall below cost is $60,000. APIC–treasury stock absorbs $40,000, and retained earnings absorb the remaining $20,000. No gain or loss appears in net income.</w:t>
      </w:r>
    </w:p>
    <w:p>
      <w:pPr>
        <w:spacing w:before="20" w:after="20"/>
        <w:ind w:left="240" w:hanging="240"/>
      </w:pPr>
      <w:r>
        <w:rPr>
          <w:b/>
          <w:bCs/>
          <w:color w:val="353A7C"/>
          <w:sz w:val="15"/>
          <w:szCs w:val="15"/>
        </w:rPr>
        <w:t xml:space="preserve">Summary 3   </w:t>
      </w:r>
      <w:r>
        <w:rPr>
          <w:color w:val="6B7280"/>
          <w:sz w:val="15"/>
          <w:szCs w:val="15"/>
        </w:rPr>
        <w:t xml:space="preserve">If the company retires its treasury stock instead, it removes their par value from common stock and the related APIC. Any excess of cost over these amounts reduces retained earnings, or is split between APIC and retained earnings. ASU 2025-12 allows companies to charge the whole excess on a retirement to APIC, as long as APIC does not become negative. It applies to annual periods beginning after December 15, 2026, so it is not testable before about January 2028. Use the current rules on the exam. IFRS also deducts treasury shares from equity and never shows a gain or loss in profit. It does not prescribe a cost or par-value method, so IFRS companies show the effect in reserves in different ways.</w:t>
      </w:r>
    </w:p>
    <w:p>
      <w:pPr>
        <w:sectPr>
          <w:headerReference w:type="default" r:id="rIdHdr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Dividends, stock dividends and stock splits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cash dividend has three dates. </w:t>
      </w:r>
      <w:r>
        <w:rPr>
          <w:sz w:val="19"/>
          <w:szCs w:val="19"/>
        </w:rPr>
        <w:t xml:space="preserve">On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date the company debits retained earnings and credits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payable, a current liability. </w:t>
      </w:r>
      <w:r>
        <w:rPr>
          <w:sz w:val="19"/>
          <w:szCs w:val="19"/>
        </w:rPr>
        <w:t xml:space="preserve">On the date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no entry is made; it only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who is paid. </w:t>
      </w:r>
      <w:r>
        <w:rPr>
          <w:sz w:val="19"/>
          <w:szCs w:val="19"/>
        </w:rPr>
        <w:t xml:space="preserve">On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date the liability is paid. </w:t>
      </w:r>
      <w:r>
        <w:rPr>
          <w:sz w:val="19"/>
          <w:szCs w:val="19"/>
        </w:rPr>
        <w:t xml:space="preserve">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$400,000 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2025, so that amount is still payable at year-end.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dividend is paid with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asset. </w:t>
      </w:r>
      <w:r>
        <w:rPr>
          <w:sz w:val="19"/>
          <w:szCs w:val="19"/>
        </w:rPr>
        <w:t xml:space="preserve">The company first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asset to fair value and records any gain or loss, then debits retained earnings at fair value. </w:t>
      </w:r>
      <w:r>
        <w:rPr>
          <w:sz w:val="19"/>
          <w:szCs w:val="19"/>
        </w:rPr>
        <w:t xml:space="preserve">A scrip dividend creates a note payable. </w:t>
      </w:r>
      <w:r>
        <w:rPr>
          <w:sz w:val="19"/>
          <w:szCs w:val="19"/>
        </w:rPr>
        <w:t xml:space="preserve">A liquidating dividend returns contributed capital, so it reduces APIC rather than retained earnings.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declaration   ·   decides   ·   property   ·   noncash   ·   payment   ·   record   ·   creates   ·   remeasures   ·   declared   ·   December   ·   dividends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41"/>
        <w:gridCol w:w="3151"/>
        <w:gridCol w:w="2105"/>
        <w:gridCol w:w="190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dividends and their effects</w:t>
            </w:r>
          </w:p>
        </w:tc>
      </w:tr>
      <w:tr>
        <w:tc>
          <w:tcPr>
            <w:tcW w:type="pct" w:w="1271"/>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641"/>
            <w:shd w:fill="353A7C" w:val="clear"/>
            <w:tcMar>
              <w:top w:type="dxa" w:w="50"/>
              <w:left w:type="dxa" w:w="110"/>
              <w:bottom w:type="dxa" w:w="50"/>
              <w:right w:type="dxa" w:w="110"/>
            </w:tcMar>
          </w:tcPr>
          <w:p>
            <w:pPr>
              <w:spacing w:before="30" w:after="30"/>
            </w:pPr>
            <w:r>
              <w:rPr>
                <w:b/>
                <w:bCs/>
                <w:color w:val="FFFFFF"/>
                <w:sz w:val="15"/>
                <w:szCs w:val="15"/>
              </w:rPr>
              <w:t xml:space="preserve">Measured at</w:t>
            </w:r>
          </w:p>
        </w:tc>
        <w:tc>
          <w:tcPr>
            <w:tcW w:type="pct" w:w="1096"/>
            <w:shd w:fill="353A7C" w:val="clear"/>
            <w:tcMar>
              <w:top w:type="dxa" w:w="50"/>
              <w:left w:type="dxa" w:w="110"/>
              <w:bottom w:type="dxa" w:w="50"/>
              <w:right w:type="dxa" w:w="110"/>
            </w:tcMar>
          </w:tcPr>
          <w:p>
            <w:pPr>
              <w:spacing w:before="30" w:after="30"/>
            </w:pPr>
            <w:r>
              <w:rPr>
                <w:b/>
                <w:bCs/>
                <w:color w:val="FFFFFF"/>
                <w:sz w:val="15"/>
                <w:szCs w:val="15"/>
              </w:rPr>
              <w:t xml:space="preserve">Retained earnings</w:t>
            </w:r>
          </w:p>
        </w:tc>
        <w:tc>
          <w:tcPr>
            <w:tcW w:type="pct" w:w="991"/>
            <w:shd w:fill="353A7C" w:val="clear"/>
            <w:tcMar>
              <w:top w:type="dxa" w:w="50"/>
              <w:left w:type="dxa" w:w="110"/>
              <w:bottom w:type="dxa" w:w="50"/>
              <w:right w:type="dxa" w:w="110"/>
            </w:tcMar>
          </w:tcPr>
          <w:p>
            <w:pPr>
              <w:spacing w:before="30" w:after="30"/>
            </w:pPr>
            <w:r>
              <w:rPr>
                <w:b/>
                <w:bCs/>
                <w:color w:val="FFFFFF"/>
                <w:sz w:val="15"/>
                <w:szCs w:val="15"/>
              </w:rPr>
              <w:t xml:space="preserve">Total equity</w:t>
            </w:r>
          </w:p>
        </w:tc>
      </w:tr>
      <w:tr>
        <w:tc>
          <w:tcPr>
            <w:tcW w:type="pct" w:w="1271"/>
            <w:tcMar>
              <w:top w:type="dxa" w:w="50"/>
              <w:left w:type="dxa" w:w="110"/>
              <w:bottom w:type="dxa" w:w="50"/>
              <w:right w:type="dxa" w:w="110"/>
            </w:tcMar>
          </w:tcPr>
          <w:p>
            <w:pPr>
              <w:spacing w:before="28" w:after="28"/>
            </w:pPr>
            <w:r>
              <w:rPr>
                <w:sz w:val="15"/>
                <w:szCs w:val="15"/>
              </w:rPr>
              <w:t xml:space="preserve">Cash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liability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Property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Fair value of the asset (gain or loss on remeasurement first)</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Scrip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note payable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Liquidating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Amount beyond retained earnings</w:t>
            </w:r>
          </w:p>
        </w:tc>
        <w:tc>
          <w:tcPr>
            <w:tcW w:type="pct" w:w="1096"/>
            <w:shd w:fill="FBFAF6" w:val="clear"/>
            <w:tcMar>
              <w:top w:type="dxa" w:w="50"/>
              <w:left w:type="dxa" w:w="110"/>
              <w:bottom w:type="dxa" w:w="50"/>
              <w:right w:type="dxa" w:w="110"/>
            </w:tcMar>
          </w:tcPr>
          <w:p>
            <w:pPr>
              <w:spacing w:before="28" w:after="28"/>
            </w:pPr>
            <w:r>
              <w:rPr>
                <w:sz w:val="15"/>
                <w:szCs w:val="15"/>
              </w:rPr>
              <w:t xml:space="preserve">No change for that part; APIC 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Small stock dividend (below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No change</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Large stock dividend (above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No change</w:t>
            </w:r>
          </w:p>
        </w:tc>
      </w:tr>
      <w:tr>
        <w:tc>
          <w:tcPr>
            <w:tcW w:type="pct" w:w="1271"/>
            <w:tcMar>
              <w:top w:type="dxa" w:w="50"/>
              <w:left w:type="dxa" w:w="110"/>
              <w:bottom w:type="dxa" w:w="50"/>
              <w:right w:type="dxa" w:w="110"/>
            </w:tcMar>
          </w:tcPr>
          <w:p>
            <w:pPr>
              <w:spacing w:before="28" w:after="28"/>
            </w:pPr>
            <w:r>
              <w:rPr>
                <w:sz w:val="15"/>
                <w:szCs w:val="15"/>
              </w:rPr>
              <w:t xml:space="preserve">Stock split</w:t>
            </w:r>
          </w:p>
        </w:tc>
        <w:tc>
          <w:tcPr>
            <w:tcW w:type="pct" w:w="1641"/>
            <w:tcMar>
              <w:top w:type="dxa" w:w="50"/>
              <w:left w:type="dxa" w:w="110"/>
              <w:bottom w:type="dxa" w:w="50"/>
              <w:right w:type="dxa" w:w="110"/>
            </w:tcMar>
          </w:tcPr>
          <w:p>
            <w:pPr>
              <w:spacing w:before="28" w:after="28"/>
            </w:pPr>
            <w:r>
              <w:rPr>
                <w:sz w:val="15"/>
                <w:szCs w:val="15"/>
              </w:rPr>
              <w:t xml:space="preserve">No entry; par per share falls</w:t>
            </w:r>
          </w:p>
        </w:tc>
        <w:tc>
          <w:tcPr>
            <w:tcW w:type="pct" w:w="1096"/>
            <w:tcMar>
              <w:top w:type="dxa" w:w="50"/>
              <w:left w:type="dxa" w:w="110"/>
              <w:bottom w:type="dxa" w:w="50"/>
              <w:right w:type="dxa" w:w="110"/>
            </w:tcMar>
          </w:tcPr>
          <w:p>
            <w:pPr>
              <w:spacing w:before="28" w:after="28"/>
            </w:pPr>
            <w:r>
              <w:rPr>
                <w:sz w:val="15"/>
                <w:szCs w:val="15"/>
              </w:rPr>
              <w:t xml:space="preserve">No change</w:t>
            </w:r>
          </w:p>
        </w:tc>
        <w:tc>
          <w:tcPr>
            <w:tcW w:type="pct" w:w="991"/>
            <w:tcMar>
              <w:top w:type="dxa" w:w="50"/>
              <w:left w:type="dxa" w:w="110"/>
              <w:bottom w:type="dxa" w:w="50"/>
              <w:right w:type="dxa" w:w="110"/>
            </w:tcMar>
          </w:tcPr>
          <w:p>
            <w:pPr>
              <w:spacing w:before="28" w:after="28"/>
            </w:pPr>
            <w:r>
              <w:rPr>
                <w:sz w:val="15"/>
                <w:szCs w:val="15"/>
              </w:rPr>
              <w:t xml:space="preserve">No change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Reissue treasury stock above cost   ·   Amount declared   ·   Face value of the note   ·   Fair value of the shares   ·   Par value of the shares</w:t>
            </w:r>
          </w:p>
        </w:tc>
      </w:tr>
    </w:tbl>
    <w:p/>
    <w:p>
      <w:pPr>
        <w:spacing w:before="44" w:after="14"/>
      </w:pPr>
      <w:r>
        <w:rPr>
          <w:b/>
          <w:bCs/>
          <w:color w:val="353A7C"/>
          <w:sz w:val="18"/>
          <w:szCs w:val="18"/>
        </w:rPr>
        <w:t xml:space="preserve">Summary 2</w:t>
      </w:r>
      <w:r>
        <w:rPr>
          <w:color w:val="6B7280"/>
          <w:sz w:val="16"/>
          <w:szCs w:val="16"/>
        </w:rPr>
        <w:t xml:space="preserve">      gaps 15–21</w:t>
      </w:r>
    </w:p>
    <w:p>
      <w:pPr>
        <w:spacing w:before="20" w:after="20" w:line="360" w:lineRule="auto"/>
        <w:ind w:left="200"/>
      </w:pPr>
      <w:r>
        <w:rPr>
          <w:sz w:val="19"/>
          <w:szCs w:val="19"/>
        </w:rPr>
        <w:t xml:space="preserve">A stock dividend gives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more shares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of cash. </w:t>
      </w:r>
      <w:r>
        <w:rPr>
          <w:sz w:val="19"/>
          <w:szCs w:val="19"/>
        </w:rPr>
        <w:t xml:space="preserve">For a small stock dividend, below about 20% to 25%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shares, the company moves the fair value of the new shares from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earnings to common stock and APIC. </w:t>
      </w:r>
      <w:r>
        <w:rPr>
          <w:sz w:val="19"/>
          <w:szCs w:val="19"/>
        </w:rPr>
        <w:t xml:space="preserve">For a large stock dividend, it moves only the par value. </w:t>
      </w:r>
      <w:r>
        <w:rPr>
          <w:sz w:val="19"/>
          <w:szCs w:val="19"/>
        </w:rPr>
        <w:t xml:space="preserve">A stock split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number of shares and reduces the par value per share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Total equity never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only the labels inside equity move.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instead   ·   contributed   ·   retained   ·   increases   ·   proportion   ·   shareholders   ·   outstanding</w:t>
            </w:r>
          </w:p>
        </w:tc>
      </w:tr>
    </w:tbl>
    <w:p/>
    <w:p>
      <w:pPr>
        <w:pageBreakBefore w:val="true"/>
        <w:spacing w:after="0"/>
      </w:pPr>
      <w:r>
        <w:rPr>
          <w:sz w:val="2"/>
        </w:rPr>
        <w:t xml:space="preserve"> </w:t>
      </w:r>
    </w:p>
    <w:p>
      <w:pPr>
        <w:spacing w:before="44" w:after="10"/>
      </w:pPr>
      <w:r>
        <w:rPr>
          <w:b/>
          <w:bCs/>
          <w:color w:val="353A7C"/>
          <w:sz w:val="18"/>
          <w:szCs w:val="18"/>
        </w:rPr>
        <w:t xml:space="preserve">Suppose: small and large stock dividends and a stock split for Orontes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Additional paid-in capital   ·   Common stock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Effects on retained earnings and total equity</w:t>
            </w:r>
          </w:p>
        </w:tc>
      </w:tr>
    </w:tbl>
    <w:p/>
    <w:p>
      <w:pPr>
        <w:spacing w:before="44" w:after="10"/>
      </w:pPr>
      <w:r>
        <w:rPr>
          <w:b/>
          <w:bCs/>
          <w:color w:val="353A7C"/>
          <w:sz w:val="18"/>
          <w:szCs w:val="18"/>
        </w:rPr>
        <w:t xml:space="preserve">Effects on retained earnings and total equity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Declare and issue a small stock dividend   ·   Correct a prior-year error that overstated expenses   ·   Carry out a 2-for-1 stock split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 dividend traps</w:t>
            </w:r>
          </w:p>
        </w:tc>
      </w:tr>
    </w:tbl>
    <w:p/>
    <w:p>
      <w:pPr>
        <w:spacing w:before="44" w:after="14"/>
      </w:pPr>
      <w:r>
        <w:rPr>
          <w:b/>
          <w:bCs/>
          <w:color w:val="353A7C"/>
          <w:sz w:val="18"/>
          <w:szCs w:val="18"/>
        </w:rPr>
        <w:t xml:space="preserve">Summary 3</w:t>
      </w:r>
      <w:r>
        <w:rPr>
          <w:color w:val="6B7280"/>
          <w:sz w:val="16"/>
          <w:szCs w:val="16"/>
        </w:rPr>
        <w:t xml:space="preserve">      gaps 27–29</w:t>
      </w:r>
    </w:p>
    <w:p>
      <w:pPr>
        <w:spacing w:before="20" w:after="20" w:line="360" w:lineRule="auto"/>
        <w:ind w:left="200"/>
      </w:pPr>
      <w:r>
        <w:rPr>
          <w:sz w:val="19"/>
          <w:szCs w:val="19"/>
        </w:rPr>
        <w:t xml:space="preserve">Small stock dividend at fair value; large stock dividend at par. </w:t>
      </w:r>
      <w:r>
        <w:rPr>
          <w:sz w:val="19"/>
          <w:szCs w:val="19"/>
        </w:rPr>
        <w:t xml:space="preserve">Do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them. </w:t>
      </w:r>
      <w:r>
        <w:rPr>
          <w:sz w:val="19"/>
          <w:szCs w:val="19"/>
        </w:rPr>
        <w:t xml:space="preserve">Use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shares, not issued shares: treasury stock gets no dividend. </w:t>
      </w:r>
      <w:r>
        <w:rPr>
          <w:sz w:val="19"/>
          <w:szCs w:val="19"/>
        </w:rPr>
        <w:t xml:space="preserve">A stock dividend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is equity,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reverse   ·   distributable   ·   outstanding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prior-period adjustment   ·   stock split   ·   liquidating dividend   ·   declaration date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declaration date</w:t>
            </w:r>
          </w:p>
        </w:tc>
        <w:tc>
          <w:tcPr>
            <w:tcW w:type="pct" w:w="2600"/>
            <w:tcMar>
              <w:top w:type="dxa" w:w="50"/>
              <w:left w:type="dxa" w:w="110"/>
              <w:bottom w:type="dxa" w:w="50"/>
              <w:right w:type="dxa" w:w="110"/>
            </w:tcMar>
          </w:tcPr>
          <w:p>
            <w:pPr>
              <w:spacing w:before="26" w:after="26"/>
            </w:pPr>
            <w:r>
              <w:rPr>
                <w:color w:val="232733"/>
                <w:sz w:val="16"/>
                <w:szCs w:val="16"/>
              </w:rPr>
              <w:t xml:space="preserve">تاريخ الإعلان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date of record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تاريخ التسجيل (الاستحقاق)</w:t>
            </w:r>
          </w:p>
        </w:tc>
      </w:tr>
      <w:tr>
        <w:tc>
          <w:tcPr>
            <w:tcW w:type="pct" w:w="2400"/>
            <w:tcMar>
              <w:top w:type="dxa" w:w="50"/>
              <w:left w:type="dxa" w:w="110"/>
              <w:bottom w:type="dxa" w:w="50"/>
              <w:right w:type="dxa" w:w="110"/>
            </w:tcMar>
          </w:tcPr>
          <w:p>
            <w:pPr>
              <w:spacing w:before="26" w:after="26"/>
            </w:pPr>
            <w:r>
              <w:rPr>
                <w:color w:val="232733"/>
                <w:sz w:val="16"/>
                <w:szCs w:val="16"/>
              </w:rPr>
              <w:t xml:space="preserve">property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عينية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stock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أسهم (أسهم منحة)</w:t>
            </w:r>
          </w:p>
        </w:tc>
      </w:tr>
      <w:tr>
        <w:tc>
          <w:tcPr>
            <w:tcW w:type="pct" w:w="2400"/>
            <w:tcMar>
              <w:top w:type="dxa" w:w="50"/>
              <w:left w:type="dxa" w:w="110"/>
              <w:bottom w:type="dxa" w:w="50"/>
              <w:right w:type="dxa" w:w="110"/>
            </w:tcMar>
          </w:tcPr>
          <w:p>
            <w:pPr>
              <w:spacing w:before="26" w:after="26"/>
            </w:pPr>
            <w:r>
              <w:rPr>
                <w:color w:val="232733"/>
                <w:sz w:val="16"/>
                <w:szCs w:val="16"/>
              </w:rPr>
              <w:t xml:space="preserve">stock split</w:t>
            </w:r>
          </w:p>
        </w:tc>
        <w:tc>
          <w:tcPr>
            <w:tcW w:type="pct" w:w="2600"/>
            <w:tcMar>
              <w:top w:type="dxa" w:w="50"/>
              <w:left w:type="dxa" w:w="110"/>
              <w:bottom w:type="dxa" w:w="50"/>
              <w:right w:type="dxa" w:w="110"/>
            </w:tcMar>
          </w:tcPr>
          <w:p>
            <w:pPr>
              <w:spacing w:before="26" w:after="26"/>
            </w:pPr>
            <w:r>
              <w:rPr>
                <w:color w:val="232733"/>
                <w:sz w:val="16"/>
                <w:szCs w:val="16"/>
              </w:rPr>
              <w:t xml:space="preserve">تجزئة الأسهم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تصفية (إرجاع رأس مال)</w:t>
            </w:r>
          </w:p>
        </w:tc>
      </w:tr>
    </w:tbl>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Dividends, stock dividends and stock splits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declaration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payment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property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Declare and issue a small stock 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Carry out a 2-for-1 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Correct a prior-year error that overstated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 declared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Face value of the note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Fair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distributable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declaration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liquidating dividend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 A property dividend is paid with a noncash asset. The company first remeasures the asset to fair value and records any gain or loss, then debits retained earnings at fair value. A scrip dividend creates a note payable. A liquidating dividend returns contributed capital, so it reduces APIC rather than retained earnings.</w:t>
      </w:r>
    </w:p>
    <w:p>
      <w:pPr>
        <w:spacing w:before="20" w:after="20"/>
        <w:ind w:left="240" w:hanging="240"/>
      </w:pPr>
      <w:r>
        <w:rPr>
          <w:b/>
          <w:bCs/>
          <w:color w:val="353A7C"/>
          <w:sz w:val="15"/>
          <w:szCs w:val="15"/>
        </w:rPr>
        <w:t xml:space="preserve">Summary 2   </w:t>
      </w:r>
      <w:r>
        <w:rPr>
          <w:color w:val="6B7280"/>
          <w:sz w:val="15"/>
          <w:szCs w:val="15"/>
        </w:rPr>
        <w:t xml:space="preserve">A stock dividend gives shareholders more shares instead of cash. For a small stock dividend, below about 20% to 25% of the outstanding shares, the company moves the fair value of the new shares from retained earnings to common stock and APIC. For a large stock dividend, it moves only the par value. A stock split increases the number of shares and reduces the par value per share in proportion. Total equity never changes: only the labels inside equity move.</w:t>
      </w:r>
    </w:p>
    <w:p>
      <w:pPr>
        <w:spacing w:before="20" w:after="20"/>
        <w:ind w:left="240" w:hanging="240"/>
      </w:pPr>
      <w:r>
        <w:rPr>
          <w:b/>
          <w:bCs/>
          <w:color w:val="353A7C"/>
          <w:sz w:val="15"/>
          <w:szCs w:val="15"/>
        </w:rPr>
        <w:t xml:space="preserve">Summary 3   </w:t>
      </w:r>
      <w:r>
        <w:rPr>
          <w:color w:val="6B7280"/>
          <w:sz w:val="15"/>
          <w:szCs w:val="15"/>
        </w:rPr>
        <w:t xml:space="preserve">Small stock dividend at fair value; large stock dividend at par. Do not reverse them. Use outstanding shares, not issued shares: treasury stock gets no dividend. A stock dividend distributable is equity, not a liability.</w:t>
      </w:r>
    </w:p>
    <w:p>
      <w:pPr>
        <w:sectPr>
          <w:headerReference w:type="default" r:id="rIdHdr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Retained earnings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Retained earnings are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company has kept since it began, less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has declared. </w:t>
      </w:r>
      <w:r>
        <w:rPr>
          <w:sz w:val="19"/>
          <w:szCs w:val="19"/>
        </w:rPr>
        <w:t xml:space="preserve">A board may set part of retained earnings aside, for example for a new plant.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retained earnings stay within equity; no costs are ever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them. </w:t>
      </w:r>
      <w:r>
        <w:rPr>
          <w:sz w:val="19"/>
          <w:szCs w:val="19"/>
        </w:rPr>
        <w:t xml:space="preserve">If a company finds an error in earlier financial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does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through this year's net income. </w:t>
      </w:r>
      <w:r>
        <w:rPr>
          <w:sz w:val="19"/>
          <w:szCs w:val="19"/>
        </w:rPr>
        <w:t xml:space="preserve">It makes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adjustment: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earlier years and adjusts the opening balance of retained earnings, net of tax. </w:t>
      </w:r>
      <w:r>
        <w:rPr>
          <w:sz w:val="19"/>
          <w:szCs w:val="19"/>
        </w:rPr>
        <w:t xml:space="preserve">Retained earnings may also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by law or by loan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Restrictions are disclosed in the notes. </w:t>
      </w:r>
      <w:r>
        <w:rPr>
          <w:sz w:val="19"/>
          <w:szCs w:val="19"/>
        </w:rPr>
        <w:t xml:space="preserve">They do not change the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profits   ·   covenants   ·   statements   ·   dividends   ·   correct   ·   restricted   ·   restates   ·   charged   ·   separate   ·   appropriated   ·   prior-period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Reserves</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In IFRS and in MENA company law, reserves can mean a legal reserve,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surplus, a translation reserve or share premium. </w:t>
      </w:r>
      <w:r>
        <w:rPr>
          <w:sz w:val="19"/>
          <w:szCs w:val="19"/>
        </w:rPr>
        <w:t xml:space="preserve">None of these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On a U.S. exam, separate APIC, retained earnings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not) and AOCI.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declared   ·   simply   ·   appropriated   ·   revaluation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00"/>
            <w:tcMar>
              <w:top w:type="dxa" w:w="50"/>
              <w:left w:type="dxa" w:w="110"/>
              <w:bottom w:type="dxa" w:w="50"/>
              <w:right w:type="dxa" w:w="110"/>
            </w:tcMar>
          </w:tcPr>
          <w:p>
            <w:pPr>
              <w:spacing w:before="26" w:after="26"/>
            </w:pPr>
            <w:r>
              <w:rPr>
                <w:color w:val="232733"/>
                <w:sz w:val="16"/>
                <w:szCs w:val="16"/>
              </w:rPr>
              <w:t xml:space="preserve">أرباح مبقاة مخصصة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تسوية سنوات سابقة</w:t>
            </w:r>
          </w:p>
        </w:tc>
      </w:tr>
    </w:tbl>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Retained earnings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appropriated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covenants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appropriated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prior-period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 If a company finds an error in earlier financial statements, it does not correct it through this year's net income. It makes a prior-period adjustment: it restates the earlier years and adjusts the opening balance of retained earnings, net of tax. Retained earnings may also be restricted by law or by loan covenants. Restrictions are disclosed in the notes. They do not change the balance.</w:t>
      </w:r>
    </w:p>
    <w:p>
      <w:pPr>
        <w:spacing w:before="20" w:after="20"/>
        <w:ind w:left="240" w:hanging="240"/>
      </w:pPr>
      <w:r>
        <w:rPr>
          <w:b/>
          <w:bCs/>
          <w:color w:val="353A7C"/>
          <w:sz w:val="15"/>
          <w:szCs w:val="15"/>
        </w:rPr>
        <w:t xml:space="preserve">Summary 2   </w:t>
      </w:r>
      <w:r>
        <w:rPr>
          <w:color w:val="6B7280"/>
          <w:sz w:val="15"/>
          <w:szCs w:val="15"/>
        </w:rPr>
        <w:t xml:space="preserve">In IFRS and in MENA company law, reserves can mean a legal reserve, a revaluation surplus, a translation reserve or share premium. None of these is simply retained earnings. On a U.S. exam, separate APIC, retained earnings (appropriated or not) and AOCI.</w:t>
      </w:r>
    </w:p>
    <w:p>
      <w:pPr>
        <w:sectPr>
          <w:headerReference w:type="default" r:id="rIdHdr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Limitations and links to the other statements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Total equity is a book value: assets minus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measured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rules. </w:t>
      </w:r>
      <w:r>
        <w:rPr>
          <w:sz w:val="19"/>
          <w:szCs w:val="19"/>
        </w:rPr>
        <w:t xml:space="preserve">It is not what the company is worth. </w:t>
      </w:r>
      <w:r>
        <w:rPr>
          <w:sz w:val="19"/>
          <w:szCs w:val="19"/>
        </w:rPr>
        <w:t xml:space="preserve">Most assets are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and internally built brands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not recorded.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stock is shown at the price paid, not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share price. </w:t>
      </w:r>
      <w:r>
        <w:rPr>
          <w:sz w:val="19"/>
          <w:szCs w:val="19"/>
        </w:rPr>
        <w:t xml:space="preserve">Legal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rules also differ from state to state, so equity does not show exactly how much a company may legally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statement of changes in equity takes net income and OCI from the statement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and dividends and share issues from the company's owner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Its closing balances are the equity section of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   know-how   ·   recorded   ·   today's   ·   liabilities   ·   distribute   ·   accounting   ·   capital   ·   historical   ·   comprehensive   ·   transactions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Balance / event (USD 000 unless stated)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Balance / event (USD 000 unless stated)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Common stock, $1 par (600,000 shares issued and outstanding)</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600"/>
            <w:shd w:fill="FBFAF6" w:val="clear"/>
            <w:tcMar>
              <w:top w:type="dxa" w:w="50"/>
              <w:left w:type="dxa" w:w="110"/>
              <w:bottom w:type="dxa" w:w="50"/>
              <w:right w:type="dxa" w:w="110"/>
            </w:tcMar>
          </w:tcPr>
          <w:p>
            <w:pPr>
              <w:spacing w:before="28" w:after="28"/>
            </w:pPr>
            <w:r>
              <w:rPr>
                <w:sz w:val="15"/>
                <w:szCs w:val="15"/>
              </w:rPr>
              <w:t xml:space="preserve">1,900</w:t>
            </w:r>
          </w:p>
        </w:tc>
      </w:tr>
      <w:tr>
        <w:tc>
          <w:tcPr>
            <w:tcW w:type="pct" w:w="2400"/>
            <w:tcMar>
              <w:top w:type="dxa" w:w="50"/>
              <w:left w:type="dxa" w:w="110"/>
              <w:bottom w:type="dxa" w:w="50"/>
              <w:right w:type="dxa" w:w="110"/>
            </w:tcMar>
          </w:tcPr>
          <w:p>
            <w:pPr>
              <w:spacing w:before="28" w:after="28"/>
            </w:pPr>
            <w:r>
              <w:rPr>
                <w:sz w:val="15"/>
                <w:szCs w:val="15"/>
              </w:rPr>
              <w:t xml:space="preserve">Retained earnings</w:t>
            </w:r>
          </w:p>
        </w:tc>
        <w:tc>
          <w:tcPr>
            <w:tcW w:type="pct" w:w="2600"/>
            <w:tcMar>
              <w:top w:type="dxa" w:w="50"/>
              <w:left w:type="dxa" w:w="110"/>
              <w:bottom w:type="dxa" w:w="50"/>
              <w:right w:type="dxa" w:w="110"/>
            </w:tcMar>
          </w:tcPr>
          <w:p>
            <w:pPr>
              <w:spacing w:before="28" w:after="28"/>
            </w:pPr>
            <w:r>
              <w:rPr>
                <w:sz w:val="15"/>
                <w:szCs w:val="15"/>
              </w:rPr>
              <w:t xml:space="preserve">1,280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stockholders' equity, January 1, 2026</w:t>
            </w:r>
          </w:p>
        </w:tc>
        <w:tc>
          <w:tcPr>
            <w:tcW w:type="pct" w:w="2600"/>
            <w:shd w:fill="FBFAF6" w:val="clear"/>
            <w:tcMar>
              <w:top w:type="dxa" w:w="50"/>
              <w:left w:type="dxa" w:w="110"/>
              <w:bottom w:type="dxa" w:w="50"/>
              <w:right w:type="dxa" w:w="110"/>
            </w:tcMar>
          </w:tcPr>
          <w:p>
            <w:pPr>
              <w:spacing w:before="28" w:after="28"/>
            </w:pPr>
            <w:r>
              <w:rPr>
                <w:sz w:val="15"/>
                <w:szCs w:val="15"/>
              </w:rPr>
              <w:t xml:space="preserve">3,780</w:t>
            </w:r>
          </w:p>
        </w:tc>
      </w:tr>
      <w:tr>
        <w:tc>
          <w:tcPr>
            <w:tcW w:type="pct" w:w="2400"/>
            <w:tcMar>
              <w:top w:type="dxa" w:w="50"/>
              <w:left w:type="dxa" w:w="110"/>
              <w:bottom w:type="dxa" w:w="50"/>
              <w:right w:type="dxa" w:w="110"/>
            </w:tcMar>
          </w:tcPr>
          <w:p>
            <w:pPr>
              <w:spacing w:before="28" w:after="28"/>
            </w:pPr>
            <w:r>
              <w:rPr>
                <w:sz w:val="15"/>
                <w:szCs w:val="15"/>
              </w:rPr>
              <w:t xml:space="preserve">E1</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Barada bought 80,000 of its own shares at $6 per share (cost method).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E2</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Barada reissued 20,000 treasury shares at $8 per share.</w:t>
            </w:r>
          </w:p>
        </w:tc>
      </w:tr>
      <w:tr>
        <w:tc>
          <w:tcPr>
            <w:tcW w:type="pct" w:w="2400"/>
            <w:tcMar>
              <w:top w:type="dxa" w:w="50"/>
              <w:left w:type="dxa" w:w="110"/>
              <w:bottom w:type="dxa" w:w="50"/>
              <w:right w:type="dxa" w:w="110"/>
            </w:tcMar>
          </w:tcPr>
          <w:p>
            <w:pPr>
              <w:spacing w:before="28" w:after="28"/>
            </w:pPr>
            <w:r>
              <w:rPr>
                <w:sz w:val="15"/>
                <w:szCs w:val="15"/>
              </w:rPr>
              <w:t xml:space="preserve">E3</w:t>
            </w:r>
          </w:p>
        </w:tc>
        <w:tc>
          <w:tcPr>
            <w:tcW w:type="pct" w:w="2600"/>
            <w:tcMar>
              <w:top w:type="dxa" w:w="50"/>
              <w:left w:type="dxa" w:w="110"/>
              <w:bottom w:type="dxa" w:w="50"/>
              <w:right w:type="dxa" w:w="110"/>
            </w:tcMar>
          </w:tcPr>
          <w:p>
            <w:pPr>
              <w:spacing w:before="28" w:after="28"/>
            </w:pPr>
            <w:r>
              <w:rPr>
                <w:sz w:val="15"/>
                <w:szCs w:val="15"/>
              </w:rPr>
              <w:t xml:space="preserve">August 20: Barada reissued 10,000 treasury shares at $4 per share.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E4</w:t>
            </w:r>
          </w:p>
        </w:tc>
        <w:tc>
          <w:tcPr>
            <w:tcW w:type="pct" w:w="2600"/>
            <w:shd w:fill="FBFAF6" w:val="clear"/>
            <w:tcMar>
              <w:top w:type="dxa" w:w="50"/>
              <w:left w:type="dxa" w:w="110"/>
              <w:bottom w:type="dxa" w:w="50"/>
              <w:right w:type="dxa" w:w="110"/>
            </w:tcMar>
          </w:tcPr>
          <w:p>
            <w:pPr>
              <w:spacing w:before="28" w:after="28"/>
            </w:pPr>
            <w:r>
              <w:rPr>
                <w:sz w:val="15"/>
                <w:szCs w:val="15"/>
              </w:rPr>
              <w:t xml:space="preserve">October 1: Barada declared and issued a 10% stock dividend. The market price was $7 per share.</w:t>
            </w:r>
          </w:p>
        </w:tc>
      </w:tr>
      <w:tr>
        <w:tc>
          <w:tcPr>
            <w:tcW w:type="pct" w:w="2400"/>
            <w:tcMar>
              <w:top w:type="dxa" w:w="50"/>
              <w:left w:type="dxa" w:w="110"/>
              <w:bottom w:type="dxa" w:w="50"/>
              <w:right w:type="dxa" w:w="110"/>
            </w:tcMar>
          </w:tcPr>
          <w:p>
            <w:pPr>
              <w:spacing w:before="28" w:after="28"/>
            </w:pPr>
            <w:r>
              <w:rPr>
                <w:sz w:val="15"/>
                <w:szCs w:val="15"/>
              </w:rPr>
              <w:t xml:space="preserve">E5</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Barada declared a cash dividend of $0.20 per outstanding share, payable in January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E6</w:t>
            </w:r>
          </w:p>
        </w:tc>
        <w:tc>
          <w:tcPr>
            <w:tcW w:type="pct" w:w="2600"/>
            <w:shd w:fill="FBFAF6" w:val="clear"/>
            <w:tcMar>
              <w:top w:type="dxa" w:w="50"/>
              <w:left w:type="dxa" w:w="110"/>
              <w:bottom w:type="dxa" w:w="50"/>
              <w:right w:type="dxa" w:w="110"/>
            </w:tcMar>
          </w:tcPr>
          <w:p>
            <w:pPr>
              <w:spacing w:before="28" w:after="28"/>
            </w:pPr>
            <w:r>
              <w:rPr>
                <w:sz w:val="15"/>
                <w:szCs w:val="15"/>
              </w:rPr>
              <w:t xml:space="preserve">Net income for 2026 was 165 (the Chapter 3 case).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June 10   ·   March 5   ·   prior-period adjustment   ·   December 15</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2-for-1 stock split</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earnings: no change. Total equity: no change (no entry is made).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 treasury stock</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no change. Total equity: decreases by the cost.</w:t>
            </w:r>
          </w:p>
        </w:tc>
      </w:tr>
      <w:tr>
        <w:tc>
          <w:tcPr>
            <w:tcW w:type="pct" w:w="2400"/>
            <w:tcMar>
              <w:top w:type="dxa" w:w="50"/>
              <w:left w:type="dxa" w:w="110"/>
              <w:bottom w:type="dxa" w:w="50"/>
              <w:right w:type="dxa" w:w="110"/>
            </w:tcMar>
          </w:tcPr>
          <w:p>
            <w:pPr>
              <w:spacing w:before="28" w:after="28"/>
            </w:pPr>
            <w:r>
              <w:rPr>
                <w:sz w:val="15"/>
                <w:szCs w:val="15"/>
              </w:rPr>
              <w:t xml:space="preserve">Reissue treasury stock above cost</w:t>
            </w:r>
          </w:p>
        </w:tc>
        <w:tc>
          <w:tcPr>
            <w:tcW w:type="pct" w:w="2600"/>
            <w:tcMar>
              <w:top w:type="dxa" w:w="50"/>
              <w:left w:type="dxa" w:w="110"/>
              <w:bottom w:type="dxa" w:w="50"/>
              <w:right w:type="dxa" w:w="110"/>
            </w:tcMar>
          </w:tcPr>
          <w:p>
            <w:pPr>
              <w:spacing w:before="28" w:after="28"/>
            </w:pPr>
            <w:r>
              <w:rPr>
                <w:sz w:val="15"/>
                <w:szCs w:val="15"/>
              </w:rPr>
              <w:t xml:space="preserve">Retained earnings: no change (the excess goes to APIC–treasury stock). Total equity: increases by the cash received.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Correct an error that overstated expenses</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opening balance increases, net of tax. Total equity: increases.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decreases   ·   Retained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APIC–treasury stock</w:t>
            </w:r>
          </w:p>
        </w:tc>
        <w:tc>
          <w:tcPr>
            <w:tcW w:type="pct" w:w="2400"/>
            <w:tcMar>
              <w:top w:type="dxa" w:w="50"/>
              <w:left w:type="dxa" w:w="110"/>
              <w:bottom w:type="dxa" w:w="50"/>
              <w:right w:type="dxa" w:w="110"/>
            </w:tcMar>
          </w:tcPr>
          <w:p>
            <w:pPr>
              <w:spacing w:before="28" w:after="28"/>
            </w:pPr>
            <w:r>
              <w:rPr>
                <w:sz w:val="15"/>
                <w:szCs w:val="15"/>
              </w:rPr>
              <w:t xml:space="preserve">Contributed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400"/>
            <w:shd w:fill="FBFAF6" w:val="clear"/>
            <w:tcMar>
              <w:top w:type="dxa" w:w="50"/>
              <w:left w:type="dxa" w:w="110"/>
              <w:bottom w:type="dxa" w:w="50"/>
              <w:right w:type="dxa" w:w="110"/>
            </w:tcMar>
          </w:tcPr>
          <w:p>
            <w:pPr>
              <w:spacing w:before="28" w:after="28"/>
            </w:pPr>
            <w:r>
              <w:rPr>
                <w:sz w:val="15"/>
                <w:szCs w:val="15"/>
              </w:rPr>
              <w:t xml:space="preserve">Earned capital</w:t>
            </w:r>
          </w:p>
        </w:tc>
      </w:tr>
      <w:tr>
        <w:tc>
          <w:tcPr>
            <w:tcW w:type="pct" w:w="2600"/>
            <w:tcMar>
              <w:top w:type="dxa" w:w="50"/>
              <w:left w:type="dxa" w:w="110"/>
              <w:bottom w:type="dxa" w:w="50"/>
              <w:right w:type="dxa" w:w="110"/>
            </w:tcMar>
          </w:tcPr>
          <w:p>
            <w:pPr>
              <w:spacing w:before="28" w:after="28"/>
            </w:pPr>
            <w:r>
              <w:rPr>
                <w:sz w:val="15"/>
                <w:szCs w:val="15"/>
              </w:rPr>
              <w:t xml:space="preserve">Treasury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tcMar>
              <w:top w:type="dxa" w:w="50"/>
              <w:left w:type="dxa" w:w="110"/>
              <w:bottom w:type="dxa" w:w="50"/>
              <w:right w:type="dxa" w:w="110"/>
            </w:tcMar>
          </w:tcPr>
          <w:p>
            <w:pPr>
              <w:spacing w:before="28" w:after="28"/>
            </w:pPr>
            <w:r>
              <w:rPr>
                <w:sz w:val="15"/>
                <w:szCs w:val="15"/>
              </w:rPr>
              <w:t xml:space="preserve">Common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Contributed capital   ·   Current liability   ·   Deduction from equity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   property dividend   ·   statement of changes in equity</w:t>
            </w:r>
          </w:p>
        </w:tc>
      </w:tr>
    </w:tbl>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March 5</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June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December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know-how</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Deduction from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today's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distribute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statement of changes in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treasury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transactions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Total equity is a book value: assets minus liabilities, as measured by the accounting rules. It is not what the company is worth. Most assets are at historical cost, and internally built brands and know-how are not recorded. Treasury stock is shown at the price paid, not at today's share price. Legal capital rules also differ from state to state, so equity does not show exactly how much a company may legally distribute. The statement of changes in equity takes net income and OCI from the statement of comprehensive income, and dividends and share issues from the company's owner transactions. Its closing balances are the equity section of the balance sheet.</w:t>
      </w:r>
    </w:p>
    <w:p>
      <w:pPr>
        <w:sectPr>
          <w:headerReference w:type="default" r:id="rIdHdr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Purpose and structure of the statement of cash flows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cash flows   ·   Classifying cash flows   ·   Limitations and links between the four stateme</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The statement of cash flows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receipts and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a period. </w:t>
      </w:r>
      <w:r>
        <w:rPr>
          <w:sz w:val="19"/>
          <w:szCs w:val="19"/>
        </w:rPr>
        <w:t xml:space="preserve">Users need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is not cash. </w:t>
      </w:r>
      <w:r>
        <w:rPr>
          <w:sz w:val="19"/>
          <w:szCs w:val="19"/>
        </w:rPr>
        <w:t xml:space="preserve">It helps them judge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company can produce cash, pay its debts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fund its growth without new financing. </w:t>
      </w:r>
      <w:r>
        <w:rPr>
          <w:sz w:val="19"/>
          <w:szCs w:val="19"/>
        </w:rPr>
        <w:t xml:space="preserve">The statement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change in cash, cash equivalents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cash together. </w:t>
      </w:r>
      <w:r>
        <w:rPr>
          <w:sz w:val="19"/>
          <w:szCs w:val="19"/>
        </w:rPr>
        <w:t xml:space="preserve">Cash equivalents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highly liquid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an original maturity to the holder of three months or less.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money between these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not a cash flow. </w:t>
      </w:r>
      <w:r>
        <w:rPr>
          <w:sz w:val="19"/>
          <w:szCs w:val="19"/>
        </w:rPr>
        <w:t xml:space="preserve">Cash flows are grouped into operating activities, investing activities and financing activities. </w:t>
      </w:r>
      <w:r>
        <w:rPr>
          <w:sz w:val="19"/>
          <w:szCs w:val="19"/>
        </w:rPr>
        <w:t xml:space="preserve">Operating activities provided $7,531,100, investing used $4,179,000, and financing provided $1,850,000. </w:t>
      </w:r>
      <w:r>
        <w:rPr>
          <w:sz w:val="19"/>
          <w:szCs w:val="19"/>
        </w:rPr>
        <w:t xml:space="preserve">Cash rose by $5,202,100, to the $7,302,100 shown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restricted   ·   payments   ·   equivalents   ·   Moving   ·   company's   ·   short-term   ·   because   ·   investments   ·   explains   ·   categories   ·   whether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cash flows (indirect method),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Cash flows from operating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BFAF6" w:val="clear"/>
            <w:tcMar>
              <w:top w:type="dxa" w:w="50"/>
              <w:left w:type="dxa" w:w="110"/>
              <w:bottom w:type="dxa" w:w="50"/>
              <w:right w:type="dxa" w:w="110"/>
            </w:tcMar>
          </w:tcPr>
          <w:p>
            <w:pPr>
              <w:spacing w:before="28" w:after="28"/>
            </w:pPr>
            <w:r>
              <w:rPr>
                <w:sz w:val="15"/>
                <w:szCs w:val="15"/>
              </w:rPr>
              <w:t xml:space="preserve">2,969,100</w:t>
            </w:r>
          </w:p>
        </w:tc>
      </w:tr>
      <w:tr>
        <w:tc>
          <w:tcPr>
            <w:tcW w:type="pct" w:w="2600"/>
            <w:tcMar>
              <w:top w:type="dxa" w:w="50"/>
              <w:left w:type="dxa" w:w="110"/>
              <w:bottom w:type="dxa" w:w="50"/>
              <w:right w:type="dxa" w:w="110"/>
            </w:tcMar>
          </w:tcPr>
          <w:p>
            <w:pPr>
              <w:spacing w:before="28" w:after="28"/>
            </w:pPr>
            <w:r>
              <w:rPr>
                <w:sz w:val="15"/>
                <w:szCs w:val="15"/>
              </w:rPr>
              <w:t xml:space="preserve">Adjustments to reconcile net income to net cash from operating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2,100,000</w:t>
            </w:r>
          </w:p>
        </w:tc>
      </w:tr>
      <w:tr>
        <w:tc>
          <w:tcPr>
            <w:tcW w:type="pct" w:w="2600"/>
            <w:tcMar>
              <w:top w:type="dxa" w:w="50"/>
              <w:left w:type="dxa" w:w="110"/>
              <w:bottom w:type="dxa" w:w="50"/>
              <w:right w:type="dxa" w:w="110"/>
            </w:tcMar>
          </w:tcPr>
          <w:p>
            <w:pPr>
              <w:spacing w:before="28" w:after="28"/>
            </w:pPr>
            <w:r>
              <w:rPr>
                <w:sz w:val="15"/>
                <w:szCs w:val="15"/>
              </w:rPr>
              <w:t xml:space="preserve">Impairment losses</w:t>
            </w:r>
          </w:p>
        </w:tc>
        <w:tc>
          <w:tcPr>
            <w:tcW w:type="pct" w:w="2400"/>
            <w:tcMar>
              <w:top w:type="dxa" w:w="50"/>
              <w:left w:type="dxa" w:w="110"/>
              <w:bottom w:type="dxa" w:w="50"/>
              <w:right w:type="dxa" w:w="110"/>
            </w:tcMar>
          </w:tcPr>
          <w:p>
            <w:pPr>
              <w:spacing w:before="28" w:after="28"/>
            </w:pPr>
            <w:r>
              <w:rPr>
                <w:sz w:val="15"/>
                <w:szCs w:val="15"/>
              </w:rPr>
              <w:t xml:space="preserve">2,724,000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400"/>
            <w:shd w:fill="FBFAF6" w:val="clear"/>
            <w:tcMar>
              <w:top w:type="dxa" w:w="50"/>
              <w:left w:type="dxa" w:w="110"/>
              <w:bottom w:type="dxa" w:w="50"/>
              <w:right w:type="dxa" w:w="110"/>
            </w:tcMar>
          </w:tcPr>
          <w:p>
            <w:pPr>
              <w:spacing w:before="28" w:after="28"/>
            </w:pPr>
            <w:r>
              <w:rPr>
                <w:sz w:val="15"/>
                <w:szCs w:val="15"/>
              </w:rPr>
              <w:t xml:space="preserve">(177,000)</w:t>
            </w:r>
          </w:p>
        </w:tc>
      </w:tr>
      <w:tr>
        <w:tc>
          <w:tcPr>
            <w:tcW w:type="pct" w:w="2600"/>
            <w:tcMar>
              <w:top w:type="dxa" w:w="50"/>
              <w:left w:type="dxa" w:w="110"/>
              <w:bottom w:type="dxa" w:w="50"/>
              <w:right w:type="dxa" w:w="110"/>
            </w:tcMar>
          </w:tcPr>
          <w:p>
            <w:pPr>
              <w:spacing w:before="28" w:after="28"/>
            </w:pPr>
            <w:r>
              <w:rPr>
                <w:sz w:val="15"/>
                <w:szCs w:val="15"/>
              </w:rPr>
              <w:t xml:space="preserve">Dividends from equity-method investees</w:t>
            </w:r>
          </w:p>
        </w:tc>
        <w:tc>
          <w:tcPr>
            <w:tcW w:type="pct" w:w="2400"/>
            <w:tcMar>
              <w:top w:type="dxa" w:w="50"/>
              <w:left w:type="dxa" w:w="110"/>
              <w:bottom w:type="dxa" w:w="50"/>
              <w:right w:type="dxa" w:w="110"/>
            </w:tcMar>
          </w:tcPr>
          <w:p>
            <w:pPr>
              <w:spacing w:before="28" w:after="28"/>
            </w:pPr>
            <w:r>
              <w:rPr>
                <w:sz w:val="15"/>
                <w:szCs w:val="15"/>
              </w:rPr>
              <w:t xml:space="preserve">70,000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income taxes</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(384,000)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Increase in prepaid expenses</w:t>
            </w:r>
          </w:p>
        </w:tc>
        <w:tc>
          <w:tcPr>
            <w:tcW w:type="pct" w:w="2400"/>
            <w:tcMar>
              <w:top w:type="dxa" w:w="50"/>
              <w:left w:type="dxa" w:w="110"/>
              <w:bottom w:type="dxa" w:w="50"/>
              <w:right w:type="dxa" w:w="110"/>
            </w:tcMar>
          </w:tcPr>
          <w:p>
            <w:pPr>
              <w:spacing w:before="28" w:after="28"/>
            </w:pPr>
            <w:r>
              <w:rPr>
                <w:sz w:val="15"/>
                <w:szCs w:val="15"/>
              </w:rPr>
              <w:t xml:space="preserve">(24,000)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Increase in income taxes payable</w:t>
            </w:r>
          </w:p>
        </w:tc>
        <w:tc>
          <w:tcPr>
            <w:tcW w:type="pct" w:w="24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00"/>
            <w:tcMar>
              <w:top w:type="dxa" w:w="50"/>
              <w:left w:type="dxa" w:w="110"/>
              <w:bottom w:type="dxa" w:w="50"/>
              <w:right w:type="dxa" w:w="110"/>
            </w:tcMar>
          </w:tcPr>
          <w:p>
            <w:pPr>
              <w:spacing w:before="28" w:after="28"/>
            </w:pPr>
            <w:r>
              <w:rPr>
                <w:sz w:val="15"/>
                <w:szCs w:val="15"/>
              </w:rPr>
              <w:t xml:space="preserve">Increase in contract liabilities</w:t>
            </w:r>
          </w:p>
        </w:tc>
        <w:tc>
          <w:tcPr>
            <w:tcW w:type="pct" w:w="2400"/>
            <w:tcMar>
              <w:top w:type="dxa" w:w="50"/>
              <w:left w:type="dxa" w:w="110"/>
              <w:bottom w:type="dxa" w:w="50"/>
              <w:right w:type="dxa" w:w="110"/>
            </w:tcMar>
          </w:tcPr>
          <w:p>
            <w:pPr>
              <w:spacing w:before="28" w:after="28"/>
            </w:pPr>
            <w:r>
              <w:rPr>
                <w:sz w:val="15"/>
                <w:szCs w:val="15"/>
              </w:rPr>
              <w:t xml:space="preserve">60,000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7,531,100</w:t>
            </w:r>
          </w:p>
        </w:tc>
      </w:tr>
      <w:tr>
        <w:tc>
          <w:tcPr>
            <w:tcW w:type="pct" w:w="2600"/>
            <w:tcMar>
              <w:top w:type="dxa" w:w="50"/>
              <w:left w:type="dxa" w:w="110"/>
              <w:bottom w:type="dxa" w:w="50"/>
              <w:right w:type="dxa" w:w="110"/>
            </w:tcMar>
          </w:tcPr>
          <w:p>
            <w:pPr>
              <w:spacing w:before="28" w:after="28"/>
            </w:pPr>
            <w:r>
              <w:rPr>
                <w:sz w:val="15"/>
                <w:szCs w:val="15"/>
              </w:rPr>
              <w:t xml:space="preserve">Cash flows from investing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Purchases of property, plant and equipment</w:t>
            </w:r>
          </w:p>
        </w:tc>
        <w:tc>
          <w:tcPr>
            <w:tcW w:type="pct" w:w="240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600"/>
            <w:tcMar>
              <w:top w:type="dxa" w:w="50"/>
              <w:left w:type="dxa" w:w="110"/>
              <w:bottom w:type="dxa" w:w="50"/>
              <w:right w:type="dxa" w:w="110"/>
            </w:tcMar>
          </w:tcPr>
          <w:p>
            <w:pPr>
              <w:spacing w:before="28" w:after="28"/>
            </w:pPr>
            <w:r>
              <w:rPr>
                <w:sz w:val="15"/>
                <w:szCs w:val="15"/>
              </w:rPr>
              <w:t xml:space="preserve">Proceeds from sale of equipment</w:t>
            </w:r>
          </w:p>
        </w:tc>
        <w:tc>
          <w:tcPr>
            <w:tcW w:type="pct" w:w="2400"/>
            <w:tcMar>
              <w:top w:type="dxa" w:w="50"/>
              <w:left w:type="dxa" w:w="110"/>
              <w:bottom w:type="dxa" w:w="50"/>
              <w:right w:type="dxa" w:w="110"/>
            </w:tcMar>
          </w:tcPr>
          <w:p>
            <w:pPr>
              <w:spacing w:before="28" w:after="28"/>
            </w:pPr>
            <w:r>
              <w:rPr>
                <w:sz w:val="15"/>
                <w:szCs w:val="15"/>
              </w:rPr>
              <w:t xml:space="preserve">21,000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Investment in Jordan Glass Co.</w:t>
            </w:r>
          </w:p>
        </w:tc>
        <w:tc>
          <w:tcPr>
            <w:tcW w:type="pct" w:w="2400"/>
            <w:shd w:fill="FBFAF6" w:val="clear"/>
            <w:tcMar>
              <w:top w:type="dxa" w:w="50"/>
              <w:left w:type="dxa" w:w="110"/>
              <w:bottom w:type="dxa" w:w="50"/>
              <w:right w:type="dxa" w:w="110"/>
            </w:tcMar>
          </w:tcPr>
          <w:p>
            <w:pPr>
              <w:spacing w:before="28" w:after="28"/>
            </w:pPr>
            <w:r>
              <w:rPr>
                <w:sz w:val="15"/>
                <w:szCs w:val="15"/>
              </w:rPr>
              <w:t xml:space="preserve">(1,200,000)</w:t>
            </w:r>
          </w:p>
        </w:tc>
      </w:tr>
      <w:tr>
        <w:tc>
          <w:tcPr>
            <w:tcW w:type="pct" w:w="2600"/>
            <w:tcMar>
              <w:top w:type="dxa" w:w="50"/>
              <w:left w:type="dxa" w:w="110"/>
              <w:bottom w:type="dxa" w:w="50"/>
              <w:right w:type="dxa" w:w="110"/>
            </w:tcMar>
          </w:tcPr>
          <w:p>
            <w:pPr>
              <w:spacing w:before="28" w:after="28"/>
            </w:pPr>
            <w:r>
              <w:rPr>
                <w:sz w:val="15"/>
                <w:szCs w:val="15"/>
              </w:rPr>
              <w:t xml:space="preserve">Net cash used in investing activities</w:t>
            </w:r>
          </w:p>
        </w:tc>
        <w:tc>
          <w:tcPr>
            <w:tcW w:type="pct" w:w="2400"/>
            <w:tcMar>
              <w:top w:type="dxa" w:w="50"/>
              <w:left w:type="dxa" w:w="110"/>
              <w:bottom w:type="dxa" w:w="50"/>
              <w:right w:type="dxa" w:w="110"/>
            </w:tcMar>
          </w:tcPr>
          <w:p>
            <w:pPr>
              <w:spacing w:before="28" w:after="28"/>
            </w:pPr>
            <w:r>
              <w:rPr>
                <w:sz w:val="15"/>
                <w:szCs w:val="15"/>
              </w:rPr>
              <w:t xml:space="preserve">(4,179,000)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flows from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1,500,000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Proceeds from bank note</w:t>
            </w:r>
          </w:p>
        </w:tc>
        <w:tc>
          <w:tcPr>
            <w:tcW w:type="pct" w:w="240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00"/>
            <w:tcMar>
              <w:top w:type="dxa" w:w="50"/>
              <w:left w:type="dxa" w:w="110"/>
              <w:bottom w:type="dxa" w:w="50"/>
              <w:right w:type="dxa" w:w="110"/>
            </w:tcMar>
          </w:tcPr>
          <w:p>
            <w:pPr>
              <w:spacing w:before="28" w:after="28"/>
            </w:pPr>
            <w:r>
              <w:rPr>
                <w:sz w:val="15"/>
                <w:szCs w:val="15"/>
              </w:rPr>
              <w:t xml:space="preserve">Repayment of long-term debt</w:t>
            </w:r>
          </w:p>
        </w:tc>
        <w:tc>
          <w:tcPr>
            <w:tcW w:type="pct" w:w="2400"/>
            <w:tcMar>
              <w:top w:type="dxa" w:w="50"/>
              <w:left w:type="dxa" w:w="110"/>
              <w:bottom w:type="dxa" w:w="50"/>
              <w:right w:type="dxa" w:w="110"/>
            </w:tcMar>
          </w:tcPr>
          <w:p>
            <w:pPr>
              <w:spacing w:before="28" w:after="28"/>
            </w:pPr>
            <w:r>
              <w:rPr>
                <w:sz w:val="15"/>
                <w:szCs w:val="15"/>
              </w:rPr>
              <w:t xml:space="preserve">(400,000)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paid</w:t>
            </w:r>
          </w:p>
        </w:tc>
        <w:tc>
          <w:tcPr>
            <w:tcW w:type="pct" w:w="24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00"/>
            <w:tcMar>
              <w:top w:type="dxa" w:w="50"/>
              <w:left w:type="dxa" w:w="110"/>
              <w:bottom w:type="dxa" w:w="50"/>
              <w:right w:type="dxa" w:w="110"/>
            </w:tcMar>
          </w:tcPr>
          <w:p>
            <w:pPr>
              <w:spacing w:before="28" w:after="28"/>
            </w:pPr>
            <w:r>
              <w:rPr>
                <w:sz w:val="15"/>
                <w:szCs w:val="15"/>
              </w:rPr>
              <w:t xml:space="preserve">Net cash provided by financing activities</w:t>
            </w:r>
          </w:p>
        </w:tc>
        <w:tc>
          <w:tcPr>
            <w:tcW w:type="pct" w:w="2400"/>
            <w:tcMar>
              <w:top w:type="dxa" w:w="50"/>
              <w:left w:type="dxa" w:w="110"/>
              <w:bottom w:type="dxa" w:w="50"/>
              <w:right w:type="dxa" w:w="110"/>
            </w:tcMar>
          </w:tcPr>
          <w:p>
            <w:pPr>
              <w:spacing w:before="28" w:after="28"/>
            </w:pPr>
            <w:r>
              <w:rPr>
                <w:sz w:val="15"/>
                <w:szCs w:val="15"/>
              </w:rPr>
              <w:t xml:space="preserve">1,850,000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increase in cash</w:t>
            </w:r>
          </w:p>
        </w:tc>
        <w:tc>
          <w:tcPr>
            <w:tcW w:type="pct" w:w="2400"/>
            <w:shd w:fill="FBFAF6" w:val="clear"/>
            <w:tcMar>
              <w:top w:type="dxa" w:w="50"/>
              <w:left w:type="dxa" w:w="110"/>
              <w:bottom w:type="dxa" w:w="50"/>
              <w:right w:type="dxa" w:w="110"/>
            </w:tcMar>
          </w:tcPr>
          <w:p>
            <w:pPr>
              <w:spacing w:before="28" w:after="28"/>
            </w:pPr>
            <w:r>
              <w:rPr>
                <w:sz w:val="15"/>
                <w:szCs w:val="15"/>
              </w:rPr>
              <w:t xml:space="preserve">5,202,100</w:t>
            </w:r>
          </w:p>
        </w:tc>
      </w:tr>
      <w:tr>
        <w:tc>
          <w:tcPr>
            <w:tcW w:type="pct" w:w="2600"/>
            <w:tcMar>
              <w:top w:type="dxa" w:w="50"/>
              <w:left w:type="dxa" w:w="110"/>
              <w:bottom w:type="dxa" w:w="50"/>
              <w:right w:type="dxa" w:w="110"/>
            </w:tcMar>
          </w:tcPr>
          <w:p>
            <w:pPr>
              <w:spacing w:before="28" w:after="28"/>
            </w:pPr>
            <w:r>
              <w:rPr>
                <w:sz w:val="15"/>
                <w:szCs w:val="15"/>
              </w:rPr>
              <w:t xml:space="preserve">Cash, January 1, 2025</w:t>
            </w:r>
          </w:p>
        </w:tc>
        <w:tc>
          <w:tcPr>
            <w:tcW w:type="pct" w:w="2400"/>
            <w:tcMar>
              <w:top w:type="dxa" w:w="50"/>
              <w:left w:type="dxa" w:w="110"/>
              <w:bottom w:type="dxa" w:w="50"/>
              <w:right w:type="dxa" w:w="110"/>
            </w:tcMar>
          </w:tcPr>
          <w:p>
            <w:pPr>
              <w:spacing w:before="28" w:after="28"/>
            </w:pPr>
            <w:r>
              <w:rPr>
                <w:sz w:val="15"/>
                <w:szCs w:val="15"/>
              </w:rPr>
              <w:t xml:space="preserve">2,100,000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December 31, 2025</w:t>
            </w:r>
          </w:p>
        </w:tc>
        <w:tc>
          <w:tcPr>
            <w:tcW w:type="pct" w:w="2400"/>
            <w:shd w:fill="FBFAF6" w:val="clear"/>
            <w:tcMar>
              <w:top w:type="dxa" w:w="50"/>
              <w:left w:type="dxa" w:w="110"/>
              <w:bottom w:type="dxa" w:w="50"/>
              <w:right w:type="dxa" w:w="110"/>
            </w:tcMar>
          </w:tcPr>
          <w:p>
            <w:pPr>
              <w:spacing w:before="28" w:after="28"/>
            </w:pPr>
            <w:r>
              <w:rPr>
                <w:sz w:val="15"/>
                <w:szCs w:val="15"/>
              </w:rPr>
              <w:t xml:space="preserve">7,302,100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tcMar>
              <w:top w:type="dxa" w:w="50"/>
              <w:left w:type="dxa" w:w="110"/>
              <w:bottom w:type="dxa" w:w="50"/>
              <w:right w:type="dxa" w:w="110"/>
            </w:tcMar>
          </w:tcPr>
          <w:p>
            <w:pPr>
              <w:spacing w:before="28" w:after="28"/>
            </w:pPr>
            <w:r>
              <w:rPr>
                <w:sz w:val="15"/>
                <w:szCs w:val="15"/>
              </w:rPr>
              <w:t xml:space="preserve">Income taxes paid</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Noncash investing and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in inventory   ·   Depreciation   ·   Deferred income taxes   ·   Gain on sale of equipment   ·   Increase in accounts receivable, net   ·   Interest paid   ·   Unrealized gains on securities   ·   Increase in accounts payable   ·   Issuance of common stock   ·   Supplemental disclosures   ·   Increase in accrued liabilities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الأنشطة التشغيلية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equivalents</w:t>
            </w:r>
          </w:p>
        </w:tc>
        <w:tc>
          <w:tcPr>
            <w:tcW w:type="pct" w:w="2600"/>
            <w:tcMar>
              <w:top w:type="dxa" w:w="50"/>
              <w:left w:type="dxa" w:w="110"/>
              <w:bottom w:type="dxa" w:w="50"/>
              <w:right w:type="dxa" w:w="110"/>
            </w:tcMar>
          </w:tcPr>
          <w:p>
            <w:pPr>
              <w:spacing w:before="26" w:after="26"/>
            </w:pPr>
            <w:r>
              <w:rPr>
                <w:color w:val="232733"/>
                <w:sz w:val="16"/>
                <w:szCs w:val="16"/>
              </w:rPr>
              <w:t xml:space="preserve">معادلات النقد (ما في حكم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operating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التشغيلية</w:t>
            </w:r>
          </w:p>
        </w:tc>
      </w:tr>
      <w:tr>
        <w:tc>
          <w:tcPr>
            <w:tcW w:type="pct" w:w="2400"/>
            <w:tcMar>
              <w:top w:type="dxa" w:w="50"/>
              <w:left w:type="dxa" w:w="110"/>
              <w:bottom w:type="dxa" w:w="50"/>
              <w:right w:type="dxa" w:w="110"/>
            </w:tcMar>
          </w:tcPr>
          <w:p>
            <w:pPr>
              <w:spacing w:before="26" w:after="26"/>
            </w:pPr>
            <w:r>
              <w:rPr>
                <w:color w:val="232733"/>
                <w:sz w:val="16"/>
                <w:szCs w:val="16"/>
              </w:rPr>
              <w:t xml:space="preserve">investing activities</w:t>
            </w:r>
          </w:p>
        </w:tc>
        <w:tc>
          <w:tcPr>
            <w:tcW w:type="pct" w:w="2600"/>
            <w:tcMar>
              <w:top w:type="dxa" w:w="50"/>
              <w:left w:type="dxa" w:w="110"/>
              <w:bottom w:type="dxa" w:w="50"/>
              <w:right w:type="dxa" w:w="110"/>
            </w:tcMar>
          </w:tcPr>
          <w:p>
            <w:pPr>
              <w:spacing w:before="26" w:after="26"/>
            </w:pPr>
            <w:r>
              <w:rPr>
                <w:color w:val="232733"/>
                <w:sz w:val="16"/>
                <w:szCs w:val="16"/>
              </w:rPr>
              <w:t xml:space="preserve">الأنشطة الاستثمارية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financing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التمويلية</w:t>
            </w:r>
          </w:p>
        </w:tc>
      </w:tr>
    </w:tbl>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Purpose and structure of the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Classifying cash flows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between the four stateme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payments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Increase in 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Increase in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 in 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Increase in accrued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Issuance of 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Supplemental 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Moving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categories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 The statement explains the change in cash, cash equivalents and restricted cash together. Cash equivalents are short-term, highly liquid investments with an original maturity to the holder of three months or less. Moving money between these categories is not a cash flow. Cash flows are grouped into operating activities, investing activities and financing activities. Operating activities provided $7,531,100, investing used $4,179,000, and financing provided $1,850,000. Cash rose by $5,202,100, to the $7,302,100 shown on the balance sheet.</w:t>
      </w:r>
    </w:p>
    <w:p>
      <w:pPr>
        <w:sectPr>
          <w:headerReference w:type="default" r:id="rIdHdr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Classifying cash flows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Operating activities are the main revenue activities: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employees.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is not investing or financing is also operating. </w:t>
      </w:r>
      <w:r>
        <w:rPr>
          <w:sz w:val="19"/>
          <w:szCs w:val="19"/>
        </w:rPr>
        <w:t xml:space="preserve">Investing activities involve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assets and other companies'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Orontes paid $3,000,000 for equipment and $1,200,000 for its Jordan Glass shares. </w:t>
      </w:r>
      <w:r>
        <w:rPr>
          <w:sz w:val="19"/>
          <w:szCs w:val="19"/>
        </w:rPr>
        <w:t xml:space="preserve">Financing activities are with owners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They include issuing and buying back shares,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repaying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paying dividends. </w:t>
      </w:r>
      <w:r>
        <w:rPr>
          <w:sz w:val="19"/>
          <w:szCs w:val="19"/>
        </w:rPr>
        <w:t xml:space="preserve">Orontes received $1,500,000 from its share issue and $800,000 from the bank note,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$400,000 of debt and paid $50,000 of dividends. </w:t>
      </w:r>
      <w:r>
        <w:rPr>
          <w:sz w:val="19"/>
          <w:szCs w:val="19"/>
        </w:rPr>
        <w:t xml:space="preserve">U.S. GAAP fixes four items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often get wrong. </w:t>
      </w:r>
      <w:r>
        <w:rPr>
          <w:sz w:val="19"/>
          <w:szCs w:val="19"/>
        </w:rPr>
        <w:t xml:space="preserve">Interest paid, interest received, dividends received and income taxes are all operating. </w:t>
      </w:r>
      <w:r>
        <w:rPr>
          <w:sz w:val="19"/>
          <w:szCs w:val="19"/>
        </w:rPr>
        <w:t xml:space="preserve">Only dividends paid are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repaid   ·   students   ·   borrowing   ·   lenders   ·   securities   ·   suppliers   ·   long-term   ·   transactions   ·   Anything   ·   customers   ·   principal</w:t>
            </w:r>
          </w:p>
        </w:tc>
      </w:tr>
    </w:tbl>
    <w:p/>
    <w:p>
      <w:pPr>
        <w:spacing w:before="44" w:after="10"/>
      </w:pPr>
      <w:r>
        <w:rPr>
          <w:b/>
          <w:bCs/>
          <w:color w:val="353A7C"/>
          <w:sz w:val="18"/>
          <w:szCs w:val="18"/>
        </w:rPr>
        <w:t xml:space="preserve">Classifying interest, dividends and taxes: U.S. GAAP and IFRS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Dividends received   ·   Interest received</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Some investing and financing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involve no cash at all, such as buying land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shares or a note. </w:t>
      </w:r>
      <w:r>
        <w:rPr>
          <w:sz w:val="19"/>
          <w:szCs w:val="19"/>
        </w:rPr>
        <w:t xml:space="preserve">These noncash investing and financing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not shown in the body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They are disclosed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had none in 2025. </w:t>
      </w:r>
      <w:r>
        <w:rPr>
          <w:sz w:val="19"/>
          <w:szCs w:val="19"/>
        </w:rPr>
        <w:t xml:space="preserve">Under IAS 7 today, interest paid can be operating or financing, and interest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received can be operating or investing. </w:t>
      </w:r>
      <w:r>
        <w:rPr>
          <w:sz w:val="19"/>
          <w:szCs w:val="19"/>
        </w:rPr>
        <w:t xml:space="preserve">The amendments that come with IFRS 18 remove some choices from 2027, but they are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statement   ·   transactions   ·   issuing   ·   dividends   ·   separately   ·   Interest   ·   activities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activity?</w:t>
            </w:r>
          </w:p>
        </w:tc>
      </w:tr>
    </w:tbl>
    <w:p/>
    <w:p>
      <w:pPr>
        <w:pageBreakBefore w:val="true"/>
        <w:spacing w:after="0"/>
      </w:pPr>
      <w:r>
        <w:rPr>
          <w:sz w:val="2"/>
        </w:rPr>
        <w:t xml:space="preserve"> </w:t>
      </w:r>
    </w:p>
    <w:p>
      <w:pPr>
        <w:spacing w:before="44" w:after="10"/>
      </w:pPr>
      <w:r>
        <w:rPr>
          <w:b/>
          <w:bCs/>
          <w:color w:val="353A7C"/>
          <w:sz w:val="18"/>
          <w:szCs w:val="18"/>
        </w:rPr>
        <w:t xml:space="preserve">Which activity?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received from selling Jordan Glass shares   ·   Land acquired by issuing a long-term note (no cash)   ·   Cash paid to buy back the company's own shares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Classification traps</w:t>
            </w:r>
          </w:p>
        </w:tc>
      </w:tr>
    </w:tbl>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Interest paid is operating, not financing, under U.S. GAAP. </w:t>
      </w:r>
      <w:r>
        <w:rPr>
          <w:sz w:val="19"/>
          <w:szCs w:val="19"/>
        </w:rPr>
        <w:t xml:space="preserve">Dividends paid are financing; dividends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operating. </w:t>
      </w:r>
      <w:r>
        <w:rPr>
          <w:sz w:val="19"/>
          <w:szCs w:val="19"/>
        </w:rPr>
        <w:t xml:space="preserve">A note issued for land is not a cash flow: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received   ·   disclose   ·   Orontes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equivalents   ·   financing activities   ·   investing activities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03"/>
        <w:gridCol w:w="469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4"/>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46"/>
            <w:tcMar>
              <w:top w:type="dxa" w:w="50"/>
              <w:left w:type="dxa" w:w="110"/>
              <w:bottom w:type="dxa" w:w="50"/>
              <w:right w:type="dxa" w:w="110"/>
            </w:tcMar>
          </w:tcPr>
          <w:p>
            <w:pPr>
              <w:spacing w:before="26" w:after="26"/>
            </w:pPr>
            <w:r>
              <w:rPr>
                <w:color w:val="232733"/>
                <w:sz w:val="16"/>
                <w:szCs w:val="16"/>
              </w:rPr>
              <w:t xml:space="preserve">الأنشطة الاستثمارية والتمويلية غير النقدية</w:t>
            </w:r>
          </w:p>
        </w:tc>
      </w:tr>
    </w:tbl>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Classifying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 received from selling Jordan Glass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Land acquired by issuing a long-term note (no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repaid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students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 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transactions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 Financing activities are with owners and lenders. They include issuing and buying back shares, borrowing and repaying principal, and paying dividends. Orontes received $1,500,000 from its share issue and $800,000 from the bank note, repaid $400,000 of debt and paid $50,000 of dividends. U.S. GAAP fixes four items that students often get wrong. Interest paid, interest received, dividends received and income taxes are all operating. Only dividends paid are financing.</w:t>
      </w:r>
    </w:p>
    <w:p>
      <w:pPr>
        <w:spacing w:before="20" w:after="20"/>
        <w:ind w:left="240" w:hanging="240"/>
      </w:pPr>
      <w:r>
        <w:rPr>
          <w:b/>
          <w:bCs/>
          <w:color w:val="353A7C"/>
          <w:sz w:val="15"/>
          <w:szCs w:val="15"/>
        </w:rPr>
        <w:t xml:space="preserve">Summary 2   </w:t>
      </w:r>
      <w:r>
        <w:rPr>
          <w:color w:val="6B7280"/>
          <w:sz w:val="15"/>
          <w:szCs w:val="15"/>
        </w:rPr>
        <w:t xml:space="preserve">Some investing and financing transactions involve no cash at all, such as buying land by issuing shares or a note. These noncash investing and financing activities are not shown in the body of the statement. They are disclosed separately. Orontes had none in 2025. Under IAS 7 today, interest paid can be operating or financing, and interest and dividends received can be operating or investing. The amendments that come with IFRS 18 remove some choices from 2027, but they are not testable before about January 2028.</w:t>
      </w:r>
    </w:p>
    <w:p>
      <w:pPr>
        <w:spacing w:before="20" w:after="20"/>
        <w:ind w:left="240" w:hanging="240"/>
      </w:pPr>
      <w:r>
        <w:rPr>
          <w:b/>
          <w:bCs/>
          <w:color w:val="353A7C"/>
          <w:sz w:val="15"/>
          <w:szCs w:val="15"/>
        </w:rPr>
        <w:t xml:space="preserve">Summary 3   </w:t>
      </w:r>
      <w:r>
        <w:rPr>
          <w:color w:val="6B7280"/>
          <w:sz w:val="15"/>
          <w:szCs w:val="15"/>
        </w:rPr>
        <w:t xml:space="preserve">Interest paid is operating, not financing, under U.S. GAAP. Dividends paid are financing; dividends received are operating. A note issued for land is not a cash flow: disclose it.</w:t>
      </w:r>
    </w:p>
    <w:p>
      <w:pPr>
        <w:sectPr>
          <w:headerReference w:type="default" r:id="rIdHdr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The indirect method</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Most U.S. companies use the indirect method for operating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starts with net income and removes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is not an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Working-capital   ·   activities   ·   everything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operating cash flow</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operating activities   ·   subtracted   ·   equity-method   ·   add back noncash expenses and losses   ·   receivables</w:t>
            </w:r>
          </w:p>
        </w:tc>
      </w:tr>
    </w:tbl>
    <w:p/>
    <w:p>
      <w:pPr>
        <w:spacing w:before="44" w:after="14"/>
      </w:pPr>
      <w:r>
        <w:rPr>
          <w:b/>
          <w:bCs/>
          <w:color w:val="353A7C"/>
          <w:sz w:val="18"/>
          <w:szCs w:val="18"/>
        </w:rPr>
        <w:t xml:space="preserve">Summary 2</w:t>
      </w:r>
      <w:r>
        <w:rPr>
          <w:color w:val="6B7280"/>
          <w:sz w:val="16"/>
          <w:szCs w:val="16"/>
        </w:rPr>
        <w:t xml:space="preserve">      gaps 8–12</w:t>
      </w:r>
    </w:p>
    <w:p>
      <w:pPr>
        <w:spacing w:before="20" w:after="20" w:line="360" w:lineRule="auto"/>
        <w:ind w:left="200"/>
      </w:pPr>
      <w:r>
        <w:rPr>
          <w:sz w:val="19"/>
          <w:szCs w:val="19"/>
        </w:rPr>
        <w:t xml:space="preserve">Start with net income: $2,969,100. </w:t>
      </w:r>
      <w:r>
        <w:rPr>
          <w:sz w:val="19"/>
          <w:szCs w:val="19"/>
        </w:rPr>
        <w:t xml:space="preserve">Add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impairments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taxes, which used no cash: $4,924,000. </w:t>
      </w:r>
      <w:r>
        <w:rPr>
          <w:sz w:val="19"/>
          <w:szCs w:val="19"/>
        </w:rPr>
        <w:t xml:space="preserve">Subtract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income of $177,000, add dividends from investees of $70,000, and subtract the oven gain of $3,000 and unrealized gains of $4,000.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changes reduce cash by a net $248,000. </w:t>
      </w:r>
      <w:r>
        <w:rPr>
          <w:sz w:val="19"/>
          <w:szCs w:val="19"/>
        </w:rPr>
        <w:t xml:space="preserve">The total, $7,531,100, equals net cash from operating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subtracted   ·   depreciation   ·   deferred   ·   activities   ·   equity-method   ·   Working-capital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Indirect-method traps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Start from net income, never from operating income.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payable and notes payable are financing items. </w:t>
      </w:r>
      <w:r>
        <w:rPr>
          <w:sz w:val="19"/>
          <w:szCs w:val="19"/>
        </w:rPr>
        <w:t xml:space="preserve">Do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their changes in working capital. </w:t>
      </w:r>
      <w:r>
        <w:rPr>
          <w:sz w:val="19"/>
          <w:szCs w:val="19"/>
        </w:rPr>
        <w:t xml:space="preserve">Show the full proceeds of a sale in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remove the gain from operating.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   ·   investing   ·   Dividends   ·   unrealized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الأنشطة التشغيلية   ·   investing activities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method</w:t>
            </w:r>
          </w:p>
        </w:tc>
        <w:tc>
          <w:tcPr>
            <w:tcW w:type="pct" w:w="2600"/>
            <w:tcMar>
              <w:top w:type="dxa" w:w="50"/>
              <w:left w:type="dxa" w:w="110"/>
              <w:bottom w:type="dxa" w:w="50"/>
              <w:right w:type="dxa" w:w="110"/>
            </w:tcMar>
          </w:tcPr>
          <w:p>
            <w:pPr>
              <w:spacing w:before="26" w:after="26"/>
            </w:pPr>
            <w:r>
              <w:rPr>
                <w:color w:val="232733"/>
                <w:sz w:val="16"/>
                <w:szCs w:val="16"/>
              </w:rPr>
              <w:t xml:space="preserve">الطريقة غير المباشرة</w:t>
            </w:r>
          </w:p>
        </w:tc>
      </w:tr>
    </w:tbl>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The indirect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Working-capital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add back noncash expenses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subtracted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deferred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Most U.S. companies use the indirect method for operating activities. It starts with net income and removes everything that is not an operating cash flow.</w:t>
      </w:r>
    </w:p>
    <w:p>
      <w:pPr>
        <w:spacing w:before="20" w:after="20"/>
        <w:ind w:left="240" w:hanging="240"/>
      </w:pPr>
      <w:r>
        <w:rPr>
          <w:b/>
          <w:bCs/>
          <w:color w:val="353A7C"/>
          <w:sz w:val="15"/>
          <w:szCs w:val="15"/>
        </w:rPr>
        <w:t xml:space="preserve">Summary 2   </w:t>
      </w:r>
      <w:r>
        <w:rPr>
          <w:color w:val="6B7280"/>
          <w:sz w:val="15"/>
          <w:szCs w:val="15"/>
        </w:rPr>
        <w:t xml:space="preserve">Start with net income: $2,969,100. Add depreciation, impairments and deferred taxes, which used no cash: $4,924,000. Subtract equity-method income of $177,000, add dividends from investees of $70,000, and subtract the oven gain of $3,000 and unrealized gains of $4,000. Working-capital changes reduce cash by a net $248,000. The total, $7,531,100, equals net cash from operating activities.</w:t>
      </w:r>
    </w:p>
    <w:p>
      <w:pPr>
        <w:spacing w:before="20" w:after="20"/>
        <w:ind w:left="240" w:hanging="240"/>
      </w:pPr>
      <w:r>
        <w:rPr>
          <w:b/>
          <w:bCs/>
          <w:color w:val="353A7C"/>
          <w:sz w:val="15"/>
          <w:szCs w:val="15"/>
        </w:rPr>
        <w:t xml:space="preserve">Summary 3   </w:t>
      </w:r>
      <w:r>
        <w:rPr>
          <w:color w:val="6B7280"/>
          <w:sz w:val="15"/>
          <w:szCs w:val="15"/>
        </w:rPr>
        <w:t xml:space="preserve">Start from net income, never from operating income. Dividends payable and notes payable are financing items. Do not include their changes in working capital. Show the full proceeds of a sale in investing, and remove the gain from operating.</w:t>
      </w:r>
    </w:p>
    <w:p>
      <w:pPr>
        <w:sectPr>
          <w:headerReference w:type="default" r:id="rIdHdr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The direct method and required disclosures</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direct method shows the main classes of operating receipts and payments, such as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but few companies use it. </w:t>
      </w:r>
      <w:r>
        <w:rPr>
          <w:sz w:val="19"/>
          <w:szCs w:val="19"/>
        </w:rPr>
        <w:t xml:space="preserve">A company that uses it must still show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net income to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encourages   ·   disclose   ·   reconciliation   ·   customers   ·   suppliers</w:t>
            </w:r>
          </w:p>
        </w:tc>
      </w:tr>
    </w:tbl>
    <w:p/>
    <w:p>
      <w:pPr>
        <w:spacing w:before="44" w:after="10"/>
      </w:pPr>
      <w:r>
        <w:rPr>
          <w:b/>
          <w:bCs/>
          <w:color w:val="353A7C"/>
          <w:sz w:val="18"/>
          <w:szCs w:val="18"/>
        </w:rPr>
        <w:t xml:space="preserve">Orontes Foods Inc. — operating activities by the direct method, 2025</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49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2497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Cash paid to suppliers and employees   ·   Cash received from customers</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A company using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method must disclose interest paid and income taxes paid.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paid $390,000 of interest and $839,700 of income taxes. </w:t>
      </w:r>
      <w:r>
        <w:rPr>
          <w:sz w:val="19"/>
          <w:szCs w:val="19"/>
        </w:rPr>
        <w:t xml:space="preserve">Taxes paid are the current tax expense of $889,700 less the $50,000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taxes payable.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reconciliation   ·   indirect   ·   increase   ·   Orontes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الطريقة المباشرة   ·   operating activities   ·   indirect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The direct method and required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encourages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increase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Cash paid to suppliers and employees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indirect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Income taxes paid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w:t>
      </w:r>
    </w:p>
    <w:p>
      <w:pPr>
        <w:spacing w:before="20" w:after="20"/>
        <w:ind w:left="240" w:hanging="240"/>
      </w:pPr>
      <w:r>
        <w:rPr>
          <w:b/>
          <w:bCs/>
          <w:color w:val="353A7C"/>
          <w:sz w:val="15"/>
          <w:szCs w:val="15"/>
        </w:rPr>
        <w:t xml:space="preserve">Summary 2   </w:t>
      </w:r>
      <w:r>
        <w:rPr>
          <w:color w:val="6B7280"/>
          <w:sz w:val="15"/>
          <w:szCs w:val="15"/>
        </w:rPr>
        <w:t xml:space="preserve">A company using the indirect method must disclose interest paid and income taxes paid. Orontes paid $390,000 of interest and $839,700 of income taxes. Taxes paid are the current tax expense of $889,700 less the $50,000 increase in taxes payable.</w:t>
      </w:r>
    </w:p>
    <w:p>
      <w:pPr>
        <w:sectPr>
          <w:headerReference w:type="default" r:id="rIdHdr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Limitations and links between the four statements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Cash flows are harder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than profits, but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company can raise operating cash near year-end by delaying payments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by selling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also shows only one year, and it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profit.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noncash deals, such as buying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a mortgage, appear only in the notes. </w:t>
      </w:r>
      <w:r>
        <w:rPr>
          <w:sz w:val="19"/>
          <w:szCs w:val="19"/>
        </w:rPr>
        <w:t xml:space="preserve">Some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also arbitrary: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paid is operating under U.S. GAAP but may be financing under IFRS, which makes companies harder to compare.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one year of cash flows can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stops investing will show strong cash flow for a while, even if its future is weak. </w:t>
      </w:r>
      <w:r>
        <w:rPr>
          <w:sz w:val="19"/>
          <w:szCs w:val="19"/>
        </w:rPr>
        <w:t xml:space="preserve">The links also help you find amounts that are not given. </w:t>
      </w:r>
      <w:r>
        <w:rPr>
          <w:sz w:val="19"/>
          <w:szCs w:val="19"/>
        </w:rPr>
        <w:t xml:space="preserve">Orontes declared dividends of $450,000, but dividends payable rose by $400,000, so dividends paid were only $50,000. </w:t>
      </w:r>
      <w:r>
        <w:rPr>
          <w:sz w:val="19"/>
          <w:szCs w:val="19"/>
        </w:rPr>
        <w:t xml:space="preserve">That is the amount in the financing section.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Finally   ·   classifications   ·   mislead   ·   Important   ·   delaying   ·   manage   ·   impossible   ·   interest   ·   suppliers   ·   statement   ·   measure   ·   building   ·   receivables</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In August 2026 the FASB proposed new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about the parts of cash equivalents and about some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assets. </w:t>
      </w:r>
      <w:r>
        <w:rPr>
          <w:sz w:val="19"/>
          <w:szCs w:val="19"/>
        </w:rPr>
        <w:t xml:space="preserve">It is only a proposal;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of cash equivalents does not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ASU 2023-09 already requires income taxes paid by jurisdiction; know this at awareness level.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disclosures   ·   change   ·   definition   ·   digital   ·   payments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Tableau de financement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555"/>
        <w:gridCol w:w="18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Tableau de financement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Barada Wholesale (USD 000)</w:t>
            </w:r>
          </w:p>
        </w:tc>
        <w:tc>
          <w:tcPr>
            <w:tcW w:type="pct" w:w="1851"/>
            <w:shd w:fill="353A7C" w:val="clear"/>
            <w:tcMar>
              <w:top w:type="dxa" w:w="50"/>
              <w:left w:type="dxa" w:w="110"/>
              <w:bottom w:type="dxa" w:w="50"/>
              <w:right w:type="dxa" w:w="110"/>
            </w:tcMar>
          </w:tcPr>
          <w:p>
            <w:pPr>
              <w:spacing w:before="30" w:after="30"/>
            </w:pPr>
            <w:r>
              <w:rPr>
                <w:b/>
                <w:bCs/>
                <w:color w:val="FFFFFF"/>
                <w:sz w:val="15"/>
                <w:szCs w:val="15"/>
              </w:rPr>
              <w:t xml:space="preserve">Amount, or balance at Dec 31, 2025</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Balance at Dec 31, 2026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851"/>
            <w:tcMar>
              <w:top w:type="dxa" w:w="50"/>
              <w:left w:type="dxa" w:w="110"/>
              <w:bottom w:type="dxa" w:w="50"/>
              <w:right w:type="dxa" w:w="110"/>
            </w:tcMar>
          </w:tcPr>
          <w:p>
            <w:pPr>
              <w:spacing w:before="28" w:after="28"/>
            </w:pPr>
            <w:r>
              <w:rPr>
                <w:sz w:val="15"/>
                <w:szCs w:val="15"/>
              </w:rPr>
              <w:t xml:space="preserve"> </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1851"/>
            <w:shd w:fill="FBFAF6" w:val="clear"/>
            <w:tcMar>
              <w:top w:type="dxa" w:w="50"/>
              <w:left w:type="dxa" w:w="110"/>
              <w:bottom w:type="dxa" w:w="50"/>
              <w:right w:type="dxa" w:w="110"/>
            </w:tcMar>
          </w:tcPr>
          <w:p>
            <w:pPr>
              <w:spacing w:before="28" w:after="28"/>
            </w:pPr>
            <w:r>
              <w:rPr>
                <w:sz w:val="15"/>
                <w:szCs w:val="15"/>
              </w:rPr>
              <w:t xml:space="preserve">165</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Depreciation expense</w:t>
            </w:r>
          </w:p>
        </w:tc>
        <w:tc>
          <w:tcPr>
            <w:tcW w:type="pct" w:w="1851"/>
            <w:tcMar>
              <w:top w:type="dxa" w:w="50"/>
              <w:left w:type="dxa" w:w="110"/>
              <w:bottom w:type="dxa" w:w="50"/>
              <w:right w:type="dxa" w:w="110"/>
            </w:tcMar>
          </w:tcPr>
          <w:p>
            <w:pPr>
              <w:spacing w:before="28" w:after="28"/>
            </w:pPr>
            <w:r>
              <w:rPr>
                <w:sz w:val="15"/>
                <w:szCs w:val="15"/>
              </w:rPr>
              <w:t xml:space="preserve">300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1851"/>
            <w:shd w:fill="FBFAF6" w:val="clear"/>
            <w:tcMar>
              <w:top w:type="dxa" w:w="50"/>
              <w:left w:type="dxa" w:w="110"/>
              <w:bottom w:type="dxa" w:w="50"/>
              <w:right w:type="dxa" w:w="110"/>
            </w:tcMar>
          </w:tcPr>
          <w:p>
            <w:pPr>
              <w:spacing w:before="28" w:after="28"/>
            </w:pPr>
            <w:r>
              <w:rPr>
                <w:sz w:val="15"/>
                <w:szCs w:val="15"/>
              </w:rPr>
              <w:t xml:space="preserve">20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Loss on sale of the catering-supply division</w:t>
            </w:r>
          </w:p>
        </w:tc>
        <w:tc>
          <w:tcPr>
            <w:tcW w:type="pct" w:w="1851"/>
            <w:tcMar>
              <w:top w:type="dxa" w:w="50"/>
              <w:left w:type="dxa" w:w="110"/>
              <w:bottom w:type="dxa" w:w="50"/>
              <w:right w:type="dxa" w:w="110"/>
            </w:tcMar>
          </w:tcPr>
          <w:p>
            <w:pPr>
              <w:spacing w:before="28" w:after="28"/>
            </w:pPr>
            <w:r>
              <w:rPr>
                <w:sz w:val="15"/>
                <w:szCs w:val="15"/>
              </w:rPr>
              <w:t xml:space="preserve">40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Balances</w:t>
            </w:r>
          </w:p>
        </w:tc>
        <w:tc>
          <w:tcPr>
            <w:tcW w:type="pct" w:w="1851"/>
            <w:shd w:fill="FBFAF6" w:val="clear"/>
            <w:tcMar>
              <w:top w:type="dxa" w:w="50"/>
              <w:left w:type="dxa" w:w="110"/>
              <w:bottom w:type="dxa" w:w="50"/>
              <w:right w:type="dxa" w:w="110"/>
            </w:tcMar>
          </w:tcPr>
          <w:p>
            <w:pPr>
              <w:spacing w:before="28" w:after="28"/>
            </w:pPr>
            <w:r>
              <w:rPr>
                <w:sz w:val="15"/>
                <w:szCs w:val="15"/>
              </w:rPr>
              <w:t xml:space="preserve"> </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851"/>
            <w:tcMar>
              <w:top w:type="dxa" w:w="50"/>
              <w:left w:type="dxa" w:w="110"/>
              <w:bottom w:type="dxa" w:w="50"/>
              <w:right w:type="dxa" w:w="110"/>
            </w:tcMar>
          </w:tcPr>
          <w:p>
            <w:pPr>
              <w:spacing w:before="28" w:after="28"/>
            </w:pPr>
            <w:r>
              <w:rPr>
                <w:sz w:val="15"/>
                <w:szCs w:val="15"/>
              </w:rPr>
              <w:t xml:space="preserve">280</w:t>
            </w:r>
          </w:p>
        </w:tc>
        <w:tc>
          <w:tcPr>
            <w:tcW w:type="pct" w:w="949"/>
            <w:tcMar>
              <w:top w:type="dxa" w:w="50"/>
              <w:left w:type="dxa" w:w="110"/>
              <w:bottom w:type="dxa" w:w="50"/>
              <w:right w:type="dxa" w:w="110"/>
            </w:tcMar>
          </w:tcPr>
          <w:p>
            <w:pPr>
              <w:spacing w:before="28" w:after="28"/>
            </w:pPr>
            <w:r>
              <w:rPr>
                <w:sz w:val="15"/>
                <w:szCs w:val="15"/>
              </w:rPr>
              <w:t xml:space="preserve">310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851"/>
            <w:shd w:fill="FBFAF6" w:val="clear"/>
            <w:tcMar>
              <w:top w:type="dxa" w:w="50"/>
              <w:left w:type="dxa" w:w="110"/>
              <w:bottom w:type="dxa" w:w="50"/>
              <w:right w:type="dxa" w:w="110"/>
            </w:tcMar>
          </w:tcPr>
          <w:p>
            <w:pPr>
              <w:spacing w:before="28" w:after="28"/>
            </w:pPr>
            <w:r>
              <w:rPr>
                <w:sz w:val="15"/>
                <w:szCs w:val="15"/>
              </w:rPr>
              <w:t xml:space="preserve">420</w:t>
            </w:r>
          </w:p>
        </w:tc>
        <w:tc>
          <w:tcPr>
            <w:tcW w:type="pct" w:w="949"/>
            <w:shd w:fill="FBFAF6" w:val="clear"/>
            <w:tcMar>
              <w:top w:type="dxa" w:w="50"/>
              <w:left w:type="dxa" w:w="110"/>
              <w:bottom w:type="dxa" w:w="50"/>
              <w:right w:type="dxa" w:w="110"/>
            </w:tcMar>
          </w:tcPr>
          <w:p>
            <w:pPr>
              <w:spacing w:before="28" w:after="28"/>
            </w:pPr>
            <w:r>
              <w:rPr>
                <w:sz w:val="15"/>
                <w:szCs w:val="15"/>
              </w:rPr>
              <w:t xml:space="preserve">390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851"/>
            <w:tcMar>
              <w:top w:type="dxa" w:w="50"/>
              <w:left w:type="dxa" w:w="110"/>
              <w:bottom w:type="dxa" w:w="50"/>
              <w:right w:type="dxa" w:w="110"/>
            </w:tcMar>
          </w:tcPr>
          <w:p>
            <w:pPr>
              <w:spacing w:before="28" w:after="28"/>
            </w:pPr>
            <w:r>
              <w:rPr>
                <w:sz w:val="15"/>
                <w:szCs w:val="15"/>
              </w:rPr>
              <w:t xml:space="preserve">24</w:t>
            </w:r>
          </w:p>
        </w:tc>
        <w:tc>
          <w:tcPr>
            <w:tcW w:type="pct" w:w="949"/>
            <w:tcMar>
              <w:top w:type="dxa" w:w="50"/>
              <w:left w:type="dxa" w:w="110"/>
              <w:bottom w:type="dxa" w:w="50"/>
              <w:right w:type="dxa" w:w="110"/>
            </w:tcMar>
          </w:tcPr>
          <w:p>
            <w:pPr>
              <w:spacing w:before="28" w:after="28"/>
            </w:pPr>
            <w:r>
              <w:rPr>
                <w:sz w:val="15"/>
                <w:szCs w:val="15"/>
              </w:rPr>
              <w:t xml:space="preserve">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851"/>
            <w:shd w:fill="FBFAF6" w:val="clear"/>
            <w:tcMar>
              <w:top w:type="dxa" w:w="50"/>
              <w:left w:type="dxa" w:w="110"/>
              <w:bottom w:type="dxa" w:w="50"/>
              <w:right w:type="dxa" w:w="110"/>
            </w:tcMar>
          </w:tcPr>
          <w:p>
            <w:pPr>
              <w:spacing w:before="28" w:after="28"/>
            </w:pPr>
            <w:r>
              <w:rPr>
                <w:sz w:val="15"/>
                <w:szCs w:val="15"/>
              </w:rPr>
              <w:t xml:space="preserve">380</w:t>
            </w:r>
          </w:p>
        </w:tc>
        <w:tc>
          <w:tcPr>
            <w:tcW w:type="pct" w:w="949"/>
            <w:shd w:fill="FBFAF6" w:val="clear"/>
            <w:tcMar>
              <w:top w:type="dxa" w:w="50"/>
              <w:left w:type="dxa" w:w="110"/>
              <w:bottom w:type="dxa" w:w="50"/>
              <w:right w:type="dxa" w:w="110"/>
            </w:tcMar>
          </w:tcPr>
          <w:p>
            <w:pPr>
              <w:spacing w:before="28" w:after="28"/>
            </w:pPr>
            <w:r>
              <w:rPr>
                <w:sz w:val="15"/>
                <w:szCs w:val="15"/>
              </w:rPr>
              <w:t xml:space="preserve">410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851"/>
            <w:tcMar>
              <w:top w:type="dxa" w:w="50"/>
              <w:left w:type="dxa" w:w="110"/>
              <w:bottom w:type="dxa" w:w="50"/>
              <w:right w:type="dxa" w:w="110"/>
            </w:tcMar>
          </w:tcPr>
          <w:p>
            <w:pPr>
              <w:spacing w:before="28" w:after="28"/>
            </w:pPr>
            <w:r>
              <w:rPr>
                <w:sz w:val="15"/>
                <w:szCs w:val="15"/>
              </w:rPr>
              <w:t xml:space="preserve">0</w:t>
            </w:r>
          </w:p>
        </w:tc>
        <w:tc>
          <w:tcPr>
            <w:tcW w:type="pct" w:w="949"/>
            <w:tcMar>
              <w:top w:type="dxa" w:w="50"/>
              <w:left w:type="dxa" w:w="110"/>
              <w:bottom w:type="dxa" w:w="50"/>
              <w:right w:type="dxa" w:w="110"/>
            </w:tcMar>
          </w:tcPr>
          <w:p>
            <w:pPr>
              <w:spacing w:before="28" w:after="28"/>
            </w:pPr>
            <w:r>
              <w:rPr>
                <w:sz w:val="15"/>
                <w:szCs w:val="15"/>
              </w:rPr>
              <w:t xml:space="preserve">30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851"/>
            <w:shd w:fill="FBFAF6" w:val="clear"/>
            <w:tcMar>
              <w:top w:type="dxa" w:w="50"/>
              <w:left w:type="dxa" w:w="110"/>
              <w:bottom w:type="dxa" w:w="50"/>
              <w:right w:type="dxa" w:w="110"/>
            </w:tcMar>
          </w:tcPr>
          <w:p>
            <w:pPr>
              <w:spacing w:before="28" w:after="28"/>
            </w:pPr>
            <w:r>
              <w:rPr>
                <w:sz w:val="15"/>
                <w:szCs w:val="15"/>
              </w:rPr>
              <w:t xml:space="preserve">1,050</w:t>
            </w:r>
          </w:p>
        </w:tc>
        <w:tc>
          <w:tcPr>
            <w:tcW w:type="pct" w:w="949"/>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Other 2026 cash information</w:t>
            </w:r>
          </w:p>
        </w:tc>
        <w:tc>
          <w:tcPr>
            <w:tcW w:type="pct" w:w="1851"/>
            <w:tcMar>
              <w:top w:type="dxa" w:w="50"/>
              <w:left w:type="dxa" w:w="110"/>
              <w:bottom w:type="dxa" w:w="50"/>
              <w:right w:type="dxa" w:w="110"/>
            </w:tcMar>
          </w:tcPr>
          <w:p>
            <w:pPr>
              <w:spacing w:before="28" w:after="28"/>
            </w:pPr>
            <w:r>
              <w:rPr>
                <w:sz w:val="15"/>
                <w:szCs w:val="15"/>
              </w:rPr>
              <w:t xml:space="preserve"> </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Proceeds from sale of equipment</w:t>
            </w:r>
          </w:p>
        </w:tc>
        <w:tc>
          <w:tcPr>
            <w:tcW w:type="pct" w:w="1851"/>
            <w:shd w:fill="FBFAF6" w:val="clear"/>
            <w:tcMar>
              <w:top w:type="dxa" w:w="50"/>
              <w:left w:type="dxa" w:w="110"/>
              <w:bottom w:type="dxa" w:w="50"/>
              <w:right w:type="dxa" w:w="110"/>
            </w:tcMar>
          </w:tcPr>
          <w:p>
            <w:pPr>
              <w:spacing w:before="28" w:after="28"/>
            </w:pPr>
            <w:r>
              <w:rPr>
                <w:sz w:val="15"/>
                <w:szCs w:val="15"/>
              </w:rPr>
              <w:t xml:space="preserve">70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851"/>
            <w:tcMar>
              <w:top w:type="dxa" w:w="50"/>
              <w:left w:type="dxa" w:w="110"/>
              <w:bottom w:type="dxa" w:w="50"/>
              <w:right w:type="dxa" w:w="110"/>
            </w:tcMar>
          </w:tcPr>
          <w:p>
            <w:pPr>
              <w:spacing w:before="28" w:after="28"/>
            </w:pPr>
            <w:r>
              <w:rPr>
                <w:sz w:val="15"/>
                <w:szCs w:val="15"/>
              </w:rPr>
              <w:t xml:space="preserve">150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851"/>
            <w:shd w:fill="FBFAF6" w:val="clear"/>
            <w:tcMar>
              <w:top w:type="dxa" w:w="50"/>
              <w:left w:type="dxa" w:w="110"/>
              <w:bottom w:type="dxa" w:w="50"/>
              <w:right w:type="dxa" w:w="110"/>
            </w:tcMar>
          </w:tcPr>
          <w:p>
            <w:pPr>
              <w:spacing w:before="28" w:after="28"/>
            </w:pPr>
            <w:r>
              <w:rPr>
                <w:sz w:val="15"/>
                <w:szCs w:val="15"/>
              </w:rPr>
              <w:t xml:space="preserve">200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Note installment repaid (Chapter 2, M1)</w:t>
            </w:r>
          </w:p>
        </w:tc>
        <w:tc>
          <w:tcPr>
            <w:tcW w:type="pct" w:w="1851"/>
            <w:tcMar>
              <w:top w:type="dxa" w:w="50"/>
              <w:left w:type="dxa" w:w="110"/>
              <w:bottom w:type="dxa" w:w="50"/>
              <w:right w:type="dxa" w:w="110"/>
            </w:tcMar>
          </w:tcPr>
          <w:p>
            <w:pPr>
              <w:spacing w:before="28" w:after="28"/>
            </w:pPr>
            <w:r>
              <w:rPr>
                <w:sz w:val="15"/>
                <w:szCs w:val="15"/>
              </w:rPr>
              <w:t xml:space="preserve">300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 paid (declared in 2025)</w:t>
            </w:r>
          </w:p>
        </w:tc>
        <w:tc>
          <w:tcPr>
            <w:tcW w:type="pct" w:w="1851"/>
            <w:shd w:fill="FBFAF6" w:val="clear"/>
            <w:tcMar>
              <w:top w:type="dxa" w:w="50"/>
              <w:left w:type="dxa" w:w="110"/>
              <w:bottom w:type="dxa" w:w="50"/>
              <w:right w:type="dxa" w:w="110"/>
            </w:tcMar>
          </w:tcPr>
          <w:p>
            <w:pPr>
              <w:spacing w:before="28" w:after="28"/>
            </w:pPr>
            <w:r>
              <w:rPr>
                <w:sz w:val="15"/>
                <w:szCs w:val="15"/>
              </w:rPr>
              <w:t xml:space="preserve">50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Treasury stock bought (Chapter 4, E1)</w:t>
            </w:r>
          </w:p>
        </w:tc>
        <w:tc>
          <w:tcPr>
            <w:tcW w:type="pct" w:w="1851"/>
            <w:tcMar>
              <w:top w:type="dxa" w:w="50"/>
              <w:left w:type="dxa" w:w="110"/>
              <w:bottom w:type="dxa" w:w="50"/>
              <w:right w:type="dxa" w:w="110"/>
            </w:tcMar>
          </w:tcPr>
          <w:p>
            <w:pPr>
              <w:spacing w:before="28" w:after="28"/>
            </w:pPr>
            <w:r>
              <w:rPr>
                <w:sz w:val="15"/>
                <w:szCs w:val="15"/>
              </w:rPr>
              <w:t xml:space="preserve">480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Treasury stock reissued (E2 and E3)</w:t>
            </w:r>
          </w:p>
        </w:tc>
        <w:tc>
          <w:tcPr>
            <w:tcW w:type="pct" w:w="1851"/>
            <w:shd w:fill="FBFAF6" w:val="clear"/>
            <w:tcMar>
              <w:top w:type="dxa" w:w="50"/>
              <w:left w:type="dxa" w:w="110"/>
              <w:bottom w:type="dxa" w:w="50"/>
              <w:right w:type="dxa" w:w="110"/>
            </w:tcMar>
          </w:tcPr>
          <w:p>
            <w:pPr>
              <w:spacing w:before="28" w:after="28"/>
            </w:pPr>
            <w:r>
              <w:rPr>
                <w:sz w:val="15"/>
                <w:szCs w:val="15"/>
              </w:rPr>
              <w:t xml:space="preserve">200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Cash dividend declared December 15, 2026, payable January 2027</w:t>
            </w:r>
          </w:p>
        </w:tc>
        <w:tc>
          <w:tcPr>
            <w:tcW w:type="pct" w:w="1851"/>
            <w:tcMar>
              <w:top w:type="dxa" w:w="50"/>
              <w:left w:type="dxa" w:w="110"/>
              <w:bottom w:type="dxa" w:w="50"/>
              <w:right w:type="dxa" w:w="110"/>
            </w:tcMar>
          </w:tcPr>
          <w:p>
            <w:pPr>
              <w:spacing w:before="28" w:after="28"/>
            </w:pPr>
            <w:r>
              <w:rPr>
                <w:sz w:val="15"/>
                <w:szCs w:val="15"/>
              </w:rPr>
              <w:t xml:space="preserve">121</w:t>
            </w:r>
          </w:p>
        </w:tc>
        <w:tc>
          <w:tcPr>
            <w:tcW w:type="pct" w:w="949"/>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payable   ·   Investing   ·   Prepaid rent   ·   Income statement items, 2026   ·   Inventory   ·   Accounts payable   ·   Accounts receivable, net   ·   Proceeds from sale of the division   ·   Purchases of equipment   ·   Cash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Interest paid on a 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Selling Jordan Glass shares</w:t>
            </w:r>
          </w:p>
        </w:tc>
        <w:tc>
          <w:tcPr>
            <w:tcW w:type="pct" w:w="2600"/>
            <w:shd w:fill="FBFAF6" w:val="clear"/>
            <w:tcMar>
              <w:top w:type="dxa" w:w="50"/>
              <w:left w:type="dxa" w:w="110"/>
              <w:bottom w:type="dxa" w:w="50"/>
              <w:right w:type="dxa" w:w="110"/>
            </w:tcMar>
          </w:tcPr>
          <w:p>
            <w:pPr>
              <w:spacing w:before="28" w:after="28"/>
            </w:pPr>
            <w:r>
              <w:rPr>
                <w:sz w:val="15"/>
                <w:szCs w:val="15"/>
              </w:rPr>
              <w:t xml:space="preserve">Investing: another company's </w:t>
            </w:r>
            <w:r>
              <w:rPr>
                <w:b/>
                <w:bCs/>
                <w:color w:val="8186EF"/>
                <w:sz w:val="14"/>
                <w:szCs w:val="14"/>
              </w:rPr>
              <w:t xml:space="preserve"> (27) </w:t>
            </w:r>
            <w:r>
              <w:rPr>
                <w:u w:val="single"/>
                <w:sz w:val="15"/>
                <w:szCs w:val="15"/>
              </w:rPr>
              <w:t xml:space="preserve">              </w:t>
            </w:r>
            <w:r>
              <w:rPr>
                <w:sz w:val="15"/>
                <w:szCs w:val="15"/>
              </w:rPr>
              <w:t xml:space="preserve"> </w:t>
            </w:r>
            <w:r>
              <w:rPr>
                <w:sz w:val="15"/>
                <w:szCs w:val="15"/>
              </w:rPr>
              <w:t xml:space="preserve">.</w:t>
            </w:r>
          </w:p>
        </w:tc>
      </w:tr>
      <w:tr>
        <w:tc>
          <w:tcPr>
            <w:tcW w:type="pct" w:w="2400"/>
            <w:tcMar>
              <w:top w:type="dxa" w:w="50"/>
              <w:left w:type="dxa" w:w="110"/>
              <w:bottom w:type="dxa" w:w="50"/>
              <w:right w:type="dxa" w:w="110"/>
            </w:tcMar>
          </w:tcPr>
          <w:p>
            <w:pPr>
              <w:spacing w:before="28" w:after="28"/>
            </w:pPr>
            <w:r>
              <w:rPr>
                <w:sz w:val="15"/>
                <w:szCs w:val="15"/>
              </w:rPr>
              <w:t xml:space="preserve">Land for a long-term note</w:t>
            </w:r>
          </w:p>
        </w:tc>
        <w:tc>
          <w:tcPr>
            <w:tcW w:type="pct" w:w="2600"/>
            <w:tcMar>
              <w:top w:type="dxa" w:w="50"/>
              <w:left w:type="dxa" w:w="110"/>
              <w:bottom w:type="dxa" w:w="50"/>
              <w:right w:type="dxa" w:w="110"/>
            </w:tcMar>
          </w:tcPr>
          <w:p>
            <w:pPr>
              <w:spacing w:before="28" w:after="28"/>
            </w:pPr>
            <w:r>
              <w:rPr>
                <w:sz w:val="15"/>
                <w:szCs w:val="15"/>
              </w:rPr>
              <w:t xml:space="preserve">Noncash investing and financing activity: disclosed, not in the body.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Buying back own shares</w:t>
            </w:r>
          </w:p>
        </w:tc>
        <w:tc>
          <w:tcPr>
            <w:tcW w:type="pct" w:w="2600"/>
            <w:shd w:fill="FBFAF6" w:val="clear"/>
            <w:tcMar>
              <w:top w:type="dxa" w:w="50"/>
              <w:left w:type="dxa" w:w="110"/>
              <w:bottom w:type="dxa" w:w="50"/>
              <w:right w:type="dxa" w:w="110"/>
            </w:tcMar>
          </w:tcPr>
          <w:p>
            <w:pPr>
              <w:spacing w:before="28" w:after="28"/>
            </w:pPr>
            <w:r>
              <w:rPr>
                <w:sz w:val="15"/>
                <w:szCs w:val="15"/>
              </w:rPr>
              <w:t xml:space="preserve">Financing: a transaction with owners.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Noncash investing and financing activity   ·   securities   ·   Operating (U.S. GAAP gives no choice).</w:t>
            </w:r>
          </w:p>
        </w:tc>
      </w:tr>
    </w:tbl>
    <w:p/>
    <w:p>
      <w:pPr>
        <w:pageBreakBefore w:val="true"/>
        <w:spacing w:after="0"/>
      </w:pPr>
      <w:r>
        <w:rPr>
          <w:sz w:val="2"/>
        </w:rPr>
        <w:t xml:space="preserve"> </w:t>
      </w:r>
    </w:p>
    <w:p>
      <w:pPr>
        <w:spacing w:before="44" w:after="10"/>
      </w:pPr>
      <w:r>
        <w:rPr>
          <w:b/>
          <w:bCs/>
          <w:color w:val="353A7C"/>
          <w:sz w:val="18"/>
          <w:szCs w:val="18"/>
        </w:rPr>
        <w:t xml:space="preserve">Cash flow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 paid   ·   operating activities   ·   Interest paid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statement of cash flows   ·   operating activities</w:t>
            </w:r>
          </w:p>
        </w:tc>
      </w:tr>
    </w:tbl>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Limitations and links between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Income statement items, 2026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impossible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Proceeds from sale of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Purchases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Operating (U.S. GAAP gives no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mislead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disclosures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Dividend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digital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definition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change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flows are harder to manage than profits, but not impossible. A company can raise operating cash near year-end by delaying payments to suppliers or by selling receivables. The statement also shows only one year, and it is not a measure of profit. Important noncash deals, such as buying a building with a mortgage, appear only in the notes. Some classifications are also arbitrary: interest paid is operating under U.S. GAAP but may be financing under IFRS, which makes companies harder to compare. Finally, one year of cash flows can mislead. A company that stops investing will show strong cash flow for a while, even if its future is weak. The links also help you find amounts that are not given. Orontes declared dividends of $450,000, but dividends payable rose by $400,000, so dividends paid were only $50,000. That is the amount in the financing section.</w:t>
      </w:r>
    </w:p>
    <w:p>
      <w:pPr>
        <w:spacing w:before="20" w:after="20"/>
        <w:ind w:left="240" w:hanging="240"/>
      </w:pPr>
      <w:r>
        <w:rPr>
          <w:b/>
          <w:bCs/>
          <w:color w:val="353A7C"/>
          <w:sz w:val="15"/>
          <w:szCs w:val="15"/>
        </w:rPr>
        <w:t xml:space="preserve">Summary 2   </w:t>
      </w:r>
      <w:r>
        <w:rPr>
          <w:color w:val="6B7280"/>
          <w:sz w:val="15"/>
          <w:szCs w:val="15"/>
        </w:rPr>
        <w:t xml:space="preserve">In August 2026 the FASB proposed new disclosures about the parts of cash equivalents and about some digital assets. It is only a proposal; the definition of cash equivalents does not change. ASU 2023-09 already requires income taxes paid by jurisdiction; know this at awareness level.</w:t>
      </w:r>
    </w:p>
    <w:p>
      <w:pPr>
        <w:sectPr>
          <w:headerReference w:type="default" r:id="rIdHdr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Recognizing and measuring receivables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allowance for credit losses   ·   Recognizing and measuring receivables   ·   Transferring receivables: sale or secured borr</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company records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receivable when its right to be paid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the passage of time is needed before payment is due. </w:t>
      </w:r>
      <w:r>
        <w:rPr>
          <w:sz w:val="19"/>
          <w:szCs w:val="19"/>
        </w:rPr>
        <w:t xml:space="preserve">This usually happens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goods or services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control. </w:t>
      </w:r>
      <w:r>
        <w:rPr>
          <w:sz w:val="19"/>
          <w:szCs w:val="19"/>
        </w:rPr>
        <w:t xml:space="preserve">If the company still has to do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else before it can bill, for example finish a second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has a contract asset, not a receivable. </w:t>
      </w:r>
      <w:r>
        <w:rPr>
          <w:sz w:val="19"/>
          <w:szCs w:val="19"/>
        </w:rPr>
        <w:t xml:space="preserve">The receivable is measured 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price: the amount the company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receive. </w:t>
      </w:r>
      <w:r>
        <w:rPr>
          <w:sz w:val="19"/>
          <w:szCs w:val="19"/>
        </w:rPr>
        <w:t xml:space="preserve">Expected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rebates and cash discount amounts are variable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so they reduce revenue and the receivable. </w:t>
      </w:r>
      <w:r>
        <w:rPr>
          <w:sz w:val="19"/>
          <w:szCs w:val="19"/>
        </w:rPr>
        <w:t xml:space="preserve">Some older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still use the gross and net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Under the gross method, the company records the full invoice and records a sales discount only when a customer pays early. </w:t>
      </w:r>
      <w:r>
        <w:rPr>
          <w:sz w:val="19"/>
          <w:szCs w:val="19"/>
        </w:rPr>
        <w:t xml:space="preserve">Under the net method, it records the sale net of the discount, and records sales discounts forfeited when a customer pays late.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transfers   ·   unconditional   ·   transaction   ·   expects   ·   delivers   ·   something   ·   returns   ·   methods   ·   delivery   ·   questions   ·   account   ·   write-off   ·   consideration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Trade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are due within one year are not discounted to present value. </w:t>
      </w:r>
      <w:r>
        <w:rPr>
          <w:sz w:val="19"/>
          <w:szCs w:val="19"/>
        </w:rPr>
        <w:t xml:space="preserve">Notes receivable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note is carried at its face amount plus accrued interest. </w:t>
      </w:r>
      <w:r>
        <w:rPr>
          <w:sz w:val="19"/>
          <w:szCs w:val="19"/>
        </w:rPr>
        <w:t xml:space="preserve">A note with no interest, or with a rate below the market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at its present value. </w:t>
      </w:r>
      <w:r>
        <w:rPr>
          <w:sz w:val="19"/>
          <w:szCs w:val="19"/>
        </w:rPr>
        <w:t xml:space="preserve">The discount is then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to interest revenue over the life of the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recorded   ·   amortized   ·   invoice   ·   receivables   ·   interest-bearing   ·   different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Receivable or contract asset?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Receivable: only time must pass before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asset: the company must still perform. </w:t>
      </w:r>
      <w:r>
        <w:rPr>
          <w:sz w:val="19"/>
          <w:szCs w:val="19"/>
        </w:rPr>
        <w:t xml:space="preserve">Expected cash discounts and returns reduce the receivable at the start, not only when they happen.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transaction   ·   payment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notes receivable   ·   secured borrowing   ·   contract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cash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تعجيل الدفع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notes receivable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القبض</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amortized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المستنفدة (التكلفة المطفأة)</w:t>
            </w:r>
          </w:p>
        </w:tc>
      </w:tr>
    </w:tbl>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Recognizing and measuring receivables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Recognizing and measuring 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Transferring receivables: sale or secured borr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unconditional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interest-bearing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consideration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records an account receivable when its right to be paid is unconditional: only the passage of time is needed before payment is due. This usually happens when it delivers the goods or services and transfers control. If the company still has to do something else before it can bill, for example finish a second delivery, it has a contract asset, not a receivable. The receivable is measured at the transaction price: the amount the company expects to receive. Expected returns, rebates and cash discount amounts are variable consideration, so they reduce revenue and the receivable. Some older questions still use the gross and net methods. Under the gross method, the company records the full invoice and records a sales discount only when a customer pays early. Under the net method, it records the sale net of the discount, and records sales discounts forfeited when a customer pays late.</w:t>
      </w:r>
    </w:p>
    <w:p>
      <w:pPr>
        <w:spacing w:before="20" w:after="20"/>
        <w:ind w:left="240" w:hanging="240"/>
      </w:pPr>
      <w:r>
        <w:rPr>
          <w:b/>
          <w:bCs/>
          <w:color w:val="353A7C"/>
          <w:sz w:val="15"/>
          <w:szCs w:val="15"/>
        </w:rPr>
        <w:t xml:space="preserve">Summary 2   </w:t>
      </w:r>
      <w:r>
        <w:rPr>
          <w:color w:val="6B7280"/>
          <w:sz w:val="15"/>
          <w:szCs w:val="15"/>
        </w:rPr>
        <w:t xml:space="preserve">Trade receivables that are due within one year are not discounted to present value. Notes receivable are different. An interest-bearing note is carried at its face amount plus accrued interest. A note with no interest, or with a rate below the market rate, is recorded at its present value. The discount is then amortized to interest revenue over the life of the note.</w:t>
      </w:r>
    </w:p>
    <w:p>
      <w:pPr>
        <w:spacing w:before="20" w:after="20"/>
        <w:ind w:left="240" w:hanging="240"/>
      </w:pPr>
      <w:r>
        <w:rPr>
          <w:b/>
          <w:bCs/>
          <w:color w:val="353A7C"/>
          <w:sz w:val="15"/>
          <w:szCs w:val="15"/>
        </w:rPr>
        <w:t xml:space="preserve">Summary 3   </w:t>
      </w:r>
      <w:r>
        <w:rPr>
          <w:color w:val="6B7280"/>
          <w:sz w:val="15"/>
          <w:szCs w:val="15"/>
        </w:rPr>
        <w:t xml:space="preserve">Receivable: only time must pass before payment. Contract asset: the company must still perform. Expected cash discounts and returns reduce the receivable at the start, not only when they happen.</w:t>
      </w:r>
    </w:p>
    <w:p>
      <w:pPr>
        <w:sectPr>
          <w:headerReference w:type="default" r:id="rIdHdr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allowance for credit losses</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Under current expected credit losses (CECL),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receivables net of an allowance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 the credit losses it expects over their life.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expected losses from the first day. </w:t>
      </w:r>
      <w:r>
        <w:rPr>
          <w:sz w:val="19"/>
          <w:szCs w:val="19"/>
        </w:rPr>
        <w:t xml:space="preserve">It does not wait until a loss becomes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estimate uses past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current conditions and reasonable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forecasts. </w:t>
      </w:r>
      <w:r>
        <w:rPr>
          <w:sz w:val="19"/>
          <w:szCs w:val="19"/>
        </w:rPr>
        <w:t xml:space="preserve">Trade receivables are measured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and the allowance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account. </w:t>
      </w:r>
      <w:r>
        <w:rPr>
          <w:sz w:val="19"/>
          <w:szCs w:val="19"/>
        </w:rPr>
        <w:t xml:space="preserve">The balance sheet shows receivables minus the allowance: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expects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method is the aging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company groups its receivables by how long they are past due and applies an expected loss rate to each group. </w:t>
      </w:r>
      <w:r>
        <w:rPr>
          <w:sz w:val="19"/>
          <w:szCs w:val="19"/>
        </w:rPr>
        <w:t xml:space="preserve">The rates start from history and are adjusted for current conditions and forecasts. </w:t>
      </w:r>
      <w:r>
        <w:rPr>
          <w:sz w:val="19"/>
          <w:szCs w:val="19"/>
        </w:rPr>
        <w:t xml:space="preserve">The total is the balance the allowance must have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experience   ·   supportable   ·   covers   ·   records   ·   collect   ·   expected   ·   common   ·   schedule   ·   presents   ·   amortized   ·   amount   ·   probable   ·   contra-asset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sales office at December 31, 2025</w:t>
            </w:r>
          </w:p>
        </w:tc>
      </w:tr>
    </w:tbl>
    <w:p/>
    <w:p>
      <w:pPr>
        <w:spacing w:before="44" w:after="10"/>
      </w:pPr>
      <w:r>
        <w:rPr>
          <w:b/>
          <w:bCs/>
          <w:color w:val="353A7C"/>
          <w:sz w:val="18"/>
          <w:szCs w:val="18"/>
        </w:rPr>
        <w:t xml:space="preserve">Aging schedule, Orontes Amman sales office, December 31, 2025 (whole USD)</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8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2482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 90 days past due   ·   61–90 days past due   ·   holdback (due from factor)</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15–26</w:t>
      </w:r>
    </w:p>
    <w:p>
      <w:pPr>
        <w:spacing w:before="20" w:after="20" w:line="360" w:lineRule="auto"/>
        <w:ind w:left="200"/>
      </w:pPr>
      <w:r>
        <w:rPr>
          <w:sz w:val="19"/>
          <w:szCs w:val="19"/>
        </w:rPr>
        <w:t xml:space="preserve">The allowance must end the year at $34,000. </w:t>
      </w:r>
      <w:r>
        <w:rPr>
          <w:sz w:val="19"/>
          <w:szCs w:val="19"/>
        </w:rPr>
        <w:t xml:space="preserve">During the year, the allowance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at $30,000, Orontes wrote off $26,000 of bad receivables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$2,000 that it had written off earlier.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entry is: debit Credit loss expense $28,000, credit Allowance for credit losses $28,000. </w:t>
      </w:r>
      <w:r>
        <w:rPr>
          <w:sz w:val="19"/>
          <w:szCs w:val="19"/>
        </w:rPr>
        <w:t xml:space="preserve">Net receivables on the balance sheet are $660,000 − $34,000 = $626,000. </w:t>
      </w:r>
      <w:r>
        <w:rPr>
          <w:sz w:val="19"/>
          <w:szCs w:val="19"/>
        </w:rPr>
        <w:t xml:space="preserve">When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balance is clearly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company records a write-off: debit the allowance and credit accounts receivable. </w:t>
      </w:r>
      <w:r>
        <w:rPr>
          <w:sz w:val="19"/>
          <w:szCs w:val="19"/>
        </w:rPr>
        <w:t xml:space="preserve">The write-off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neither net income nor net receivables, because the expense was already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when the allowance was built. </w:t>
      </w:r>
      <w:r>
        <w:rPr>
          <w:sz w:val="19"/>
          <w:szCs w:val="19"/>
        </w:rPr>
        <w:t xml:space="preserve">If the customer later pays, the company records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 first reinstates the receivable (debit accounts receivable, credit allowance) and then records the cash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Older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sometimes estimate the expense as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of credit sales. </w:t>
      </w:r>
      <w:r>
        <w:rPr>
          <w:sz w:val="19"/>
          <w:szCs w:val="19"/>
        </w:rPr>
        <w:t xml:space="preserve">This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approach does not measure the expected losses on the ending receivables, so under CECL the aging (balance-sheet) approach is the better choice.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recorded   ·   collection   ·   percentage   ·   customer's   ·   probable   ·   questions   ·   recovery   ·   income-statement   ·   recovered   ·   started   ·   uncollectible   ·   journal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 Wholesale's allowance</w:t>
            </w:r>
          </w:p>
        </w:tc>
      </w:tr>
    </w:tbl>
    <w:p/>
    <w:p>
      <w:pPr>
        <w:spacing w:before="44" w:after="14"/>
      </w:pPr>
      <w:r>
        <w:rPr>
          <w:b/>
          <w:bCs/>
          <w:color w:val="353A7C"/>
          <w:sz w:val="18"/>
          <w:szCs w:val="18"/>
        </w:rPr>
        <w:t xml:space="preserve">Summary 3</w:t>
      </w:r>
      <w:r>
        <w:rPr>
          <w:color w:val="6B7280"/>
          <w:sz w:val="16"/>
          <w:szCs w:val="16"/>
        </w:rPr>
        <w:t xml:space="preserve">      gaps 27–28</w:t>
      </w:r>
    </w:p>
    <w:p>
      <w:pPr>
        <w:spacing w:before="20" w:after="20" w:line="360" w:lineRule="auto"/>
        <w:ind w:left="200"/>
      </w:pPr>
      <w:r>
        <w:rPr>
          <w:sz w:val="19"/>
          <w:szCs w:val="19"/>
        </w:rPr>
        <w:t xml:space="preserve">The first row is done.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other rows and the total, then check your total against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trial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Barada's   ·   Complete   ·   financial</w:t>
            </w:r>
          </w:p>
        </w:tc>
      </w:tr>
    </w:tbl>
    <w:p/>
    <w:p>
      <w:pPr>
        <w:spacing w:before="44" w:after="10"/>
      </w:pPr>
      <w:r>
        <w:rPr>
          <w:b/>
          <w:bCs/>
          <w:color w:val="353A7C"/>
          <w:sz w:val="18"/>
          <w:szCs w:val="18"/>
        </w:rPr>
        <w:t xml:space="preserve">Barada Wholesale aging, December 31, 2025 (whole USD): complete the blanks</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1–60 days past due   ·   allowance for credit losses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30–40</w:t>
      </w:r>
    </w:p>
    <w:p>
      <w:pPr>
        <w:spacing w:before="20" w:after="20" w:line="360" w:lineRule="auto"/>
        <w:ind w:left="200"/>
      </w:pPr>
      <w:r>
        <w:rPr>
          <w:sz w:val="19"/>
          <w:szCs w:val="19"/>
        </w:rPr>
        <w:t xml:space="preserve">In 2025 the FASB added a practical expedient: when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losses on current receivables, any company may assume that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at the balance sheet date will not change. </w:t>
      </w:r>
      <w:r>
        <w:rPr>
          <w:sz w:val="19"/>
          <w:szCs w:val="19"/>
        </w:rPr>
        <w:t xml:space="preserve"/>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companies may also use cash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after year-end. </w:t>
      </w:r>
      <w:r>
        <w:rPr>
          <w:sz w:val="19"/>
          <w:szCs w:val="19"/>
        </w:rPr>
        <w:t xml:space="preserve">It applies to annual periods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after December 15, 2025, so under the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rule it is not yet tested on the CMA exam. </w:t>
      </w:r>
      <w:r>
        <w:rPr>
          <w:sz w:val="19"/>
          <w:szCs w:val="19"/>
        </w:rPr>
        <w:t xml:space="preserve">IFRS 9 also uses expected losses. </w:t>
      </w:r>
      <w:r>
        <w:rPr>
          <w:sz w:val="19"/>
          <w:szCs w:val="19"/>
        </w:rPr>
        <w:t xml:space="preserve">For trade receivables it uses a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approach that always records lifetime losses, often with a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matrix, which is very close to CECL. </w:t>
      </w:r>
      <w:r>
        <w:rPr>
          <w:sz w:val="19"/>
          <w:szCs w:val="19"/>
        </w:rPr>
        <w:t xml:space="preserve">For other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assets, IFRS 9 starts with 12-month expected losses and moves to lifetime losses only after credit risk increases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w:t>
      </w:r>
      <w:r>
        <w:rPr>
          <w:sz w:val="19"/>
          <w:szCs w:val="19"/>
        </w:rPr>
        <w:t xml:space="preserve">CECL records lifetime losses from day one for all assets at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year-end   ·   conditions   ·   collected   ·   significantly   ·   one-year   ·   forecasting   ·   provision   ·   simplified   ·   beginning   ·   amortized   ·   Private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Allowance or provision?</w:t>
            </w:r>
          </w:p>
        </w:tc>
      </w:tr>
    </w:tbl>
    <w:p/>
    <w:p>
      <w:pPr>
        <w:spacing w:before="44" w:after="14"/>
      </w:pPr>
      <w:r>
        <w:rPr>
          <w:b/>
          <w:bCs/>
          <w:color w:val="353A7C"/>
          <w:sz w:val="18"/>
          <w:szCs w:val="18"/>
        </w:rPr>
        <w:t xml:space="preserve">Summary 5</w:t>
      </w:r>
      <w:r>
        <w:rPr>
          <w:color w:val="6B7280"/>
          <w:sz w:val="16"/>
          <w:szCs w:val="16"/>
        </w:rPr>
        <w:t xml:space="preserve">      gaps 41–43</w:t>
      </w:r>
    </w:p>
    <w:p>
      <w:pPr>
        <w:spacing w:before="20" w:after="20" w:line="360" w:lineRule="auto"/>
        <w:ind w:left="200"/>
      </w:pPr>
      <w:r>
        <w:rPr>
          <w:sz w:val="19"/>
          <w:szCs w:val="19"/>
        </w:rPr>
        <w:t xml:space="preserve">An allowance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an asset. </w:t>
      </w:r>
      <w:r>
        <w:rPr>
          <w:sz w:val="19"/>
          <w:szCs w:val="19"/>
        </w:rPr>
        <w:t xml:space="preserve">A provision under IAS 37 is a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w:t>
      </w:r>
      <w:r>
        <w:rPr>
          <w:sz w:val="19"/>
          <w:szCs w:val="19"/>
        </w:rPr>
        <w:t xml:space="preserve">In a U.S. GAAP answer, always write allowance for credit losses, never provision for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debts or reserve for bad debts.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   reduces   ·   doubtful   ·   liability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 first, then the expense</w:t>
            </w:r>
          </w:p>
        </w:tc>
      </w:tr>
    </w:tbl>
    <w:p/>
    <w:p>
      <w:pPr>
        <w:spacing w:before="44" w:after="14"/>
      </w:pPr>
      <w:r>
        <w:rPr>
          <w:b/>
          <w:bCs/>
          <w:color w:val="353A7C"/>
          <w:sz w:val="18"/>
          <w:szCs w:val="18"/>
        </w:rPr>
        <w:t xml:space="preserve">Summary 6</w:t>
      </w:r>
      <w:r>
        <w:rPr>
          <w:color w:val="6B7280"/>
          <w:sz w:val="16"/>
          <w:szCs w:val="16"/>
        </w:rPr>
        <w:t xml:space="preserve">      gaps 44–46</w:t>
      </w:r>
    </w:p>
    <w:p>
      <w:pPr>
        <w:spacing w:before="20" w:after="20" w:line="360" w:lineRule="auto"/>
        <w:ind w:left="200"/>
      </w:pPr>
      <w:r>
        <w:rPr>
          <w:sz w:val="19"/>
          <w:szCs w:val="19"/>
        </w:rPr>
        <w:t xml:space="preserve">The aging gives the required ENDING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not the expense. </w:t>
      </w:r>
      <w:r>
        <w:rPr>
          <w:sz w:val="19"/>
          <w:szCs w:val="19"/>
        </w:rPr>
        <w:t xml:space="preserve">Expense = required balance − unadjusted </w:t>
      </w:r>
      <w:r>
        <w:rPr>
          <w:b/>
          <w:bCs/>
          <w:color w:val="8186EF"/>
          <w:sz w:val="15"/>
          <w:szCs w:val="15"/>
        </w:rPr>
        <w:t xml:space="preserve"> (45) </w:t>
      </w:r>
      <w:r>
        <w:rPr>
          <w:u w:val="single"/>
          <w:sz w:val="19"/>
          <w:szCs w:val="19"/>
        </w:rPr>
        <w:t xml:space="preserve">           </w:t>
      </w:r>
      <w:r>
        <w:rPr>
          <w:sz w:val="19"/>
          <w:szCs w:val="19"/>
        </w:rPr>
        <w:t xml:space="preserve"> </w:t>
      </w:r>
      <w:r>
        <w:rPr>
          <w:sz w:val="19"/>
          <w:szCs w:val="19"/>
        </w:rPr>
        <w:t xml:space="preserve"> balance, or required balance + unadjusted debit balance. </w:t>
      </w:r>
      <w:r>
        <w:rPr>
          <w:sz w:val="19"/>
          <w:szCs w:val="19"/>
        </w:rPr>
        <w:t xml:space="preserve">A </w:t>
      </w:r>
      <w:r>
        <w:rPr>
          <w:b/>
          <w:bCs/>
          <w:color w:val="8186EF"/>
          <w:sz w:val="15"/>
          <w:szCs w:val="15"/>
        </w:rPr>
        <w:t xml:space="preserve"> (46) </w:t>
      </w:r>
      <w:r>
        <w:rPr>
          <w:u w:val="single"/>
          <w:sz w:val="19"/>
          <w:szCs w:val="19"/>
        </w:rPr>
        <w:t xml:space="preserve">           </w:t>
      </w:r>
      <w:r>
        <w:rPr>
          <w:sz w:val="19"/>
          <w:szCs w:val="19"/>
        </w:rPr>
        <w:t xml:space="preserve"> </w:t>
      </w:r>
      <w:r>
        <w:rPr>
          <w:sz w:val="19"/>
          <w:szCs w:val="19"/>
        </w:rPr>
        <w:t xml:space="preserve"> does not change net income or net receivables.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approach   ·   credit   ·   write-off   ·   allowance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Allowance method (CECL) versus direct write-off method, Amman sales office 2025 (whole USD)</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Allowance method (CECL)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Direct write-off method</w:t>
            </w:r>
          </w:p>
        </w:tc>
      </w:tr>
      <w:tr>
        <w:tc>
          <w:tcPr>
            <w:tcW w:type="pct" w:w="2042"/>
            <w:tcMar>
              <w:top w:type="dxa" w:w="50"/>
              <w:left w:type="dxa" w:w="110"/>
              <w:bottom w:type="dxa" w:w="50"/>
              <w:right w:type="dxa" w:w="110"/>
            </w:tcMar>
          </w:tcPr>
          <w:p>
            <w:pPr>
              <w:spacing w:before="28" w:after="28"/>
            </w:pPr>
            <w:r>
              <w:rPr>
                <w:sz w:val="15"/>
                <w:szCs w:val="15"/>
              </w:rPr>
              <w:t xml:space="preserve">When is the expense recorded?</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(47)</w:t>
            </w:r>
          </w:p>
        </w:tc>
        <w:tc>
          <w:tcPr>
            <w:tcW w:type="pct" w:w="2200"/>
            <w:tcMar>
              <w:top w:type="dxa" w:w="50"/>
              <w:left w:type="dxa" w:w="110"/>
              <w:bottom w:type="dxa" w:w="50"/>
              <w:right w:type="dxa" w:w="110"/>
            </w:tcMar>
          </w:tcPr>
          <w:p>
            <w:pPr>
              <w:spacing w:before="28" w:after="28"/>
            </w:pPr>
            <w:r>
              <w:rPr>
                <w:sz w:val="15"/>
                <w:szCs w:val="15"/>
              </w:rPr>
              <w:t xml:space="preserve">Only when a customer's balance is written off</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Expense in 2025 (Amman office)</w:t>
            </w:r>
          </w:p>
        </w:tc>
        <w:tc>
          <w:tcPr>
            <w:tcW w:type="pct" w:w="758"/>
            <w:shd w:fill="FBFAF6" w:val="clear"/>
            <w:tcMar>
              <w:top w:type="dxa" w:w="50"/>
              <w:left w:type="dxa" w:w="110"/>
              <w:bottom w:type="dxa" w:w="50"/>
              <w:right w:type="dxa" w:w="110"/>
            </w:tcMar>
          </w:tcPr>
          <w:p>
            <w:pPr>
              <w:spacing w:before="28" w:after="28"/>
            </w:pPr>
            <w:r>
              <w:rPr>
                <w:sz w:val="15"/>
                <w:szCs w:val="15"/>
              </w:rPr>
              <w:t xml:space="preserve">28,000</w:t>
            </w:r>
          </w:p>
        </w:tc>
        <w:tc>
          <w:tcPr>
            <w:tcW w:type="pct" w:w="2200"/>
            <w:shd w:fill="FBFAF6" w:val="clear"/>
            <w:tcMar>
              <w:top w:type="dxa" w:w="50"/>
              <w:left w:type="dxa" w:w="110"/>
              <w:bottom w:type="dxa" w:w="50"/>
              <w:right w:type="dxa" w:w="110"/>
            </w:tcMar>
          </w:tcPr>
          <w:p>
            <w:pPr>
              <w:spacing w:before="28" w:after="28"/>
            </w:pPr>
            <w:r>
              <w:rPr>
                <w:sz w:val="15"/>
                <w:szCs w:val="15"/>
              </w:rPr>
              <w:t xml:space="preserve">26,000</w:t>
            </w:r>
          </w:p>
        </w:tc>
      </w:tr>
      <w:tr>
        <w:tc>
          <w:tcPr>
            <w:tcW w:type="pct" w:w="2042"/>
            <w:tcMar>
              <w:top w:type="dxa" w:w="50"/>
              <w:left w:type="dxa" w:w="110"/>
              <w:bottom w:type="dxa" w:w="50"/>
              <w:right w:type="dxa" w:w="110"/>
            </w:tcMar>
          </w:tcPr>
          <w:p>
            <w:pPr>
              <w:spacing w:before="28" w:after="28"/>
            </w:pPr>
            <w:r>
              <w:rPr>
                <w:sz w:val="15"/>
                <w:szCs w:val="15"/>
              </w:rPr>
              <w:t xml:space="preserve">Receivables on the balance sheet</w:t>
            </w:r>
          </w:p>
        </w:tc>
        <w:tc>
          <w:tcPr>
            <w:tcW w:type="pct" w:w="758"/>
            <w:tcMar>
              <w:top w:type="dxa" w:w="50"/>
              <w:left w:type="dxa" w:w="110"/>
              <w:bottom w:type="dxa" w:w="50"/>
              <w:right w:type="dxa" w:w="110"/>
            </w:tcMar>
          </w:tcPr>
          <w:p>
            <w:pPr>
              <w:spacing w:before="28" w:after="28"/>
            </w:pPr>
            <w:r>
              <w:rPr>
                <w:sz w:val="15"/>
                <w:szCs w:val="15"/>
              </w:rPr>
              <w:t xml:space="preserve">Net: 626,000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Acceptable under U.S. GAAP?</w:t>
            </w:r>
          </w:p>
        </w:tc>
        <w:tc>
          <w:tcPr>
            <w:tcW w:type="pct" w:w="758"/>
            <w:shd w:fill="FBFAF6" w:val="clear"/>
            <w:tcMar>
              <w:top w:type="dxa" w:w="50"/>
              <w:left w:type="dxa" w:w="110"/>
              <w:bottom w:type="dxa" w:w="50"/>
              <w:right w:type="dxa" w:w="110"/>
            </w:tcMar>
          </w:tcPr>
          <w:p>
            <w:pPr>
              <w:spacing w:before="28" w:after="28"/>
            </w:pPr>
            <w:r>
              <w:rPr>
                <w:sz w:val="15"/>
                <w:szCs w:val="15"/>
              </w:rPr>
              <w:t xml:space="preserve">Yes (CECL)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Each period, for expected losses (matching)   ·   Over 60 days past due   ·   Gross: 660,000 (overstated)   ·   No, when bad debts are material; used for U.S. tax</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expected credit losses (CECL)   ·   aging schedule   ·   write-off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current expected credit losses (CECL)</w:t>
            </w:r>
          </w:p>
        </w:tc>
        <w:tc>
          <w:tcPr>
            <w:tcW w:type="pct" w:w="2507"/>
            <w:tcMar>
              <w:top w:type="dxa" w:w="50"/>
              <w:left w:type="dxa" w:w="110"/>
              <w:bottom w:type="dxa" w:w="50"/>
              <w:right w:type="dxa" w:w="110"/>
            </w:tcMar>
          </w:tcPr>
          <w:p>
            <w:pPr>
              <w:spacing w:before="26" w:after="26"/>
            </w:pPr>
            <w:r>
              <w:rPr>
                <w:color w:val="232733"/>
                <w:sz w:val="16"/>
                <w:szCs w:val="16"/>
              </w:rPr>
              <w:t xml:space="preserve">الخسائر الائتمانية المتوقعة الحالية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aging schedule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جدول أعمار الذمم المدينة</w:t>
            </w:r>
          </w:p>
        </w:tc>
      </w:tr>
      <w:tr>
        <w:tc>
          <w:tcPr>
            <w:tcW w:type="pct" w:w="2493"/>
            <w:tcMar>
              <w:top w:type="dxa" w:w="50"/>
              <w:left w:type="dxa" w:w="110"/>
              <w:bottom w:type="dxa" w:w="50"/>
              <w:right w:type="dxa" w:w="110"/>
            </w:tcMar>
          </w:tcPr>
          <w:p>
            <w:pPr>
              <w:spacing w:before="26" w:after="26"/>
            </w:pPr>
            <w:r>
              <w:rPr>
                <w:color w:val="232733"/>
                <w:sz w:val="16"/>
                <w:szCs w:val="16"/>
              </w:rPr>
              <w:t xml:space="preserve">credit loss expense</w:t>
            </w:r>
          </w:p>
        </w:tc>
        <w:tc>
          <w:tcPr>
            <w:tcW w:type="pct" w:w="2507"/>
            <w:tcMar>
              <w:top w:type="dxa" w:w="50"/>
              <w:left w:type="dxa" w:w="110"/>
              <w:bottom w:type="dxa" w:w="50"/>
              <w:right w:type="dxa" w:w="110"/>
            </w:tcMar>
          </w:tcPr>
          <w:p>
            <w:pPr>
              <w:spacing w:before="26" w:after="26"/>
            </w:pPr>
            <w:r>
              <w:rPr>
                <w:color w:val="232733"/>
                <w:sz w:val="16"/>
                <w:szCs w:val="16"/>
              </w:rPr>
              <w:t xml:space="preserve">مصروف الخسائر الائتمانية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write-off</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شطب (إعدام) الدين</w:t>
            </w:r>
          </w:p>
        </w:tc>
      </w:tr>
      <w:tr>
        <w:tc>
          <w:tcPr>
            <w:tcW w:type="pct" w:w="2493"/>
            <w:tcMar>
              <w:top w:type="dxa" w:w="50"/>
              <w:left w:type="dxa" w:w="110"/>
              <w:bottom w:type="dxa" w:w="50"/>
              <w:right w:type="dxa" w:w="110"/>
            </w:tcMar>
          </w:tcPr>
          <w:p>
            <w:pPr>
              <w:spacing w:before="26" w:after="26"/>
            </w:pPr>
            <w:r>
              <w:rPr>
                <w:color w:val="232733"/>
                <w:sz w:val="16"/>
                <w:szCs w:val="16"/>
              </w:rPr>
              <w:t xml:space="preserve">recovery</w:t>
            </w:r>
          </w:p>
        </w:tc>
        <w:tc>
          <w:tcPr>
            <w:tcW w:type="pct" w:w="2507"/>
            <w:tcMar>
              <w:top w:type="dxa" w:w="50"/>
              <w:left w:type="dxa" w:w="110"/>
              <w:bottom w:type="dxa" w:w="50"/>
              <w:right w:type="dxa" w:w="110"/>
            </w:tcMar>
          </w:tcPr>
          <w:p>
            <w:pPr>
              <w:spacing w:before="26" w:after="26"/>
            </w:pPr>
            <w:r>
              <w:rPr>
                <w:color w:val="232733"/>
                <w:sz w:val="16"/>
                <w:szCs w:val="16"/>
              </w:rPr>
              <w:t xml:space="preserve">استرداد دين مشطوب</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direct write-off method</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طريقة الشطب المباشر</w:t>
            </w:r>
          </w:p>
        </w:tc>
      </w:tr>
    </w:tbl>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allowance for credit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presents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forecasting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experience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supportable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Private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contra-asset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collect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simplified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schedule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61–90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significantly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 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recovered</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doubtful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allowance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uncollectible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Each period, for expected losses (matching)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recovery</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Gross: 660,000 (overstated)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collection</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No, when bad debts are material; used for U.S.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current expected credit losses (CECL)</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aging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income-statement</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write-off</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 Trade receivables are measured at amortized cost, and the allowance is a contra-asset account. The balance sheet shows receivables minus the allowance: the amount the company expects to collect. A common method is the aging schedule. The company groups its receivables by how long they are past due and applies an expected loss rate to each group. The rates start from history and are adjusted for current conditions and forecasts. The total is the balance the allowance must have at the end of the year.</w:t>
      </w:r>
    </w:p>
    <w:p>
      <w:pPr>
        <w:spacing w:before="20" w:after="20"/>
        <w:ind w:left="240" w:hanging="240"/>
      </w:pPr>
      <w:r>
        <w:rPr>
          <w:b/>
          <w:bCs/>
          <w:color w:val="353A7C"/>
          <w:sz w:val="15"/>
          <w:szCs w:val="15"/>
        </w:rPr>
        <w:t xml:space="preserve">Summary 2   </w:t>
      </w:r>
      <w:r>
        <w:rPr>
          <w:color w:val="6B7280"/>
          <w:sz w:val="15"/>
          <w:szCs w:val="15"/>
        </w:rPr>
        <w:t xml:space="preserve">The allowance must end the year at $34,000. During the year, the allowance started at $30,000, Orontes wrote off $26,000 of bad receivables and recovered $2,000 that it had written off earlier. The journal entry is: debit Credit loss expense $28,000, credit Allowance for credit losses $28,000. Net receivables on the balance sheet are $660,000 − $34,000 = $626,000. When a customer's balance is clearly uncollectible, the company records a write-off: debit the allowance and credit accounts receivable.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 Older questions sometimes estimate the expense as a percentage of credit sales. This income-statement approach does not measure the expected losses on the ending receivables, so under CECL the aging (balance-sheet) approach is the better choice.</w:t>
      </w:r>
    </w:p>
    <w:p>
      <w:pPr>
        <w:spacing w:before="20" w:after="20"/>
        <w:ind w:left="240" w:hanging="240"/>
      </w:pPr>
      <w:r>
        <w:rPr>
          <w:b/>
          <w:bCs/>
          <w:color w:val="353A7C"/>
          <w:sz w:val="15"/>
          <w:szCs w:val="15"/>
        </w:rPr>
        <w:t xml:space="preserve">Summary 3   </w:t>
      </w:r>
      <w:r>
        <w:rPr>
          <w:color w:val="6B7280"/>
          <w:sz w:val="15"/>
          <w:szCs w:val="15"/>
        </w:rPr>
        <w:t xml:space="preserve">The first row is done. Complete the other rows and the total, then check your total against Barada's trial balance.</w:t>
      </w:r>
    </w:p>
    <w:p>
      <w:pPr>
        <w:spacing w:before="20" w:after="20"/>
        <w:ind w:left="240" w:hanging="240"/>
      </w:pPr>
      <w:r>
        <w:rPr>
          <w:b/>
          <w:bCs/>
          <w:color w:val="353A7C"/>
          <w:sz w:val="15"/>
          <w:szCs w:val="15"/>
        </w:rPr>
        <w:t xml:space="preserve">Summary 4   </w:t>
      </w:r>
      <w:r>
        <w:rPr>
          <w:color w:val="6B7280"/>
          <w:sz w:val="15"/>
          <w:szCs w:val="15"/>
        </w:rPr>
        <w:t xml:space="preserve">In 2025 the FASB added a practical expedient: when forecasting losses on current receivables, any company may assume that conditions at the balance sheet date will not change. Private companies may also use cash collected after year-end. It applies to annual periods beginning after December 15, 2025, so under the one-year rule it is not yet tested on the CMA exam. IFRS 9 also uses expected losses. For trade receivables it uses a simplified approach that always records lifetime losses, often with a provision matrix, which is very close to CECL. For other financial assets, IFRS 9 starts with 12-month expected losses and moves to lifetime losses only after credit risk increases significantly. CECL records lifetime losses from day one for all assets at amortized cost.</w:t>
      </w:r>
    </w:p>
    <w:p>
      <w:pPr>
        <w:spacing w:before="20" w:after="20"/>
        <w:ind w:left="240" w:hanging="240"/>
      </w:pPr>
      <w:r>
        <w:rPr>
          <w:b/>
          <w:bCs/>
          <w:color w:val="353A7C"/>
          <w:sz w:val="15"/>
          <w:szCs w:val="15"/>
        </w:rPr>
        <w:t xml:space="preserve">Summary 5   </w:t>
      </w:r>
      <w:r>
        <w:rPr>
          <w:color w:val="6B7280"/>
          <w:sz w:val="15"/>
          <w:szCs w:val="15"/>
        </w:rPr>
        <w:t xml:space="preserve">An allowance reduces an asset. A provision under IAS 37 is a liability. In a U.S. GAAP answer, always write allowance for credit losses, never provision for doubtful debts or reserve for bad debts.</w:t>
      </w:r>
    </w:p>
    <w:p>
      <w:pPr>
        <w:spacing w:before="20" w:after="20"/>
        <w:ind w:left="240" w:hanging="240"/>
      </w:pPr>
      <w:r>
        <w:rPr>
          <w:b/>
          <w:bCs/>
          <w:color w:val="353A7C"/>
          <w:sz w:val="15"/>
          <w:szCs w:val="15"/>
        </w:rPr>
        <w:t xml:space="preserve">Summary 6   </w:t>
      </w:r>
      <w:r>
        <w:rPr>
          <w:color w:val="6B7280"/>
          <w:sz w:val="15"/>
          <w:szCs w:val="15"/>
        </w:rPr>
        <w:t xml:space="preserve">The aging gives the required ENDING allowance, not the expense. Expense = required balance − unadjusted credit balance, or required balance + unadjusted debit balance. A write-off does not change net income or net receivables.</w:t>
      </w:r>
    </w:p>
    <w:p>
      <w:pPr>
        <w:sectPr>
          <w:headerReference w:type="default" r:id="rIdHdr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Transferring receivables: sale or secured borrowing?</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U.S. GAAP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transfer as a sale only if three conditions are all met. </w:t>
      </w:r>
      <w:r>
        <w:rPr>
          <w:sz w:val="19"/>
          <w:szCs w:val="19"/>
        </w:rPr>
        <w:t xml:space="preserve">Recourse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right to collect from the seller if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do not pay. </w:t>
      </w:r>
      <w:r>
        <w:rPr>
          <w:sz w:val="19"/>
          <w:szCs w:val="19"/>
        </w:rPr>
        <w:t xml:space="preserve">Recourse does not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make the transfer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the three conditions are met, a transfer with recourse is still a sale. </w:t>
      </w:r>
      <w:r>
        <w:rPr>
          <w:sz w:val="19"/>
          <w:szCs w:val="19"/>
        </w:rPr>
        <w:t xml:space="preserve">The seller then records a recourse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its fair value, which increases the loss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liability   ·   itself   ·   customers   ·   treats   ·   factor's   ·   borrowing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factors its receivables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legal isolation   ·   the seller does not keep effective control   ·   credit loss expense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Orontes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receivables with a carrying amount of $500,000 to Gulf Factor Co. The factor charges a fee of 3% ($15,000) and keeps a holdback (due from factor) of 5% ($25,000) to cover returns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$460,000 in cash. </w:t>
      </w:r>
      <w:r>
        <w:rPr>
          <w:sz w:val="19"/>
          <w:szCs w:val="19"/>
        </w:rPr>
        <w:t xml:space="preserve">Sale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recourse: debit Cash $460,000, debit Due from factor $25,000, debit Loss on sale of receivables $15,000; credit Accounts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$500,000. </w:t>
      </w:r>
      <w:r>
        <w:rPr>
          <w:sz w:val="19"/>
          <w:szCs w:val="19"/>
        </w:rPr>
        <w:t xml:space="preserve">Sale with recourse (recourse liability $6,000): the same entry, but the loss is $21,000 and Orontes also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Recourse liability $6,000. </w:t>
      </w:r>
      <w:r>
        <w:rPr>
          <w:sz w:val="19"/>
          <w:szCs w:val="19"/>
        </w:rPr>
        <w:t xml:space="preserve">Secured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debit Cash $460,000, debit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expense $15,000; credit Liability to factor $475,000. </w:t>
      </w:r>
      <w:r>
        <w:rPr>
          <w:sz w:val="19"/>
          <w:szCs w:val="19"/>
        </w:rPr>
        <w:t xml:space="preserve">The receivables stay on the balance sheet, marked as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balance sheet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the main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companies care. </w:t>
      </w:r>
      <w:r>
        <w:rPr>
          <w:sz w:val="19"/>
          <w:szCs w:val="19"/>
        </w:rPr>
        <w:t xml:space="preserve">A sale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receivables and adds little or no debt, so ratios such as debt to equity look better.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pledged   ·   receivable   ·   records   ·   credits   ·   receives   ·   effect   ·   borrowing   ·   Interest   ·   removes   ·   transfers   ·   reason   ·   discounts   ·   without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21–27</w:t>
      </w:r>
    </w:p>
    <w:p>
      <w:pPr>
        <w:spacing w:before="20" w:after="20" w:line="360" w:lineRule="auto"/>
        <w:ind w:left="200"/>
      </w:pPr>
      <w:r>
        <w:rPr>
          <w:sz w:val="19"/>
          <w:szCs w:val="19"/>
        </w:rPr>
        <w:t xml:space="preserve">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borrowing keeps the receivables and adds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Lenders and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read the notes to see which receivables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or transferred. </w:t>
      </w:r>
      <w:r>
        <w:rPr>
          <w:sz w:val="19"/>
          <w:szCs w:val="19"/>
        </w:rPr>
        <w:t xml:space="preserve">IFRS 9 asks first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seller has transferred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all the risks and rewards of the receivables.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with substantial recourse usually keeps most of the risk with the seller, so under IFRS it often fails derecognition and is treated as borrowing. </w:t>
      </w:r>
      <w:r>
        <w:rPr>
          <w:sz w:val="19"/>
          <w:szCs w:val="19"/>
        </w:rPr>
        <w:t xml:space="preserve">Under U.S. GAAP the same transfer may qualify as a sale if the three ASC 860 conditions are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analysts   ·   substantially   ·   whether   ·   Lenders   ·   liability   ·   Factoring   ·   pledged   ·   secured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Recourse is not the test</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Do not assume that every transfer with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is a borrowing. </w:t>
      </w:r>
      <w:r>
        <w:rPr>
          <w:sz w:val="19"/>
          <w:szCs w:val="19"/>
        </w:rPr>
        <w:t xml:space="preserve">Apply the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The holdback is an asset (due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not part of the loss. </w:t>
      </w:r>
      <w:r>
        <w:rPr>
          <w:sz w:val="19"/>
          <w:szCs w:val="19"/>
        </w:rPr>
        <w:t xml:space="preserve">Pledged receivables stay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treated   ·   recourse   ·   conditions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Recourse is not the test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Details (whole USD)</w:t>
            </w:r>
          </w:p>
        </w:tc>
      </w:tr>
      <w:tr>
        <w:tc>
          <w:tcPr>
            <w:tcW w:type="pct" w:w="2400"/>
            <w:tcMar>
              <w:top w:type="dxa" w:w="50"/>
              <w:left w:type="dxa" w:w="110"/>
              <w:bottom w:type="dxa" w:w="50"/>
              <w:right w:type="dxa" w:w="110"/>
            </w:tcMar>
          </w:tcPr>
          <w:p>
            <w:pPr>
              <w:spacing w:before="28" w:after="28"/>
            </w:pPr>
            <w:r>
              <w:rPr>
                <w:sz w:val="15"/>
                <w:szCs w:val="15"/>
              </w:rPr>
              <w:t xml:space="preserve">Aging</w:t>
            </w:r>
          </w:p>
        </w:tc>
        <w:tc>
          <w:tcPr>
            <w:tcW w:type="pct" w:w="2600"/>
            <w:tcMar>
              <w:top w:type="dxa" w:w="50"/>
              <w:left w:type="dxa" w:w="110"/>
              <w:bottom w:type="dxa" w:w="50"/>
              <w:right w:type="dxa" w:w="110"/>
            </w:tcMar>
          </w:tcPr>
          <w:p>
            <w:pPr>
              <w:spacing w:before="28" w:after="28"/>
            </w:pPr>
            <w:r>
              <w:rPr>
                <w:sz w:val="15"/>
                <w:szCs w:val="15"/>
              </w:rPr>
              <w:t xml:space="preserve">Current: 250,000 at an expected loss rate of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Aging</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90,000 at an expected loss rate of 10%</w:t>
            </w:r>
          </w:p>
        </w:tc>
      </w:tr>
      <w:tr>
        <w:tc>
          <w:tcPr>
            <w:tcW w:type="pct" w:w="2400"/>
            <w:tcMar>
              <w:top w:type="dxa" w:w="50"/>
              <w:left w:type="dxa" w:w="110"/>
              <w:bottom w:type="dxa" w:w="50"/>
              <w:right w:type="dxa" w:w="110"/>
            </w:tcMar>
          </w:tcPr>
          <w:p>
            <w:pPr>
              <w:spacing w:before="28" w:after="28"/>
            </w:pPr>
            <w:r>
              <w:rPr>
                <w:sz w:val="15"/>
                <w:szCs w:val="15"/>
              </w:rPr>
              <w:t xml:space="preserve">Aging</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(32) </w:t>
            </w:r>
            <w:r>
              <w:rPr>
                <w:u w:val="single"/>
                <w:sz w:val="15"/>
                <w:szCs w:val="15"/>
              </w:rPr>
              <w:t xml:space="preserve">              </w:t>
            </w:r>
            <w:r>
              <w:rPr>
                <w:sz w:val="15"/>
                <w:szCs w:val="15"/>
              </w:rPr>
              <w:t xml:space="preserve"> </w:t>
            </w:r>
            <w:r>
              <w:rPr>
                <w:sz w:val="15"/>
                <w:szCs w:val="15"/>
              </w:rPr>
              <w:t xml:space="preserve">: 40,000 at an expected loss rate of 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Allowance account</w:t>
            </w:r>
          </w:p>
        </w:tc>
        <w:tc>
          <w:tcPr>
            <w:tcW w:type="pct" w:w="2600"/>
            <w:shd w:fill="FBFAF6" w:val="clear"/>
            <w:tcMar>
              <w:top w:type="dxa" w:w="50"/>
              <w:left w:type="dxa" w:w="110"/>
              <w:bottom w:type="dxa" w:w="50"/>
              <w:right w:type="dxa" w:w="110"/>
            </w:tcMar>
          </w:tcPr>
          <w:p>
            <w:pPr>
              <w:spacing w:before="28" w:after="28"/>
            </w:pPr>
            <w:r>
              <w:rPr>
                <w:sz w:val="15"/>
                <w:szCs w:val="15"/>
              </w:rPr>
              <w:t xml:space="preserve">Beginning balance 18,000 (credit). </w:t>
            </w:r>
            <w:r>
              <w:rPr>
                <w:b/>
                <w:bCs/>
                <w:color w:val="8186EF"/>
                <w:sz w:val="14"/>
                <w:szCs w:val="14"/>
              </w:rPr>
              <w:t xml:space="preserve"> (33) </w:t>
            </w:r>
            <w:r>
              <w:rPr>
                <w:u w:val="single"/>
                <w:sz w:val="15"/>
                <w:szCs w:val="15"/>
              </w:rPr>
              <w:t xml:space="preserve">              </w:t>
            </w:r>
            <w:r>
              <w:rPr>
                <w:sz w:val="15"/>
                <w:szCs w:val="15"/>
              </w:rPr>
              <w:t xml:space="preserve"> </w:t>
            </w:r>
            <w:r>
              <w:rPr>
                <w:sz w:val="15"/>
                <w:szCs w:val="15"/>
              </w:rPr>
              <w:t xml:space="preserve"> during 2025: 24,000. Recoveries: 1,000.</w:t>
            </w:r>
          </w:p>
        </w:tc>
      </w:tr>
      <w:tr>
        <w:tc>
          <w:tcPr>
            <w:tcW w:type="pct" w:w="2400"/>
            <w:tcMar>
              <w:top w:type="dxa" w:w="50"/>
              <w:left w:type="dxa" w:w="110"/>
              <w:bottom w:type="dxa" w:w="50"/>
              <w:right w:type="dxa" w:w="110"/>
            </w:tcMar>
          </w:tcPr>
          <w:p>
            <w:pPr>
              <w:spacing w:before="28" w:after="28"/>
            </w:pPr>
            <w:r>
              <w:rPr>
                <w:sz w:val="15"/>
                <w:szCs w:val="15"/>
              </w:rPr>
              <w:t xml:space="preserve">Transfer T1</w:t>
            </w:r>
          </w:p>
        </w:tc>
        <w:tc>
          <w:tcPr>
            <w:tcW w:type="pct" w:w="2600"/>
            <w:tcMar>
              <w:top w:type="dxa" w:w="50"/>
              <w:left w:type="dxa" w:w="110"/>
              <w:bottom w:type="dxa" w:w="50"/>
              <w:right w:type="dxa" w:w="110"/>
            </w:tcMar>
          </w:tcPr>
          <w:p>
            <w:pPr>
              <w:spacing w:before="28" w:after="28"/>
            </w:pPr>
            <w:r>
              <w:rPr>
                <w:sz w:val="15"/>
                <w:szCs w:val="15"/>
              </w:rPr>
              <w:t xml:space="preserve">Receivables sold to a factor without recourse. The factor may resell them. Orontes has no right or duty to buy them back.</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Transfer T2</w:t>
            </w:r>
          </w:p>
        </w:tc>
        <w:tc>
          <w:tcPr>
            <w:tcW w:type="pct" w:w="2600"/>
            <w:shd w:fill="FBFAF6" w:val="clear"/>
            <w:tcMar>
              <w:top w:type="dxa" w:w="50"/>
              <w:left w:type="dxa" w:w="110"/>
              <w:bottom w:type="dxa" w:w="50"/>
              <w:right w:type="dxa" w:w="110"/>
            </w:tcMar>
          </w:tcPr>
          <w:p>
            <w:pPr>
              <w:spacing w:before="28" w:after="28"/>
            </w:pPr>
            <w:r>
              <w:rPr>
                <w:sz w:val="15"/>
                <w:szCs w:val="15"/>
              </w:rPr>
              <w:t xml:space="preserve">Receivables transferred with recourse. They are legally isolated from Orontes, the factor may pledge them, and Orontes cannot buy them back.</w:t>
            </w:r>
          </w:p>
        </w:tc>
      </w:tr>
      <w:tr>
        <w:tc>
          <w:tcPr>
            <w:tcW w:type="pct" w:w="2400"/>
            <w:tcMar>
              <w:top w:type="dxa" w:w="50"/>
              <w:left w:type="dxa" w:w="110"/>
              <w:bottom w:type="dxa" w:w="50"/>
              <w:right w:type="dxa" w:w="110"/>
            </w:tcMar>
          </w:tcPr>
          <w:p>
            <w:pPr>
              <w:spacing w:before="28" w:after="28"/>
            </w:pPr>
            <w:r>
              <w:rPr>
                <w:sz w:val="15"/>
                <w:szCs w:val="15"/>
              </w:rPr>
              <w:t xml:space="preserve">Transfer T3</w:t>
            </w:r>
          </w:p>
        </w:tc>
        <w:tc>
          <w:tcPr>
            <w:tcW w:type="pct" w:w="2600"/>
            <w:tcMar>
              <w:top w:type="dxa" w:w="50"/>
              <w:left w:type="dxa" w:w="110"/>
              <w:bottom w:type="dxa" w:w="50"/>
              <w:right w:type="dxa" w:w="110"/>
            </w:tcMar>
          </w:tcPr>
          <w:p>
            <w:pPr>
              <w:spacing w:before="28" w:after="28"/>
            </w:pPr>
            <w:r>
              <w:rPr>
                <w:sz w:val="15"/>
                <w:szCs w:val="15"/>
              </w:rPr>
              <w:t xml:space="preserve">Receivables transferred to a bank, but Orontes must repurchase them before they mature.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Transfer T4</w:t>
            </w:r>
          </w:p>
        </w:tc>
        <w:tc>
          <w:tcPr>
            <w:tcW w:type="pct" w:w="2600"/>
            <w:shd w:fill="FBFAF6" w:val="clear"/>
            <w:tcMar>
              <w:top w:type="dxa" w:w="50"/>
              <w:left w:type="dxa" w:w="110"/>
              <w:bottom w:type="dxa" w:w="50"/>
              <w:right w:type="dxa" w:w="110"/>
            </w:tcMar>
          </w:tcPr>
          <w:p>
            <w:pPr>
              <w:spacing w:before="28" w:after="28"/>
            </w:pPr>
            <w:r>
              <w:rPr>
                <w:sz w:val="15"/>
                <w:szCs w:val="15"/>
              </w:rPr>
              <w:t xml:space="preserve">Receivables pledged as collateral for a bank loan; Orontes still collects them.</w:t>
            </w:r>
          </w:p>
        </w:tc>
      </w:tr>
      <w:tr>
        <w:tc>
          <w:tcPr>
            <w:tcW w:type="pct" w:w="2400"/>
            <w:tcMar>
              <w:top w:type="dxa" w:w="50"/>
              <w:left w:type="dxa" w:w="110"/>
              <w:bottom w:type="dxa" w:w="50"/>
              <w:right w:type="dxa" w:w="110"/>
            </w:tcMar>
          </w:tcPr>
          <w:p>
            <w:pPr>
              <w:spacing w:before="28" w:after="28"/>
            </w:pPr>
            <w:r>
              <w:rPr>
                <w:sz w:val="15"/>
                <w:szCs w:val="15"/>
              </w:rPr>
              <w:t xml:space="preserve">Transfer T2 details</w:t>
            </w:r>
          </w:p>
        </w:tc>
        <w:tc>
          <w:tcPr>
            <w:tcW w:type="pct" w:w="2600"/>
            <w:tcMar>
              <w:top w:type="dxa" w:w="50"/>
              <w:left w:type="dxa" w:w="110"/>
              <w:bottom w:type="dxa" w:w="50"/>
              <w:right w:type="dxa" w:w="110"/>
            </w:tcMar>
          </w:tcPr>
          <w:p>
            <w:pPr>
              <w:spacing w:before="28" w:after="28"/>
            </w:pPr>
            <w:r>
              <w:rPr>
                <w:sz w:val="15"/>
                <w:szCs w:val="15"/>
              </w:rPr>
              <w:t xml:space="preserve">Carrying amount 200,000; factor's fee 2%; holdback 4%; fair value of the recourse obligation 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Write-offs   ·   Over 60 days past due   ·   1–60 days past due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1–60 days past due</w:t>
            </w:r>
          </w:p>
        </w:tc>
        <w:tc>
          <w:tcPr>
            <w:tcW w:type="pct" w:w="2400"/>
            <w:tcMar>
              <w:top w:type="dxa" w:w="50"/>
              <w:left w:type="dxa" w:w="110"/>
              <w:bottom w:type="dxa" w:w="50"/>
              <w:right w:type="dxa" w:w="110"/>
            </w:tcMar>
          </w:tcPr>
          <w:p>
            <w:pPr>
              <w:spacing w:before="28" w:after="28"/>
            </w:pPr>
            <w:r>
              <w:rPr>
                <w:sz w:val="15"/>
                <w:szCs w:val="15"/>
              </w:rPr>
              <w:t xml:space="preserve">80,000 × 8% = 6,400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Over 60 days past due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600"/>
            <w:tcMar>
              <w:top w:type="dxa" w:w="50"/>
              <w:left w:type="dxa" w:w="110"/>
              <w:bottom w:type="dxa" w:w="50"/>
              <w:right w:type="dxa" w:w="110"/>
            </w:tcMar>
          </w:tcPr>
          <w:p>
            <w:pPr>
              <w:spacing w:before="28" w:after="28"/>
            </w:pPr>
            <w:r>
              <w:rPr>
                <w:sz w:val="15"/>
                <w:szCs w:val="15"/>
              </w:rPr>
              <w:t xml:space="preserve">Required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 × 25% = 10,000   ·   3,600 + 6,400 + 10,000 = 20,000   ·   current expected credit losses (CECL)</w:t>
            </w:r>
          </w:p>
        </w:tc>
      </w:tr>
    </w:tbl>
    <w:p/>
    <w:p>
      <w:pPr>
        <w:spacing w:before="44" w:after="10"/>
      </w:pPr>
      <w:r>
        <w:rPr>
          <w:b/>
          <w:bCs/>
          <w:color w:val="353A7C"/>
          <w:sz w:val="18"/>
          <w:szCs w:val="18"/>
        </w:rPr>
        <w:t xml:space="preserve">Transfer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factor   ·   T4</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   ·   aging schedule   ·   recourse liability   ·   secured borrowing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factoring</w:t>
            </w:r>
          </w:p>
        </w:tc>
        <w:tc>
          <w:tcPr>
            <w:tcW w:type="pct" w:w="2600"/>
            <w:tcMar>
              <w:top w:type="dxa" w:w="50"/>
              <w:left w:type="dxa" w:w="110"/>
              <w:bottom w:type="dxa" w:w="50"/>
              <w:right w:type="dxa" w:w="110"/>
            </w:tcMar>
          </w:tcPr>
          <w:p>
            <w:pPr>
              <w:spacing w:before="26" w:after="26"/>
            </w:pPr>
            <w:r>
              <w:rPr>
                <w:color w:val="232733"/>
                <w:sz w:val="16"/>
                <w:szCs w:val="16"/>
              </w:rPr>
              <w:t xml:space="preserve">تخصيم الذمم المدينة (بيع الديون)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factor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شركة التخصيم</w:t>
            </w:r>
          </w:p>
        </w:tc>
      </w:tr>
      <w:tr>
        <w:tc>
          <w:tcPr>
            <w:tcW w:type="pct" w:w="2400"/>
            <w:tcMar>
              <w:top w:type="dxa" w:w="50"/>
              <w:left w:type="dxa" w:w="110"/>
              <w:bottom w:type="dxa" w:w="50"/>
              <w:right w:type="dxa" w:w="110"/>
            </w:tcMar>
          </w:tcPr>
          <w:p>
            <w:pPr>
              <w:spacing w:before="26" w:after="26"/>
            </w:pPr>
            <w:r>
              <w:rPr>
                <w:color w:val="232733"/>
                <w:sz w:val="16"/>
                <w:szCs w:val="16"/>
              </w:rPr>
              <w:t xml:space="preserve">recourse</w:t>
            </w:r>
          </w:p>
        </w:tc>
        <w:tc>
          <w:tcPr>
            <w:tcW w:type="pct" w:w="2600"/>
            <w:tcMar>
              <w:top w:type="dxa" w:w="50"/>
              <w:left w:type="dxa" w:w="110"/>
              <w:bottom w:type="dxa" w:w="50"/>
              <w:right w:type="dxa" w:w="110"/>
            </w:tcMar>
          </w:tcPr>
          <w:p>
            <w:pPr>
              <w:spacing w:before="26" w:after="26"/>
            </w:pPr>
            <w:r>
              <w:rPr>
                <w:color w:val="232733"/>
                <w:sz w:val="16"/>
                <w:szCs w:val="16"/>
              </w:rPr>
              <w:t xml:space="preserve">حق الرجوع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recourse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حق الرجوع</w:t>
            </w:r>
          </w:p>
        </w:tc>
      </w:tr>
      <w:tr>
        <w:tc>
          <w:tcPr>
            <w:tcW w:type="pct" w:w="2400"/>
            <w:tcMar>
              <w:top w:type="dxa" w:w="50"/>
              <w:left w:type="dxa" w:w="110"/>
              <w:bottom w:type="dxa" w:w="50"/>
              <w:right w:type="dxa" w:w="110"/>
            </w:tcMar>
          </w:tcPr>
          <w:p>
            <w:pPr>
              <w:spacing w:before="26" w:after="26"/>
            </w:pPr>
            <w:r>
              <w:rPr>
                <w:color w:val="232733"/>
                <w:sz w:val="16"/>
                <w:szCs w:val="16"/>
              </w:rPr>
              <w:t xml:space="preserve">holdback (due from factor)</w:t>
            </w:r>
          </w:p>
        </w:tc>
        <w:tc>
          <w:tcPr>
            <w:tcW w:type="pct" w:w="2600"/>
            <w:tcMar>
              <w:top w:type="dxa" w:w="50"/>
              <w:left w:type="dxa" w:w="110"/>
              <w:bottom w:type="dxa" w:w="50"/>
              <w:right w:type="dxa" w:w="110"/>
            </w:tcMar>
          </w:tcPr>
          <w:p>
            <w:pPr>
              <w:spacing w:before="26" w:after="26"/>
            </w:pPr>
            <w:r>
              <w:rPr>
                <w:color w:val="232733"/>
                <w:sz w:val="16"/>
                <w:szCs w:val="16"/>
              </w:rPr>
              <w:t xml:space="preserve">المبلغ المحتجز (مستحق من شركة التخصيم)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secured borrowing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اقتراض مضمون</w:t>
            </w:r>
          </w:p>
        </w:tc>
      </w:tr>
      <w:tr>
        <w:tc>
          <w:tcPr>
            <w:tcW w:type="pct" w:w="2400"/>
            <w:tcMar>
              <w:top w:type="dxa" w:w="50"/>
              <w:left w:type="dxa" w:w="110"/>
              <w:bottom w:type="dxa" w:w="50"/>
              <w:right w:type="dxa" w:w="110"/>
            </w:tcMar>
          </w:tcPr>
          <w:p>
            <w:pPr>
              <w:spacing w:before="26" w:after="26"/>
            </w:pPr>
            <w:r>
              <w:rPr>
                <w:color w:val="232733"/>
                <w:sz w:val="16"/>
                <w:szCs w:val="16"/>
              </w:rPr>
              <w:t xml:space="preserve">pledging</w:t>
            </w:r>
          </w:p>
        </w:tc>
        <w:tc>
          <w:tcPr>
            <w:tcW w:type="pct" w:w="2600"/>
            <w:tcMar>
              <w:top w:type="dxa" w:w="50"/>
              <w:left w:type="dxa" w:w="110"/>
              <w:bottom w:type="dxa" w:w="50"/>
              <w:right w:type="dxa" w:w="110"/>
            </w:tcMar>
          </w:tcPr>
          <w:p>
            <w:pPr>
              <w:spacing w:before="26" w:after="26"/>
            </w:pPr>
            <w:r>
              <w:rPr>
                <w:color w:val="232733"/>
                <w:sz w:val="16"/>
                <w:szCs w:val="16"/>
              </w:rPr>
              <w:t xml:space="preserve">رهن الذمم المدينة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control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السيطرة الفعلية</w:t>
            </w:r>
          </w:p>
        </w:tc>
      </w:tr>
      <w:tr>
        <w:tc>
          <w:tcPr>
            <w:tcW w:type="pct" w:w="2400"/>
            <w:tcMar>
              <w:top w:type="dxa" w:w="50"/>
              <w:left w:type="dxa" w:w="110"/>
              <w:bottom w:type="dxa" w:w="50"/>
              <w:right w:type="dxa" w:w="110"/>
            </w:tcMar>
          </w:tcPr>
          <w:p>
            <w:pPr>
              <w:spacing w:before="26" w:after="26"/>
            </w:pPr>
            <w:r>
              <w:rPr>
                <w:color w:val="232733"/>
                <w:sz w:val="16"/>
                <w:szCs w:val="16"/>
              </w:rPr>
              <w:t xml:space="preserve">legal isolation</w:t>
            </w:r>
          </w:p>
        </w:tc>
        <w:tc>
          <w:tcPr>
            <w:tcW w:type="pct" w:w="2600"/>
            <w:tcMar>
              <w:top w:type="dxa" w:w="50"/>
              <w:left w:type="dxa" w:w="110"/>
              <w:bottom w:type="dxa" w:w="50"/>
              <w:right w:type="dxa" w:w="110"/>
            </w:tcMar>
          </w:tcPr>
          <w:p>
            <w:pPr>
              <w:spacing w:before="26" w:after="26"/>
            </w:pPr>
            <w:r>
              <w:rPr>
                <w:color w:val="232733"/>
                <w:sz w:val="16"/>
                <w:szCs w:val="16"/>
              </w:rPr>
              <w:t xml:space="preserve">العزل القانوني</w:t>
            </w:r>
          </w:p>
        </w:tc>
      </w:tr>
    </w:tbl>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Transferring receivables: sale or secured borrowing?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treats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secured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factor's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analysts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itself</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pledged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substantially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legal isolation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Factoring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 seller does not keep effective control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recourse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discounts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Over 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Write-offs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40,000 × 25%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3,600 + 6,400 + 10,000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T1</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pledged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T4</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reason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recourse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secured borrowing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treats a transfer as a sale only if three conditions are all met. Recourse is the factor's right to collect from the seller if customers do not pay. Recourse does not by itself make the transfer a borrowing. If the three conditions are met, a transfer with recourse is still a sale. The seller then records a recourse liability at its fair value, which increases the loss on the sale.</w:t>
      </w:r>
    </w:p>
    <w:p>
      <w:pPr>
        <w:spacing w:before="20" w:after="20"/>
        <w:ind w:left="240" w:hanging="240"/>
      </w:pPr>
      <w:r>
        <w:rPr>
          <w:b/>
          <w:bCs/>
          <w:color w:val="353A7C"/>
          <w:sz w:val="15"/>
          <w:szCs w:val="15"/>
        </w:rPr>
        <w:t xml:space="preserve">Summary 2   </w:t>
      </w:r>
      <w:r>
        <w:rPr>
          <w:color w:val="6B7280"/>
          <w:sz w:val="15"/>
          <w:szCs w:val="15"/>
        </w:rPr>
        <w:t xml:space="preserve">Orontes transfers receivables with a carrying amount of $500,000 to Gulf Factor Co. The factor charges a fee of 3% ($15,000) and keeps a holdback (due from factor) of 5% ($25,000) to cover returns and discounts. Orontes receives $460,000 in cash. Sale without recourse: debit Cash $460,000, debit Due from factor $25,000, debit Loss on sale of receivables $15,000; credit Accounts receivable $500,000. Sale with recourse (recourse liability $6,000): the same entry, but the loss is $21,000 and Orontes also credits Recourse liability $6,000. Secured borrowing: debit Cash $460,000, debit Interest expense $15,000; credit Liability to factor $475,000. The receivables stay on the balance sheet, marked as pledged. The balance sheet effect is the main reason companies care. A sale removes the receivables and adds little or no debt, so ratios such as debt to equity look better.</w:t>
      </w:r>
    </w:p>
    <w:p>
      <w:pPr>
        <w:spacing w:before="20" w:after="20"/>
        <w:ind w:left="240" w:hanging="240"/>
      </w:pPr>
      <w:r>
        <w:rPr>
          <w:b/>
          <w:bCs/>
          <w:color w:val="353A7C"/>
          <w:sz w:val="15"/>
          <w:szCs w:val="15"/>
        </w:rPr>
        <w:t xml:space="preserve">Summary 3   </w:t>
      </w:r>
      <w:r>
        <w:rPr>
          <w:color w:val="6B7280"/>
          <w:sz w:val="15"/>
          <w:szCs w:val="15"/>
        </w:rPr>
        <w:t xml:space="preserve">A secured borrowing keeps the receivables and adds a liability. Lenders and analysts read the notes to see which receivables are pledged or transferred. IFRS 9 asks first whether the seller has transferred substantially all the risks and rewards of the receivables. Factoring with substantial recourse usually keeps most of the risk with the seller, so under IFRS it often fails derecognition and is treated as borrowing. Under U.S. GAAP the same transfer may qualify as a sale if the three ASC 860 conditions are met.</w:t>
      </w:r>
    </w:p>
    <w:p>
      <w:pPr>
        <w:spacing w:before="20" w:after="20"/>
        <w:ind w:left="240" w:hanging="240"/>
      </w:pPr>
      <w:r>
        <w:rPr>
          <w:b/>
          <w:bCs/>
          <w:color w:val="353A7C"/>
          <w:sz w:val="15"/>
          <w:szCs w:val="15"/>
        </w:rPr>
        <w:t xml:space="preserve">Summary 4   </w:t>
      </w:r>
      <w:r>
        <w:rPr>
          <w:color w:val="6B7280"/>
          <w:sz w:val="15"/>
          <w:szCs w:val="15"/>
        </w:rPr>
        <w:t xml:space="preserve">Do not assume that every transfer with recourse is a borrowing. Apply the three conditions. The holdback is an asset (due from factor), not part of the loss. Pledged receivables stay on the balance sheet.</w:t>
      </w:r>
    </w:p>
    <w:p>
      <w:pPr>
        <w:sectPr>
          <w:headerReference w:type="default" r:id="rIdHdr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Which goods belong in inventory?</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flow assumptions   ·   Inventory errors   ·   FOB destination</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Inventory means goods held for sale in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course of business, goods in production, and materials that will be used in production.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 has one inventory account.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such as Orontes has three: raw materials, work in process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goods. </w:t>
      </w:r>
      <w:r>
        <w:rPr>
          <w:sz w:val="19"/>
          <w:szCs w:val="19"/>
        </w:rPr>
        <w:t xml:space="preserve">The basic rule is simple: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goods that the company controls on the balance sheet date,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are. </w:t>
      </w:r>
      <w:r>
        <w:rPr>
          <w:sz w:val="19"/>
          <w:szCs w:val="19"/>
        </w:rPr>
        <w:t xml:space="preserve">Control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follows legal title. </w:t>
      </w:r>
      <w:r>
        <w:rPr>
          <w:sz w:val="19"/>
          <w:szCs w:val="19"/>
        </w:rPr>
        <w:t xml:space="preserve">Three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need care. </w:t>
      </w:r>
      <w:r>
        <w:rPr>
          <w:sz w:val="19"/>
          <w:szCs w:val="19"/>
        </w:rPr>
        <w:t xml:space="preserve">The shipping term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who controls goods that are on a truck or a ship 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Under FOB shipping point, control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the buyer when the goods leave the seller, so the buyer includes them. </w:t>
      </w:r>
      <w:r>
        <w:rPr>
          <w:sz w:val="19"/>
          <w:szCs w:val="19"/>
        </w:rPr>
        <w:t xml:space="preserve">Under FOB destination, the seller keeps control until the goods arrive, so the seller includes them. </w:t>
      </w:r>
      <w:r>
        <w:rPr>
          <w:sz w:val="19"/>
          <w:szCs w:val="19"/>
        </w:rPr>
        <w:t xml:space="preserve">In a consignment, the consignor (the owner) gives goods to a consignee, who sells them for a commission.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wherever   ·   finished   ·   include   ·   decides   ·   retailer   ·   Wholesale   ·   ordinary   ·   usually   ·   year-end   ·   passes   ·   manufacturer   ·   follows   ·   situations</w:t>
            </w:r>
          </w:p>
        </w:tc>
      </w:tr>
    </w:tbl>
    <w:p/>
    <w:p>
      <w:pPr>
        <w:spacing w:before="44" w:after="14"/>
      </w:pPr>
      <w:r>
        <w:rPr>
          <w:b/>
          <w:bCs/>
          <w:color w:val="353A7C"/>
          <w:sz w:val="18"/>
          <w:szCs w:val="18"/>
        </w:rPr>
        <w:t xml:space="preserve">Summary 2</w:t>
      </w:r>
      <w:r>
        <w:rPr>
          <w:color w:val="6B7280"/>
          <w:sz w:val="16"/>
          <w:szCs w:val="16"/>
        </w:rPr>
        <w:t xml:space="preserve">      gaps 15–23</w:t>
      </w:r>
    </w:p>
    <w:p>
      <w:pPr>
        <w:spacing w:before="20" w:after="20" w:line="360" w:lineRule="auto"/>
        <w:ind w:left="200"/>
      </w:pPr>
      <w:r>
        <w:rPr>
          <w:sz w:val="19"/>
          <w:szCs w:val="19"/>
        </w:rPr>
        <w:t xml:space="preserve">The goods stay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inventory.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never includes them, even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they are in its shop. </w:t>
      </w:r>
      <w:r>
        <w:rPr>
          <w:sz w:val="19"/>
          <w:szCs w:val="19"/>
        </w:rPr>
        <w:t xml:space="preserve">Goods held for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Goods in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that belong to another company must be taken out of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count. </w:t>
      </w:r>
      <w:r>
        <w:rPr>
          <w:sz w:val="19"/>
          <w:szCs w:val="19"/>
        </w:rPr>
        <w:t xml:space="preserve">Goods the company owns that are held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else must be added. </w:t>
      </w:r>
      <w:r>
        <w:rPr>
          <w:sz w:val="19"/>
          <w:szCs w:val="19"/>
        </w:rPr>
        <w:t xml:space="preserve">Two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cases appear in later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When customers have a right of return, the seller records revenue net of expected returns and a separate asset for the goods it expects to get back. </w:t>
      </w:r>
      <w:r>
        <w:rPr>
          <w:sz w:val="19"/>
          <w:szCs w:val="19"/>
        </w:rPr>
        <w:t xml:space="preserve">In a bill-and-hold sale, the seller keeps the goods in its inventory unless strict conditions show that the buyer already controls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though   ·   transit   ·   chapters   ·   others   ·   physical   ·   somewhere   ·   special   ·   warehouse   ·   consignee   ·   consignor's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FOB flip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FOB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point: the BUYER includes goods in transit. </w:t>
      </w:r>
      <w:r>
        <w:rPr>
          <w:sz w:val="19"/>
          <w:szCs w:val="19"/>
        </w:rPr>
        <w:t xml:space="preserve">FOB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SELLER includes them. </w:t>
      </w:r>
      <w:r>
        <w:rPr>
          <w:sz w:val="19"/>
          <w:szCs w:val="19"/>
        </w:rPr>
        <w:t xml:space="preserve">Many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reverse these. </w:t>
      </w:r>
      <w:r>
        <w:rPr>
          <w:sz w:val="19"/>
          <w:szCs w:val="19"/>
        </w:rPr>
        <w:t xml:space="preserve">The consignee never includes consigned goods, even when they are on its own shelves.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candidates   ·   destination   ·   shipping   ·   follows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FOB is not the Incoterm you know</w:t>
            </w:r>
          </w:p>
        </w:tc>
      </w:tr>
    </w:tbl>
    <w:p/>
    <w:p>
      <w:pPr>
        <w:spacing w:before="44" w:after="14"/>
      </w:pPr>
      <w:r>
        <w:rPr>
          <w:b/>
          <w:bCs/>
          <w:color w:val="353A7C"/>
          <w:sz w:val="18"/>
          <w:szCs w:val="18"/>
        </w:rPr>
        <w:t xml:space="preserve">Summary 4</w:t>
      </w:r>
      <w:r>
        <w:rPr>
          <w:color w:val="6B7280"/>
          <w:sz w:val="16"/>
          <w:szCs w:val="16"/>
        </w:rPr>
        <w:t xml:space="preserve">      gaps 27–30</w:t>
      </w:r>
    </w:p>
    <w:p>
      <w:pPr>
        <w:spacing w:before="20" w:after="20" w:line="360" w:lineRule="auto"/>
        <w:ind w:left="200"/>
      </w:pPr>
      <w:r>
        <w:rPr>
          <w:sz w:val="19"/>
          <w:szCs w:val="19"/>
        </w:rPr>
        <w:t xml:space="preserve">In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trade, FOB (free on board) is an Incoterm about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goods onto a ship. </w:t>
      </w:r>
      <w:r>
        <w:rPr>
          <w:sz w:val="19"/>
          <w:szCs w:val="19"/>
        </w:rPr>
        <w:t xml:space="preserve">In U.S. exam questions, FOB shipping point and FOB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are simple shipping terms that decide who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goods in transit, by truck, rail or sea. </w:t>
      </w:r>
      <w:r>
        <w:rPr>
          <w:sz w:val="19"/>
          <w:szCs w:val="19"/>
        </w:rPr>
        <w:t xml:space="preserve">Do not bring Incoterm rules into these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consignee   ·   loading   ·   destination   ·   international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consignment   ·   inventory   ·   consignee   ·   consignor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FOB shipping point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count</w:t>
            </w:r>
          </w:p>
        </w:tc>
        <w:tc>
          <w:tcPr>
            <w:tcW w:type="pct" w:w="2600"/>
            <w:tcMar>
              <w:top w:type="dxa" w:w="50"/>
              <w:left w:type="dxa" w:w="110"/>
              <w:bottom w:type="dxa" w:w="50"/>
              <w:right w:type="dxa" w:w="110"/>
            </w:tcMar>
          </w:tcPr>
          <w:p>
            <w:pPr>
              <w:spacing w:before="26" w:after="26"/>
            </w:pPr>
            <w:r>
              <w:rPr>
                <w:color w:val="232733"/>
                <w:sz w:val="16"/>
                <w:szCs w:val="16"/>
              </w:rPr>
              <w:t xml:space="preserve">الجرد الفعلي</w:t>
            </w:r>
          </w:p>
        </w:tc>
      </w:tr>
    </w:tbl>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Which goods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flow 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others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 errors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ordinary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retailer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Wholesale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manufacturer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chapters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shipping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wherever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situations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loading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consignment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consignor's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consignor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though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 The basic rule is simple: include the goods that the company controls on the balance sheet date, wherever they are. Control usually follows legal title. Three situations need care. The shipping term decides who controls goods that are on a truck or a ship at year-end. Under FOB shipping point, control passes to the buyer when the goods leave the seller, so the buyer includes them. Under FOB destination, the seller keeps control until the goods arrive, so the seller includes them. In a consignment, the consignor (the owner) gives goods to a consignee, who sells them for a commission.</w:t>
      </w:r>
    </w:p>
    <w:p>
      <w:pPr>
        <w:spacing w:before="20" w:after="20"/>
        <w:ind w:left="240" w:hanging="240"/>
      </w:pPr>
      <w:r>
        <w:rPr>
          <w:b/>
          <w:bCs/>
          <w:color w:val="353A7C"/>
          <w:sz w:val="15"/>
          <w:szCs w:val="15"/>
        </w:rPr>
        <w:t xml:space="preserve">Summary 2   </w:t>
      </w:r>
      <w:r>
        <w:rPr>
          <w:color w:val="6B7280"/>
          <w:sz w:val="15"/>
          <w:szCs w:val="15"/>
        </w:rPr>
        <w:t xml:space="preserve">The goods stay in the consignor's inventory. The consignee never includes them, even though they are in its shop. Goods held for others. Goods in the warehouse that belong to another company must be taken out of the physical count. Goods the company owns that are held somewhere else must be added. Two special cases appear in later chapters. When customers have a right of return, the seller records revenue net of expected returns and a separate asset for the goods it expects to get back. In a bill-and-hold sale, the seller keeps the goods in its inventory unless strict conditions show that the buyer already controls them.</w:t>
      </w:r>
    </w:p>
    <w:p>
      <w:pPr>
        <w:spacing w:before="20" w:after="20"/>
        <w:ind w:left="240" w:hanging="240"/>
      </w:pPr>
      <w:r>
        <w:rPr>
          <w:b/>
          <w:bCs/>
          <w:color w:val="353A7C"/>
          <w:sz w:val="15"/>
          <w:szCs w:val="15"/>
        </w:rPr>
        <w:t xml:space="preserve">Summary 3   </w:t>
      </w:r>
      <w:r>
        <w:rPr>
          <w:color w:val="6B7280"/>
          <w:sz w:val="15"/>
          <w:szCs w:val="15"/>
        </w:rPr>
        <w:t xml:space="preserve">FOB shipping point: the BUYER includes goods in transit. FOB destination: the SELLER includes them. Many candidates reverse these. The consignee never includes consigned goods, even when they are on its own shelves.</w:t>
      </w:r>
    </w:p>
    <w:p>
      <w:pPr>
        <w:spacing w:before="20" w:after="20"/>
        <w:ind w:left="240" w:hanging="240"/>
      </w:pPr>
      <w:r>
        <w:rPr>
          <w:b/>
          <w:bCs/>
          <w:color w:val="353A7C"/>
          <w:sz w:val="15"/>
          <w:szCs w:val="15"/>
        </w:rPr>
        <w:t xml:space="preserve">Summary 4   </w:t>
      </w:r>
      <w:r>
        <w:rPr>
          <w:color w:val="6B7280"/>
          <w:sz w:val="15"/>
          <w:szCs w:val="15"/>
        </w:rPr>
        <w:t xml:space="preserve">In international trade, FOB (free on board) is an Incoterm about loading goods onto a ship. In U.S. exam questions, FOB shipping point and FOB destination are simple shipping terms that decide who controls goods in transit, by truck, rail or sea. Do not bring Incoterm rules into these questions.</w:t>
      </w:r>
    </w:p>
    <w:p>
      <w:pPr>
        <w:sectPr>
          <w:headerReference w:type="default" r:id="rIdHdr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Which costs belong in inventory?</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Inventory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cost. </w:t>
      </w:r>
      <w:r>
        <w:rPr>
          <w:sz w:val="19"/>
          <w:szCs w:val="19"/>
        </w:rPr>
        <w:t xml:space="preserve">Cost means all the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bring the goods to their present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location. </w:t>
      </w:r>
      <w:r>
        <w:rPr>
          <w:sz w:val="19"/>
          <w:szCs w:val="19"/>
        </w:rPr>
        <w:t xml:space="preserve">These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they stay in inventory as an asset, and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of goods sold when the goods are sold. </w:t>
      </w:r>
      <w:r>
        <w:rPr>
          <w:sz w:val="19"/>
          <w:szCs w:val="19"/>
        </w:rPr>
        <w:t xml:space="preserve">Other costs are period costs: they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period in which they occur. </w:t>
      </w:r>
      <w:r>
        <w:rPr>
          <w:sz w:val="19"/>
          <w:szCs w:val="19"/>
        </w:rPr>
        <w:t xml:space="preserve">For goods that are bought, cost includes the purchase price,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import duties,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taxes and handling, less trade discounts and any purchase discount taken for early payment. </w:t>
      </w:r>
      <w:r>
        <w:rPr>
          <w:sz w:val="19"/>
          <w:szCs w:val="19"/>
        </w:rPr>
        <w:t xml:space="preserve">For goods that are made, cost also includes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labor and production overhead. </w:t>
      </w:r>
      <w:r>
        <w:rPr>
          <w:sz w:val="19"/>
          <w:szCs w:val="19"/>
        </w:rPr>
        <w:t xml:space="preserve">Fixed production overhead needs care. </w:t>
      </w:r>
      <w:r>
        <w:rPr>
          <w:sz w:val="19"/>
          <w:szCs w:val="19"/>
        </w:rPr>
        <w:t xml:space="preserve">It is allocated to units on the basis of 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output the plant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average over several periods. </w:t>
      </w:r>
      <w:r>
        <w:rPr>
          <w:sz w:val="19"/>
          <w:szCs w:val="19"/>
        </w:rPr>
        <w:t xml:space="preserve">If output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low, the fixed overhead that is not allocated is an expense of the period. </w:t>
      </w:r>
      <w:r>
        <w:rPr>
          <w:sz w:val="19"/>
          <w:szCs w:val="19"/>
        </w:rPr>
        <w:t xml:space="preserve">It is not added to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inventoriable   ·   needed   ·   freight-in   ·   expects   ·   direct   ·   recorded   ·   condition   ·   become   ·   capacity   ·   unusually   ·   freight-out   ·   expenses   ·   non-refundable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In the same way,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waste (unusual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idle time or extra freight) is an expense, not inventory cost. </w:t>
      </w:r>
      <w:r>
        <w:rPr>
          <w:sz w:val="19"/>
          <w:szCs w:val="19"/>
        </w:rPr>
        <w:t xml:space="preserve">Period costs include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customers, sales commissions, advertising, general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costs, and the storage of finished goods. </w:t>
      </w:r>
      <w:r>
        <w:rPr>
          <w:sz w:val="19"/>
          <w:szCs w:val="19"/>
        </w:rPr>
        <w:t xml:space="preserve">Interest on inventory that is produced routinely is also a period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spoilage   ·   administrative   ·   freight-out   ·   include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of imported glass bottles</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glass bottles for its Amman plant.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$20,000, and Orontes pays within the discount period, so it takes a 2% discount.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imports   ·   average   ·   invoice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cost of imported glass bottles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Inventory cost?</w:t>
            </w:r>
          </w:p>
        </w:tc>
      </w:tr>
      <w:tr>
        <w:tc>
          <w:tcPr>
            <w:tcW w:type="pct" w:w="2200"/>
            <w:tcMar>
              <w:top w:type="dxa" w:w="50"/>
              <w:left w:type="dxa" w:w="110"/>
              <w:bottom w:type="dxa" w:w="50"/>
              <w:right w:type="dxa" w:w="110"/>
            </w:tcMar>
          </w:tcPr>
          <w:p>
            <w:pPr>
              <w:spacing w:before="28" w:after="28"/>
            </w:pPr>
            <w:r>
              <w:rPr>
                <w:sz w:val="15"/>
                <w:szCs w:val="15"/>
              </w:rPr>
              <w:t xml:space="preserve">Invoice price</w:t>
            </w:r>
          </w:p>
        </w:tc>
        <w:tc>
          <w:tcPr>
            <w:tcW w:type="pct" w:w="758"/>
            <w:tcMar>
              <w:top w:type="dxa" w:w="50"/>
              <w:left w:type="dxa" w:w="110"/>
              <w:bottom w:type="dxa" w:w="50"/>
              <w:right w:type="dxa" w:w="110"/>
            </w:tcMar>
          </w:tcPr>
          <w:p>
            <w:pPr>
              <w:spacing w:before="28" w:after="28"/>
            </w:pPr>
            <w:r>
              <w:rPr>
                <w:sz w:val="15"/>
                <w:szCs w:val="15"/>
              </w:rPr>
              <w:t xml:space="preserve">20,000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Purchase discount taken</w:t>
            </w:r>
          </w:p>
        </w:tc>
        <w:tc>
          <w:tcPr>
            <w:tcW w:type="pct" w:w="758"/>
            <w:shd w:fill="FBFAF6" w:val="clear"/>
            <w:tcMar>
              <w:top w:type="dxa" w:w="50"/>
              <w:left w:type="dxa" w:w="110"/>
              <w:bottom w:type="dxa" w:w="50"/>
              <w:right w:type="dxa" w:w="110"/>
            </w:tcMar>
          </w:tcPr>
          <w:p>
            <w:pPr>
              <w:spacing w:before="28" w:after="28"/>
            </w:pPr>
            <w:r>
              <w:rPr>
                <w:sz w:val="15"/>
                <w:szCs w:val="15"/>
              </w:rPr>
              <w:t xml:space="preserve">(400)</w:t>
            </w:r>
          </w:p>
        </w:tc>
        <w:tc>
          <w:tcPr>
            <w:tcW w:type="pct" w:w="2042"/>
            <w:shd w:fill="FBFAF6" w:val="clear"/>
            <w:tcMar>
              <w:top w:type="dxa" w:w="50"/>
              <w:left w:type="dxa" w:w="110"/>
              <w:bottom w:type="dxa" w:w="50"/>
              <w:right w:type="dxa" w:w="110"/>
            </w:tcMar>
          </w:tcPr>
          <w:p>
            <w:pPr>
              <w:spacing w:before="28" w:after="28"/>
            </w:pPr>
            <w:r>
              <w:rPr>
                <w:sz w:val="15"/>
                <w:szCs w:val="15"/>
              </w:rPr>
              <w:t xml:space="preserve">Yes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cost)</w:t>
            </w:r>
          </w:p>
        </w:tc>
      </w:tr>
      <w:tr>
        <w:tc>
          <w:tcPr>
            <w:tcW w:type="pct" w:w="2200"/>
            <w:tcMar>
              <w:top w:type="dxa" w:w="50"/>
              <w:left w:type="dxa" w:w="110"/>
              <w:bottom w:type="dxa" w:w="50"/>
              <w:right w:type="dxa" w:w="110"/>
            </w:tcMar>
          </w:tcPr>
          <w:p>
            <w:pPr>
              <w:spacing w:before="28" w:after="28"/>
            </w:pPr>
            <w:r>
              <w:rPr>
                <w:sz w:val="15"/>
                <w:szCs w:val="15"/>
              </w:rPr>
              <w:t xml:space="preserve">Freight-in from the port to Amman</w:t>
            </w:r>
          </w:p>
        </w:tc>
        <w:tc>
          <w:tcPr>
            <w:tcW w:type="pct" w:w="758"/>
            <w:tcMar>
              <w:top w:type="dxa" w:w="50"/>
              <w:left w:type="dxa" w:w="110"/>
              <w:bottom w:type="dxa" w:w="50"/>
              <w:right w:type="dxa" w:w="110"/>
            </w:tcMar>
          </w:tcPr>
          <w:p>
            <w:pPr>
              <w:spacing w:before="28" w:after="28"/>
            </w:pPr>
            <w:r>
              <w:rPr>
                <w:sz w:val="15"/>
                <w:szCs w:val="15"/>
              </w:rPr>
              <w:t xml:space="preserve">1,200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Import duty (not refundable)</w:t>
            </w:r>
          </w:p>
        </w:tc>
        <w:tc>
          <w:tcPr>
            <w:tcW w:type="pct" w:w="758"/>
            <w:shd w:fill="FBFAF6" w:val="clear"/>
            <w:tcMar>
              <w:top w:type="dxa" w:w="50"/>
              <w:left w:type="dxa" w:w="110"/>
              <w:bottom w:type="dxa" w:w="50"/>
              <w:right w:type="dxa" w:w="110"/>
            </w:tcMar>
          </w:tcPr>
          <w:p>
            <w:pPr>
              <w:spacing w:before="28" w:after="28"/>
            </w:pPr>
            <w:r>
              <w:rPr>
                <w:sz w:val="15"/>
                <w:szCs w:val="15"/>
              </w:rPr>
              <w:t xml:space="preserve">900</w:t>
            </w:r>
          </w:p>
        </w:tc>
        <w:tc>
          <w:tcPr>
            <w:tcW w:type="pct" w:w="2042"/>
            <w:shd w:fill="FBFAF6" w:val="clear"/>
            <w:tcMar>
              <w:top w:type="dxa" w:w="50"/>
              <w:left w:type="dxa" w:w="110"/>
              <w:bottom w:type="dxa" w:w="50"/>
              <w:right w:type="dxa" w:w="110"/>
            </w:tcMar>
          </w:tcPr>
          <w:p>
            <w:pPr>
              <w:spacing w:before="28" w:after="28"/>
            </w:pPr>
            <w:r>
              <w:rPr>
                <w:sz w:val="15"/>
                <w:szCs w:val="15"/>
              </w:rPr>
              <w:t xml:space="preserve">Yes</w:t>
            </w:r>
          </w:p>
        </w:tc>
      </w:tr>
      <w:tr>
        <w:tc>
          <w:tcPr>
            <w:tcW w:type="pct" w:w="2200"/>
            <w:tcMar>
              <w:top w:type="dxa" w:w="50"/>
              <w:left w:type="dxa" w:w="110"/>
              <w:bottom w:type="dxa" w:w="50"/>
              <w:right w:type="dxa" w:w="110"/>
            </w:tcMar>
          </w:tcPr>
          <w:p>
            <w:pPr>
              <w:spacing w:before="28" w:after="28"/>
            </w:pPr>
            <w:r>
              <w:rPr>
                <w:sz w:val="15"/>
                <w:szCs w:val="15"/>
              </w:rPr>
              <w:t xml:space="preserve">Insurance while the bottles are in transit</w:t>
            </w:r>
          </w:p>
        </w:tc>
        <w:tc>
          <w:tcPr>
            <w:tcW w:type="pct" w:w="758"/>
            <w:tcMar>
              <w:top w:type="dxa" w:w="50"/>
              <w:left w:type="dxa" w:w="110"/>
              <w:bottom w:type="dxa" w:w="50"/>
              <w:right w:type="dxa" w:w="110"/>
            </w:tcMar>
          </w:tcPr>
          <w:p>
            <w:pPr>
              <w:spacing w:before="28" w:after="28"/>
            </w:pPr>
            <w:r>
              <w:rPr>
                <w:sz w:val="15"/>
                <w:szCs w:val="15"/>
              </w:rPr>
              <w:t xml:space="preserve">300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Freight-out when filled bottles go to customers</w:t>
            </w:r>
          </w:p>
        </w:tc>
        <w:tc>
          <w:tcPr>
            <w:tcW w:type="pct" w:w="758"/>
            <w:shd w:fill="FBFAF6" w:val="clear"/>
            <w:tcMar>
              <w:top w:type="dxa" w:w="50"/>
              <w:left w:type="dxa" w:w="110"/>
              <w:bottom w:type="dxa" w:w="50"/>
              <w:right w:type="dxa" w:w="110"/>
            </w:tcMar>
          </w:tcPr>
          <w:p>
            <w:pPr>
              <w:spacing w:before="28" w:after="28"/>
            </w:pPr>
            <w:r>
              <w:rPr>
                <w:sz w:val="15"/>
                <w:szCs w:val="15"/>
              </w:rPr>
              <w:t xml:space="preserve">700</w:t>
            </w:r>
          </w:p>
        </w:tc>
        <w:tc>
          <w:tcPr>
            <w:tcW w:type="pct" w:w="2042"/>
            <w:shd w:fill="FBFAF6" w:val="clear"/>
            <w:tcMar>
              <w:top w:type="dxa" w:w="50"/>
              <w:left w:type="dxa" w:w="110"/>
              <w:bottom w:type="dxa" w:w="50"/>
              <w:right w:type="dxa" w:w="110"/>
            </w:tcMar>
          </w:tcPr>
          <w:p>
            <w:pPr>
              <w:spacing w:before="28" w:after="28"/>
            </w:pPr>
            <w:r>
              <w:rPr>
                <w:sz w:val="15"/>
                <w:szCs w:val="15"/>
              </w:rPr>
              <w:t xml:space="preserve">No: selling expense</w:t>
            </w:r>
          </w:p>
        </w:tc>
      </w:tr>
      <w:tr>
        <w:tc>
          <w:tcPr>
            <w:tcW w:type="pct" w:w="2200"/>
            <w:tcMar>
              <w:top w:type="dxa" w:w="50"/>
              <w:left w:type="dxa" w:w="110"/>
              <w:bottom w:type="dxa" w:w="50"/>
              <w:right w:type="dxa" w:w="110"/>
            </w:tcMar>
          </w:tcPr>
          <w:p>
            <w:pPr>
              <w:spacing w:before="28" w:after="28"/>
            </w:pPr>
            <w:r>
              <w:rPr>
                <w:sz w:val="15"/>
                <w:szCs w:val="15"/>
              </w:rPr>
              <w:t xml:space="preserve">Storage of finished olive oil</w:t>
            </w:r>
          </w:p>
        </w:tc>
        <w:tc>
          <w:tcPr>
            <w:tcW w:type="pct" w:w="758"/>
            <w:tcMar>
              <w:top w:type="dxa" w:w="50"/>
              <w:left w:type="dxa" w:w="110"/>
              <w:bottom w:type="dxa" w:w="50"/>
              <w:right w:type="dxa" w:w="110"/>
            </w:tcMar>
          </w:tcPr>
          <w:p>
            <w:pPr>
              <w:spacing w:before="28" w:after="28"/>
            </w:pPr>
            <w:r>
              <w:rPr>
                <w:sz w:val="15"/>
                <w:szCs w:val="15"/>
              </w:rPr>
              <w:t xml:space="preserve">250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of the bottles in inventory</w:t>
            </w:r>
          </w:p>
        </w:tc>
        <w:tc>
          <w:tcPr>
            <w:tcW w:type="pct" w:w="758"/>
            <w:shd w:fill="FBFAF6" w:val="clear"/>
            <w:tcMar>
              <w:top w:type="dxa" w:w="50"/>
              <w:left w:type="dxa" w:w="110"/>
              <w:bottom w:type="dxa" w:w="50"/>
              <w:right w:type="dxa" w:w="110"/>
            </w:tcMar>
          </w:tcPr>
          <w:p>
            <w:pPr>
              <w:spacing w:before="28" w:after="28"/>
            </w:pPr>
            <w:r>
              <w:rPr>
                <w:sz w:val="15"/>
                <w:szCs w:val="15"/>
              </w:rPr>
              <w:t xml:space="preserve">22,000</w:t>
            </w:r>
          </w:p>
        </w:tc>
        <w:tc>
          <w:tcPr>
            <w:tcW w:type="pct" w:w="2042"/>
            <w:shd w:fill="FBFAF6" w:val="clear"/>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consignor   ·   No: period cost   ·   reduces</w:t>
            </w:r>
          </w:p>
        </w:tc>
      </w:tr>
    </w:tbl>
    <w:p/>
    <w:p>
      <w:pPr>
        <w:spacing w:before="44" w:after="14"/>
      </w:pPr>
      <w:r>
        <w:rPr>
          <w:b/>
          <w:bCs/>
          <w:color w:val="353A7C"/>
          <w:sz w:val="18"/>
          <w:szCs w:val="18"/>
        </w:rPr>
        <w:t xml:space="preserve">Summary 4</w:t>
      </w:r>
      <w:r>
        <w:rPr>
          <w:color w:val="6B7280"/>
          <w:sz w:val="16"/>
          <w:szCs w:val="16"/>
        </w:rPr>
        <w:t xml:space="preserve">      gaps 21–26</w:t>
      </w:r>
    </w:p>
    <w:p>
      <w:pPr>
        <w:spacing w:before="20" w:after="20" w:line="360" w:lineRule="auto"/>
        <w:ind w:left="200"/>
      </w:pPr>
      <w:r>
        <w:rPr>
          <w:sz w:val="19"/>
          <w:szCs w:val="19"/>
        </w:rPr>
        <w:t xml:space="preserve">The two costs at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of the table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after the goods are ready for use. </w:t>
      </w:r>
      <w:r>
        <w:rPr>
          <w:sz w:val="19"/>
          <w:szCs w:val="19"/>
        </w:rPr>
        <w:t xml:space="preserve">They do not bring the bottles to their present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location, so they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IAS 2 uses the same idea of cost and lists the same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abnormal waste, storage,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overheads and selling costs. </w:t>
      </w:r>
      <w:r>
        <w:rPr>
          <w:sz w:val="19"/>
          <w:szCs w:val="19"/>
        </w:rPr>
        <w:t xml:space="preserve">The big IFRS difference is in the next section: IAS 2 does not allow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expenses   ·   condition   ·   administrative   ·   exclusions   ·   include   ·   bottom   ·   happen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waste   ·   purchase discount   ·   freight-in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freight-in</w:t>
            </w:r>
          </w:p>
        </w:tc>
        <w:tc>
          <w:tcPr>
            <w:tcW w:type="pct" w:w="2600"/>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waste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Which costs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needed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imports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condition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inventoriable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bottom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freight-in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happen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non-refundable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condition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exclusions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unusually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freight-in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purchase discount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spoilage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abnormal waste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freight-out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 For goods that are bought, cost includes the purchase price, freight-in, import duties, non-refundable taxes and handling, less trade discounts and any purchase discount taken for early payment. For goods that are made, cost also includes direct labor and production overhead. Fixed production overhead needs care. It is allocated to units on the basis of normal capacity: the output the plant expects on average over several periods. If output is unusually low, the fixed overhead that is not allocated is an expense of the period. It is not added to inventory.</w:t>
      </w:r>
    </w:p>
    <w:p>
      <w:pPr>
        <w:spacing w:before="20" w:after="20"/>
        <w:ind w:left="240" w:hanging="240"/>
      </w:pPr>
      <w:r>
        <w:rPr>
          <w:b/>
          <w:bCs/>
          <w:color w:val="353A7C"/>
          <w:sz w:val="15"/>
          <w:szCs w:val="15"/>
        </w:rPr>
        <w:t xml:space="preserve">Summary 2   </w:t>
      </w:r>
      <w:r>
        <w:rPr>
          <w:color w:val="6B7280"/>
          <w:sz w:val="15"/>
          <w:szCs w:val="15"/>
        </w:rPr>
        <w:t xml:space="preserve">In the same way, abnormal waste (unusual spoilage, idle time or extra freight) is an expense, not inventory cost. Period costs include freight-out to customers, sales commissions, advertising, general and administrative costs, and the storage of finished goods. Interest on inventory that is produced routinely is also a period cost.</w:t>
      </w:r>
    </w:p>
    <w:p>
      <w:pPr>
        <w:spacing w:before="20" w:after="20"/>
        <w:ind w:left="240" w:hanging="240"/>
      </w:pPr>
      <w:r>
        <w:rPr>
          <w:b/>
          <w:bCs/>
          <w:color w:val="353A7C"/>
          <w:sz w:val="15"/>
          <w:szCs w:val="15"/>
        </w:rPr>
        <w:t xml:space="preserve">Summary 3   </w:t>
      </w:r>
      <w:r>
        <w:rPr>
          <w:color w:val="6B7280"/>
          <w:sz w:val="15"/>
          <w:szCs w:val="15"/>
        </w:rPr>
        <w:t xml:space="preserve">Orontes imports glass bottles for its Amman plant. The invoice is $20,000, and Orontes pays within the discount period, so it takes a 2% discount.</w:t>
      </w:r>
    </w:p>
    <w:p>
      <w:pPr>
        <w:spacing w:before="20" w:after="20"/>
        <w:ind w:left="240" w:hanging="240"/>
      </w:pPr>
      <w:r>
        <w:rPr>
          <w:b/>
          <w:bCs/>
          <w:color w:val="353A7C"/>
          <w:sz w:val="15"/>
          <w:szCs w:val="15"/>
        </w:rPr>
        <w:t xml:space="preserve">Summary 4   </w:t>
      </w:r>
      <w:r>
        <w:rPr>
          <w:color w:val="6B7280"/>
          <w:sz w:val="15"/>
          <w:szCs w:val="15"/>
        </w:rPr>
        <w:t xml:space="preserve">The two costs at the bottom of the table happen after the goods are ready for use. They do not bring the bottles to their present condition and location, so they are expenses. IAS 2 uses the same idea of cost and lists the same exclusions: abnormal waste, storage, administrative overheads and selling costs. The big IFRS difference is in the next section: IAS 2 does not allow LIFO.</w:t>
      </w:r>
    </w:p>
    <w:p>
      <w:pPr>
        <w:sectPr>
          <w:headerReference w:type="default" r:id="rIdHdr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Cost flow assumptions</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Unit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When a company sells some units and keeps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decide which costs go to cost of goods sold and which stay in ending inventory. </w:t>
      </w:r>
      <w:r>
        <w:rPr>
          <w:sz w:val="19"/>
          <w:szCs w:val="19"/>
        </w:rPr>
        <w:t xml:space="preserve">This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a cost flow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does not need to match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flow of the goods. </w:t>
      </w:r>
      <w:r>
        <w:rPr>
          <w:sz w:val="19"/>
          <w:szCs w:val="19"/>
        </w:rPr>
        <w:t xml:space="preserve">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tracks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of each item. </w:t>
      </w:r>
      <w:r>
        <w:rPr>
          <w:sz w:val="19"/>
          <w:szCs w:val="19"/>
        </w:rPr>
        <w:t xml:space="preserve">It suits unique,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items, such as cars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FIFO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first-out) sends the oldest costs to cost of goods sold. </w:t>
      </w:r>
      <w:r>
        <w:rPr>
          <w:sz w:val="19"/>
          <w:szCs w:val="19"/>
        </w:rPr>
        <w:t xml:space="preserve">Ending inventory holds the newest costs. </w:t>
      </w:r>
      <w:r>
        <w:rPr>
          <w:sz w:val="19"/>
          <w:szCs w:val="19"/>
        </w:rPr>
        <w:t xml:space="preserve">LIFO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first-out) sends the newest costs to cost of goods sold. </w:t>
      </w:r>
      <w:r>
        <w:rPr>
          <w:sz w:val="19"/>
          <w:szCs w:val="19"/>
        </w:rPr>
        <w:t xml:space="preserve">Ending inventory holds the oldest costs.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divides the cost of goods available by the units available and uses this one unit cost for both cost of goods sold and ending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   expensive   ·   first-in   ·   change   ·   Weighted-average   ·   last-in   ·   decision   ·   physical   ·   November   ·   others   ·   jewelry   ·   identification   ·   assumption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olive oil: three methods, one set of facts</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Orontes sells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olive oil in cases of twelve bottles.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rose during 2025. </w:t>
      </w:r>
      <w:r>
        <w:rPr>
          <w:sz w:val="19"/>
          <w:szCs w:val="19"/>
        </w:rPr>
        <w:t xml:space="preserve">Orontes began the year with 1,000 cases at $40. </w:t>
      </w:r>
      <w:r>
        <w:rPr>
          <w:sz w:val="19"/>
          <w:szCs w:val="19"/>
        </w:rPr>
        <w:t xml:space="preserve">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2,000 cases at $44, then 3,000 at $48, then 2,000 at $50. </w:t>
      </w:r>
      <w:r>
        <w:rPr>
          <w:sz w:val="19"/>
          <w:szCs w:val="19"/>
        </w:rPr>
        <w:t xml:space="preserve">It sold 6,000 cases at $70, so 2,000 cases are left. </w:t>
      </w:r>
      <w:r>
        <w:rPr>
          <w:sz w:val="19"/>
          <w:szCs w:val="19"/>
        </w:rPr>
        <w:t xml:space="preserve">The company uses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system. </w:t>
      </w:r>
      <w:r>
        <w:rPr>
          <w:sz w:val="19"/>
          <w:szCs w:val="19"/>
        </w:rPr>
        <w:t xml:space="preserve">Goods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8,000 cases costing $372,000.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premium   ·   Weighted-average   ·   Prices   ·   bought   ·   periodic</w:t>
            </w:r>
          </w:p>
        </w:tc>
      </w:tr>
    </w:tbl>
    <w:p/>
    <w:p>
      <w:pPr>
        <w:spacing w:before="44" w:after="10"/>
      </w:pPr>
      <w:r>
        <w:rPr>
          <w:b/>
          <w:bCs/>
          <w:color w:val="353A7C"/>
          <w:sz w:val="18"/>
          <w:szCs w:val="18"/>
        </w:rPr>
        <w:t xml:space="preserve">Orontes olive oil: three methods, one set of facts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   freight-in</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In each row, ending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plus cost of goods sold equals the cost of goods available. </w:t>
      </w:r>
      <w:r>
        <w:rPr>
          <w:sz w:val="19"/>
          <w:szCs w:val="19"/>
        </w:rPr>
        <w:t xml:space="preserve">Only the split 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different   ·   inventory</w:t>
            </w:r>
          </w:p>
        </w:tc>
      </w:tr>
    </w:tbl>
    <w:p/>
    <w:p>
      <w:pPr>
        <w:pageBreakBefore w:val="true"/>
        <w:spacing w:after="0"/>
      </w:pPr>
      <w:r>
        <w:rPr>
          <w:sz w:val="2"/>
        </w:rPr>
        <w:t xml:space="preserve"> </w:t>
      </w:r>
    </w:p>
    <w:p>
      <w:pPr>
        <w:spacing w:before="44" w:after="10"/>
      </w:pPr>
      <w:r>
        <w:rPr>
          <w:b/>
          <w:bCs/>
          <w:color w:val="353A7C"/>
          <w:sz w:val="18"/>
          <w:szCs w:val="18"/>
        </w:rPr>
        <w:t xml:space="preserve">Olive oil: periodic versus perpetual results (whole USD)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(weighted / moving)   ·   goods available for sale</w:t>
            </w:r>
          </w:p>
        </w:tc>
      </w:tr>
    </w:tbl>
    <w:p/>
    <w:p>
      <w:pPr>
        <w:spacing w:before="44" w:after="14"/>
      </w:pPr>
      <w:r>
        <w:rPr>
          <w:b/>
          <w:bCs/>
          <w:color w:val="353A7C"/>
          <w:sz w:val="18"/>
          <w:szCs w:val="18"/>
        </w:rPr>
        <w:t xml:space="preserve">Summary 4</w:t>
      </w:r>
      <w:r>
        <w:rPr>
          <w:color w:val="6B7280"/>
          <w:sz w:val="16"/>
          <w:szCs w:val="16"/>
        </w:rPr>
        <w:t xml:space="preserve">      gaps 22–29</w:t>
      </w:r>
    </w:p>
    <w:p>
      <w:pPr>
        <w:spacing w:before="20" w:after="20" w:line="360" w:lineRule="auto"/>
        <w:ind w:left="200"/>
      </w:pPr>
      <w:r>
        <w:rPr>
          <w:sz w:val="19"/>
          <w:szCs w:val="19"/>
        </w:rPr>
        <w:t xml:space="preserve">In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inventory system, the company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the goods at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and calculates cost of goods sold for the whole period. </w:t>
      </w:r>
      <w:r>
        <w:rPr>
          <w:sz w:val="19"/>
          <w:szCs w:val="19"/>
        </w:rPr>
        <w:t xml:space="preserve">In a perpetual inventory system, it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inventory and cost of goods sold after every purchase and every sale. </w:t>
      </w:r>
      <w:r>
        <w:rPr>
          <w:sz w:val="19"/>
          <w:szCs w:val="19"/>
        </w:rPr>
        <w:t xml:space="preserve">The average method in a perpetual system is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average: the company calculates a new average after each purchase. </w:t>
      </w:r>
      <w:r>
        <w:rPr>
          <w:sz w:val="19"/>
          <w:szCs w:val="19"/>
        </w:rPr>
        <w:t xml:space="preserve">FIFO gives the same result in both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because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units are always sold first. </w:t>
      </w:r>
      <w:r>
        <w:rPr>
          <w:sz w:val="19"/>
          <w:szCs w:val="19"/>
        </w:rPr>
        <w:t xml:space="preserve">LIFO and the average method do not: under a perpetual system, each sale can only use the costs that exist on the date of the sale. </w:t>
      </w:r>
      <w:r>
        <w:rPr>
          <w:sz w:val="19"/>
          <w:szCs w:val="19"/>
        </w:rPr>
        <w:t xml:space="preserve">The sales took place in April, August and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periodic   ·   oldest   ·   perpetual   ·   updates   ·   November   ·   systems   ·   counts   ·   moving   ·   year-end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Periodic LIFO for Dubai pastry trays</w:t>
            </w:r>
          </w:p>
        </w:tc>
      </w:tr>
    </w:tbl>
    <w:p/>
    <w:p>
      <w:pPr>
        <w:spacing w:before="44" w:after="14"/>
      </w:pPr>
      <w:r>
        <w:rPr>
          <w:b/>
          <w:bCs/>
          <w:color w:val="353A7C"/>
          <w:sz w:val="18"/>
          <w:szCs w:val="18"/>
        </w:rPr>
        <w:t xml:space="preserve">Summary 5</w:t>
      </w:r>
      <w:r>
        <w:rPr>
          <w:color w:val="6B7280"/>
          <w:sz w:val="16"/>
          <w:szCs w:val="16"/>
        </w:rPr>
        <w:t xml:space="preserve">      gaps 30–35</w:t>
      </w:r>
    </w:p>
    <w:p>
      <w:pPr>
        <w:spacing w:before="20" w:after="20" w:line="360" w:lineRule="auto"/>
        <w:ind w:left="200"/>
      </w:pPr>
      <w:r>
        <w:rPr>
          <w:sz w:val="19"/>
          <w:szCs w:val="19"/>
        </w:rPr>
        <w:t xml:space="preserve">The Dubai plant had 3,000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pastry trays available in 2025,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$68,000. </w:t>
      </w:r>
      <w:r>
        <w:rPr>
          <w:sz w:val="19"/>
          <w:szCs w:val="19"/>
        </w:rPr>
        <w:t xml:space="preserve">It sold 2,200 trays. </w:t>
      </w:r>
      <w:r>
        <w:rPr>
          <w:sz w:val="19"/>
          <w:szCs w:val="19"/>
        </w:rPr>
        <w:t xml:space="preserve"/>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the dashed boxes below using periodic LIFO. </w:t>
      </w:r>
      <w:r>
        <w:rPr>
          <w:sz w:val="19"/>
          <w:szCs w:val="19"/>
        </w:rPr>
        <w:t xml:space="preserve">Then check that cost of goods sold plus ending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equals the cost of goods available. </w:t>
      </w:r>
      <w:r>
        <w:rPr>
          <w:sz w:val="19"/>
          <w:szCs w:val="19"/>
        </w:rPr>
        <w:t xml:space="preserve">IAS 2 allows FIFO and the weighted average, and it requires specific identification for items that are not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w:t>
      </w:r>
      <w:r>
        <w:rPr>
          <w:sz w:val="19"/>
          <w:szCs w:val="19"/>
        </w:rPr>
        <w:t xml:space="preserve">It does not allow LIFO. </w:t>
      </w:r>
      <w:r>
        <w:rPr>
          <w:sz w:val="19"/>
          <w:szCs w:val="19"/>
        </w:rPr>
        <w:t xml:space="preserve">You will compare the two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again.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perpetual   ·   frozen   ·   inventory   ·   Complete   ·   interchangeable   ·   frameworks   ·   costing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moving average   ·   LIFO conformity rule   ·   LIFO (last-in, first-out)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596"/>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r>
        <w:tc>
          <w:tcPr>
            <w:tcW w:type="pct" w:w="2404"/>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596"/>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4"/>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596"/>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r>
        <w:tc>
          <w:tcPr>
            <w:tcW w:type="pct" w:w="2404"/>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596"/>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4"/>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596"/>
            <w:tcMar>
              <w:top w:type="dxa" w:w="50"/>
              <w:left w:type="dxa" w:w="110"/>
              <w:bottom w:type="dxa" w:w="50"/>
              <w:right w:type="dxa" w:w="110"/>
            </w:tcMar>
          </w:tcPr>
          <w:p>
            <w:pPr>
              <w:spacing w:before="26" w:after="26"/>
            </w:pPr>
            <w:r>
              <w:rPr>
                <w:color w:val="232733"/>
                <w:sz w:val="16"/>
                <w:szCs w:val="16"/>
              </w:rPr>
              <w:t xml:space="preserve">البضاعة المتاحة للبيع</w:t>
            </w:r>
          </w:p>
        </w:tc>
      </w:tr>
    </w:tbl>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Cost flow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Average (weighted / 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decision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periodic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assumption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updates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jewelry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oldest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first-in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November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last-in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frozen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interchangeable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periodic</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specific identification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LIFO</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LIFO (last-in, first-out)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moving average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 Specific identification tracks the actual cost of each item. It suits unique, expensive items, such as cars or jewelry. FIFO (first-in, first-out) sends the oldest costs to cost of goods sold. Ending inventory holds the newest costs. LIFO (last-in, first-out) sends the newest costs to cost of goods sold. Ending inventory holds the oldest costs. Weighted-average cost divides the cost of goods available by the units available and uses this one unit cost for both cost of goods sold and ending inventory.</w:t>
      </w:r>
    </w:p>
    <w:p>
      <w:pPr>
        <w:spacing w:before="20" w:after="20"/>
        <w:ind w:left="240" w:hanging="240"/>
      </w:pPr>
      <w:r>
        <w:rPr>
          <w:b/>
          <w:bCs/>
          <w:color w:val="353A7C"/>
          <w:sz w:val="15"/>
          <w:szCs w:val="15"/>
        </w:rPr>
        <w:t xml:space="preserve">Summary 2   </w:t>
      </w:r>
      <w:r>
        <w:rPr>
          <w:color w:val="6B7280"/>
          <w:sz w:val="15"/>
          <w:szCs w:val="15"/>
        </w:rPr>
        <w:t xml:space="preserve">Orontes sells premium olive oil in cases of twelve bottles. Prices rose during 2025. Orontes began the year with 1,000 cases at $40. It bought 2,000 cases at $44, then 3,000 at $48, then 2,000 at $50. It sold 6,000 cases at $70, so 2,000 cases are left. The company uses a periodic system. Goods available: 8,000 cases costing $372,000.</w:t>
      </w:r>
    </w:p>
    <w:p>
      <w:pPr>
        <w:spacing w:before="20" w:after="20"/>
        <w:ind w:left="240" w:hanging="240"/>
      </w:pPr>
      <w:r>
        <w:rPr>
          <w:b/>
          <w:bCs/>
          <w:color w:val="353A7C"/>
          <w:sz w:val="15"/>
          <w:szCs w:val="15"/>
        </w:rPr>
        <w:t xml:space="preserve">Summary 3   </w:t>
      </w:r>
      <w:r>
        <w:rPr>
          <w:color w:val="6B7280"/>
          <w:sz w:val="15"/>
          <w:szCs w:val="15"/>
        </w:rPr>
        <w:t xml:space="preserve">In each row, ending inventory plus cost of goods sold equals the cost of goods available. Only the split is different.</w:t>
      </w:r>
    </w:p>
    <w:p>
      <w:pPr>
        <w:spacing w:before="20" w:after="20"/>
        <w:ind w:left="240" w:hanging="240"/>
      </w:pPr>
      <w:r>
        <w:rPr>
          <w:b/>
          <w:bCs/>
          <w:color w:val="353A7C"/>
          <w:sz w:val="15"/>
          <w:szCs w:val="15"/>
        </w:rPr>
        <w:t xml:space="preserve">Summary 4   </w:t>
      </w:r>
      <w:r>
        <w:rPr>
          <w:color w:val="6B7280"/>
          <w:sz w:val="15"/>
          <w:szCs w:val="15"/>
        </w:rPr>
        <w:t xml:space="preserve">In a periodic inventory system, the company counts the goods at year-end and calculates cost of goods sold for the whole period. In a perpetual inventory system, it updates inventory and cost of goods sold after every purchase and every sale. The average method in a perpetual system is the moving average: the company calculates a new average after each purchase. FIFO gives the same result in both systems, because the oldest units are always sold first. LIFO and the average method do not: under a perpetual system, each sale can only use the costs that exist on the date of the sale. The sales took place in April, August and November.</w:t>
      </w:r>
    </w:p>
    <w:p>
      <w:pPr>
        <w:spacing w:before="20" w:after="20"/>
        <w:ind w:left="240" w:hanging="240"/>
      </w:pPr>
      <w:r>
        <w:rPr>
          <w:b/>
          <w:bCs/>
          <w:color w:val="353A7C"/>
          <w:sz w:val="15"/>
          <w:szCs w:val="15"/>
        </w:rPr>
        <w:t xml:space="preserve">Summary 5   </w:t>
      </w:r>
      <w:r>
        <w:rPr>
          <w:color w:val="6B7280"/>
          <w:sz w:val="15"/>
          <w:szCs w:val="15"/>
        </w:rPr>
        <w:t xml:space="preserve">The Dubai plant had 3,000 frozen pastry trays available in 2025, costing $68,000. It sold 2,200 trays. Complete the dashed boxes below using periodic LIFO. Then check that cost of goods sold plus ending inventory equals the cost of goods available. IAS 2 allows FIFO and the weighted average, and it requires specific identification for items that are not interchangeable. It does not allow LIFO. You will compare the two frameworks again.</w:t>
      </w:r>
    </w:p>
    <w:p>
      <w:pPr>
        <w:sectPr>
          <w:headerReference w:type="default" r:id="rIdHdr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Effects on income, taxes and assets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prices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methods give 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results. </w:t>
      </w:r>
      <w:r>
        <w:rPr>
          <w:sz w:val="19"/>
          <w:szCs w:val="19"/>
        </w:rPr>
        <w:t xml:space="preserve">FIFO puts the old,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into cost of goods sold. </w:t>
      </w:r>
      <w:r>
        <w:rPr>
          <w:sz w:val="19"/>
          <w:szCs w:val="19"/>
        </w:rPr>
        <w:t xml:space="preserve">So FIFO gives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goods sold, the highest gross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highest income tax and the highest ending inventory. </w:t>
      </w:r>
      <w:r>
        <w:rPr>
          <w:sz w:val="19"/>
          <w:szCs w:val="19"/>
        </w:rPr>
        <w:t xml:space="preserve">LIFO gives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average falls in between. </w:t>
      </w:r>
      <w:r>
        <w:rPr>
          <w:sz w:val="19"/>
          <w:szCs w:val="19"/>
        </w:rPr>
        <w:t xml:space="preserve">When prices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all these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reverse. </w:t>
      </w:r>
      <w:r>
        <w:rPr>
          <w:sz w:val="19"/>
          <w:szCs w:val="19"/>
        </w:rPr>
        <w:t xml:space="preserve">Each method has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LIFO matches current costs with current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so its income is closer to current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reality, but its balance sheet shows old costs. </w:t>
      </w:r>
      <w:r>
        <w:rPr>
          <w:sz w:val="19"/>
          <w:szCs w:val="19"/>
        </w:rPr>
        <w:t xml:space="preserve">FIFO shows ending inventory close to current cost, but its income includes gains from holding inventory while prices rise. </w:t>
      </w:r>
      <w:r>
        <w:rPr>
          <w:sz w:val="19"/>
          <w:szCs w:val="19"/>
        </w:rPr>
        <w:t xml:space="preserve">Companies that use LIFO must help readers compare them with FIFO companies. </w:t>
      </w:r>
      <w:r>
        <w:rPr>
          <w:sz w:val="19"/>
          <w:szCs w:val="19"/>
        </w:rPr>
        <w:t xml:space="preserve">The LIFO reserve is the difference between FIFO (or current cost) inventory and LIFO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falling   ·   economic   ·   opposite   ·   cheaper   ·   lowest   ·   strength   ·   profit   ·   relationships   ·   rising   ·   weighted   ·   holding   ·   revenues   ·   different</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For Orontes, the LIFO reserve at the end of 2025 is $100,000 − $84,000 = $16,000. </w:t>
      </w: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convert LIFO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FIFO with two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FIFO inventory equals LIFO inventory plus the LIFO reserve. </w:t>
      </w:r>
      <w:r>
        <w:rPr>
          <w:sz w:val="19"/>
          <w:szCs w:val="19"/>
        </w:rPr>
        <w:t xml:space="preserve">FIFO cost of goods sold equals LIFO cost of goods sold minus the increase in the LIFO reserve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year.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year with no reserve, so the increase is $16,000, and FIFO cost of goods sold is $288,000 − $16,000 = $272,000. </w:t>
      </w:r>
      <w:r>
        <w:rPr>
          <w:sz w:val="19"/>
          <w:szCs w:val="19"/>
        </w:rPr>
        <w:t xml:space="preserve">At an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tax rate of 25%, LIFO saved $4,000 of tax this year. </w:t>
      </w:r>
      <w:r>
        <w:rPr>
          <w:sz w:val="19"/>
          <w:szCs w:val="19"/>
        </w:rPr>
        <w:t xml:space="preserve">If a LIFO company sells more units than it buys, old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layers flow into cost of goods sold.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rises for one year. </w:t>
      </w:r>
      <w:r>
        <w:rPr>
          <w:sz w:val="19"/>
          <w:szCs w:val="19"/>
        </w:rPr>
        <w:t xml:space="preserve">This is not a lasting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the company should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 if it 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This is a U.S. tax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started   ·   results   ·   low-cost   ·   illustrative   ·   liquidation   ·   analyst   ·   during   ·   material   ·   improvement   ·   Income   ·   relationships   ·   disclose</w:t>
            </w:r>
          </w:p>
        </w:tc>
      </w:tr>
    </w:tbl>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A company that uses LIFO for its tax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must also use LIFO in its financial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This is why U.S. companies that want the tax benefit of LIFO also report lower LIFO profits to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low-cost   ·   return   ·   statements   ·   investors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Signs and directions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27–30</w:t>
      </w:r>
    </w:p>
    <w:p>
      <w:pPr>
        <w:spacing w:before="20" w:after="20" w:line="360" w:lineRule="auto"/>
        <w:ind w:left="200"/>
      </w:pPr>
      <w:r>
        <w:rPr>
          <w:sz w:val="19"/>
          <w:szCs w:val="19"/>
        </w:rPr>
        <w:t xml:space="preserve">To get FIFO cost of goods sold,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increase in the LIFO reserve from LIFO cost of goods sold. </w:t>
      </w:r>
      <w:r>
        <w:rPr>
          <w:sz w:val="19"/>
          <w:szCs w:val="19"/>
        </w:rPr>
        <w:t xml:space="preserve">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prices, LIFO gives LOWER income and LOWER taxes, not higher. </w:t>
      </w:r>
      <w:r>
        <w:rPr>
          <w:sz w:val="19"/>
          <w:szCs w:val="19"/>
        </w:rPr>
        <w:t xml:space="preserve">A LIFO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raises income once. </w:t>
      </w:r>
      <w:r>
        <w:rPr>
          <w:sz w:val="19"/>
          <w:szCs w:val="19"/>
        </w:rPr>
        <w:t xml:space="preserve">Do not treat it as a better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Periodic and perpetual LIFO give different answers.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SUBTRACT   ·   holding   ·   rising   ·   liquidation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does not mean reserve</w:t>
            </w:r>
          </w:p>
        </w:tc>
      </w:tr>
    </w:tbl>
    <w:p/>
    <w:p>
      <w:pPr>
        <w:spacing w:before="44" w:after="14"/>
      </w:pPr>
      <w:r>
        <w:rPr>
          <w:b/>
          <w:bCs/>
          <w:color w:val="353A7C"/>
          <w:sz w:val="18"/>
          <w:szCs w:val="18"/>
        </w:rPr>
        <w:t xml:space="preserve">Summary 5</w:t>
      </w:r>
      <w:r>
        <w:rPr>
          <w:color w:val="6B7280"/>
          <w:sz w:val="16"/>
          <w:szCs w:val="16"/>
        </w:rPr>
        <w:t xml:space="preserve">      gaps 31–32</w:t>
      </w:r>
    </w:p>
    <w:p>
      <w:pPr>
        <w:spacing w:before="20" w:after="20" w:line="360" w:lineRule="auto"/>
        <w:ind w:left="200"/>
      </w:pPr>
      <w:r>
        <w:rPr>
          <w:sz w:val="19"/>
          <w:szCs w:val="19"/>
        </w:rPr>
        <w:t xml:space="preserve">The LIFO reserve is not an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reserve. </w:t>
      </w:r>
      <w:r>
        <w:rPr>
          <w:sz w:val="19"/>
          <w:szCs w:val="19"/>
        </w:rPr>
        <w:t xml:space="preserve">It is only the difference between two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amounts. </w:t>
      </w:r>
      <w:r>
        <w:rPr>
          <w:sz w:val="19"/>
          <w:szCs w:val="19"/>
        </w:rPr>
        <w:t xml:space="preserve">It is sometimes called the LIFO allowance or revaluation to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inventory   ·   equity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LIFO conformity rule   ·   LIFO reserve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LIFO reserve</w:t>
            </w:r>
          </w:p>
        </w:tc>
        <w:tc>
          <w:tcPr>
            <w:tcW w:type="pct" w:w="2600"/>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r>
        <w:tc>
          <w:tcPr>
            <w:tcW w:type="pct" w:w="2400"/>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Effects on income, taxes and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illustrative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low-cost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cheaper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lowest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weighted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falling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strength</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liquidation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analyst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LIFO 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LIFO conformity rule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prices are rising, the methods give very different results. FIFO puts the old, cheaper costs into cost of goods sold. So FIFO gives the lowest cost of goods sold, the highest gross profit, the highest income tax and the highest ending inventory. LIFO gives the opposite. The weighted average falls in between. When prices are falling, all these relationships reverse. Each method has a strength. LIFO matches current costs with current revenues, so its income is closer to current economic reality, but its balance sheet shows old costs. FIFO shows ending inventory close to current cost, but its income includes gains from holding inventory while prices rise. Companies that use LIFO must help readers compare them with FIFO companies. The LIFO reserve is the difference between FIFO (or current cost) inventory and LIFO inventory.</w:t>
      </w:r>
    </w:p>
    <w:p>
      <w:pPr>
        <w:spacing w:before="20" w:after="20"/>
        <w:ind w:left="240" w:hanging="240"/>
      </w:pPr>
      <w:r>
        <w:rPr>
          <w:b/>
          <w:bCs/>
          <w:color w:val="353A7C"/>
          <w:sz w:val="15"/>
          <w:szCs w:val="15"/>
        </w:rPr>
        <w:t xml:space="preserve">Summary 2   </w:t>
      </w:r>
      <w:r>
        <w:rPr>
          <w:color w:val="6B7280"/>
          <w:sz w:val="15"/>
          <w:szCs w:val="15"/>
        </w:rPr>
        <w:t xml:space="preserve">For Orontes, the LIFO reserve at the end of 2025 is $100,000 − $84,000 = $16,000. An analyst can convert LIFO results to FIFO with two relationships. FIFO inventory equals LIFO inventory plus the LIFO reserve. FIFO cost of goods sold equals LIFO cost of goods sold minus the increase in the LIFO reserve during the year. Orontes started the year with no reserve, so the increase is $16,000, and FIFO cost of goods sold is $288,000 − $16,000 = $272,000. At an illustrative tax rate of 25%, LIFO saved $4,000 of tax this year. If a LIFO company sells more units than it buys, old low-cost layers flow into cost of goods sold. Income rises for one year. This is not a lasting improvement, and the company should disclose it if it is material. This is a U.S. tax rule.</w:t>
      </w:r>
    </w:p>
    <w:p>
      <w:pPr>
        <w:spacing w:before="20" w:after="20"/>
        <w:ind w:left="240" w:hanging="240"/>
      </w:pPr>
      <w:r>
        <w:rPr>
          <w:b/>
          <w:bCs/>
          <w:color w:val="353A7C"/>
          <w:sz w:val="15"/>
          <w:szCs w:val="15"/>
        </w:rPr>
        <w:t xml:space="preserve">Summary 3   </w:t>
      </w:r>
      <w:r>
        <w:rPr>
          <w:color w:val="6B7280"/>
          <w:sz w:val="15"/>
          <w:szCs w:val="15"/>
        </w:rPr>
        <w:t xml:space="preserve">A company that uses LIFO for its tax return must also use LIFO in its financial statements. This is why U.S. companies that want the tax benefit of LIFO also report lower LIFO profits to investors.</w:t>
      </w:r>
    </w:p>
    <w:p>
      <w:pPr>
        <w:spacing w:before="20" w:after="20"/>
        <w:ind w:left="240" w:hanging="240"/>
      </w:pPr>
      <w:r>
        <w:rPr>
          <w:b/>
          <w:bCs/>
          <w:color w:val="353A7C"/>
          <w:sz w:val="15"/>
          <w:szCs w:val="15"/>
        </w:rPr>
        <w:t xml:space="preserve">Summary 4   </w:t>
      </w:r>
      <w:r>
        <w:rPr>
          <w:color w:val="6B7280"/>
          <w:sz w:val="15"/>
          <w:szCs w:val="15"/>
        </w:rPr>
        <w:t xml:space="preserve">To get FIFO cost of goods sold, SUBTRACT the increase in the LIFO reserve from LIFO cost of goods sold. In rising prices, LIFO gives LOWER income and LOWER taxes, not higher. A LIFO liquidation raises income once. Do not treat it as a better business. Periodic and perpetual LIFO give different answers.</w:t>
      </w:r>
    </w:p>
    <w:p>
      <w:pPr>
        <w:spacing w:before="20" w:after="20"/>
        <w:ind w:left="240" w:hanging="240"/>
      </w:pPr>
      <w:r>
        <w:rPr>
          <w:b/>
          <w:bCs/>
          <w:color w:val="353A7C"/>
          <w:sz w:val="15"/>
          <w:szCs w:val="15"/>
        </w:rPr>
        <w:t xml:space="preserve">Summary 5   </w:t>
      </w:r>
      <w:r>
        <w:rPr>
          <w:color w:val="6B7280"/>
          <w:sz w:val="15"/>
          <w:szCs w:val="15"/>
        </w:rPr>
        <w:t xml:space="preserve">The LIFO reserve is not an equity reserve. It is only the difference between two inventory amounts. It is sometimes called the LIFO allowance or revaluation to LIFO.</w:t>
      </w:r>
    </w:p>
    <w:p>
      <w:pPr>
        <w:sectPr>
          <w:headerReference w:type="default" r:id="rIdHdr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Inventory errors</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Cost of goods sold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count: beginning inventory plus purchases minus ending inventory. </w:t>
      </w:r>
      <w:r>
        <w:rPr>
          <w:sz w:val="19"/>
          <w:szCs w:val="19"/>
        </w:rPr>
        <w:t xml:space="preserve">If ending inventory is wrong, cost of goods sold is wrong in the same year. </w:t>
      </w:r>
      <w:r>
        <w:rPr>
          <w:sz w:val="19"/>
          <w:szCs w:val="19"/>
        </w:rPr>
        <w:t xml:space="preserve">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this year's ending inventory is next year's beginning inventory, the error moves into the next year too. </w:t>
      </w:r>
      <w:r>
        <w:rPr>
          <w:sz w:val="19"/>
          <w:szCs w:val="19"/>
        </w:rPr>
        <w:t xml:space="preserve">At the end of 2025,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counted some goods twice, so ending inventory was overstated by 40 (USD 000). </w:t>
      </w:r>
      <w:r>
        <w:rPr>
          <w:sz w:val="19"/>
          <w:szCs w:val="19"/>
        </w:rPr>
        <w:t xml:space="preserve">Cost of goods sold was understated by 40, so pretax income was overstated by 40. </w:t>
      </w:r>
      <w:r>
        <w:rPr>
          <w:sz w:val="19"/>
          <w:szCs w:val="19"/>
        </w:rPr>
        <w:t xml:space="preserve">In 2026, beginning inventory was too high, so cost of goods sold was overstated and pretax income was understated by 40. </w:t>
      </w:r>
      <w:r>
        <w:rPr>
          <w:sz w:val="19"/>
          <w:szCs w:val="19"/>
        </w:rPr>
        <w:t xml:space="preserve">Over the two years, the two errors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earnings are overstated at the end of 2025 but correct at the end of 2026. </w:t>
      </w:r>
      <w:r>
        <w:rPr>
          <w:sz w:val="19"/>
          <w:szCs w:val="19"/>
        </w:rPr>
        <w:t xml:space="preserve">This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error.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tax effect: at a 25% tax rate, net income was overstated by only 30 in the first year. </w:t>
      </w:r>
      <w:r>
        <w:rPr>
          <w:sz w:val="19"/>
          <w:szCs w:val="19"/>
        </w:rPr>
        <w:t xml:space="preserve">Errors in purchases work in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way. </w:t>
      </w:r>
      <w:r>
        <w:rPr>
          <w:sz w:val="19"/>
          <w:szCs w:val="19"/>
        </w:rPr>
        <w:t xml:space="preserve">Row 3 is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exam item: when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left out of both purchases and the count, cost of goods sold and income are still correct, but inventory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payable are both understated.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   ·   because   ·   inventory   ·   Retained   ·   cancel   ·   Orontes   ·   Remember   ·   accounts   ·   classic   ·   similar   ·   counterbalancing   ·   depends</w:t>
            </w:r>
          </w:p>
        </w:tc>
      </w:tr>
    </w:tbl>
    <w:p/>
    <w:p>
      <w:pPr>
        <w:spacing w:before="44" w:after="10"/>
      </w:pPr>
      <w:r>
        <w:rPr>
          <w:b/>
          <w:bCs/>
          <w:color w:val="353A7C"/>
          <w:sz w:val="18"/>
          <w:szCs w:val="18"/>
        </w:rPr>
        <w:t xml:space="preserve">Effects of four common inventory errors (O = overstated, U = understated)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Ending inventory overstated   ·   2. Ending inventory understated</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If a company finds an error from a prior year, it corrects the error by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prior-year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with an adjustment to beginning retained earnings (ASC 250). </w:t>
      </w:r>
      <w:r>
        <w:rPr>
          <w:sz w:val="19"/>
          <w:szCs w:val="19"/>
        </w:rPr>
        <w:t xml:space="preserve">If the error has already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retained earnings need no adjustment, but the prior-year income figures shown for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are still restated.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restating   ·   statements   ·   consignment   ·   counterbalanced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Over- and under-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Net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overstated by 40 (the size of the error), not overstated to 940. </w:t>
      </w:r>
      <w:r>
        <w:rPr>
          <w:sz w:val="19"/>
          <w:szCs w:val="19"/>
        </w:rPr>
        <w:t xml:space="preserve">In a question, find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for the first year, then reverse it for the second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   ·   income   ·   direction</w:t>
            </w:r>
          </w:p>
        </w:tc>
      </w:tr>
    </w:tbl>
    <w:p/>
    <w:p>
      <w:pPr>
        <w:spacing w:before="44" w:after="10"/>
      </w:pPr>
      <w:r>
        <w:rPr>
          <w:b/>
          <w:bCs/>
          <w:color w:val="353A7C"/>
          <w:sz w:val="18"/>
          <w:szCs w:val="18"/>
        </w:rPr>
        <w:t xml:space="preserve">Over- and under-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 1   ·   M3   ·   counterbalancing error   ·   M2   ·   M1   ·   Sep 21</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COGS, line 2: 1,200 × $22</w:t>
            </w:r>
          </w:p>
        </w:tc>
        <w:tc>
          <w:tcPr>
            <w:tcW w:type="pct" w:w="2600"/>
            <w:tcMar>
              <w:top w:type="dxa" w:w="50"/>
              <w:left w:type="dxa" w:w="110"/>
              <w:bottom w:type="dxa" w:w="50"/>
              <w:right w:type="dxa" w:w="110"/>
            </w:tcMar>
          </w:tcPr>
          <w:p>
            <w:pPr>
              <w:spacing w:before="28" w:after="28"/>
            </w:pPr>
            <w:r>
              <w:rPr>
                <w:sz w:val="15"/>
                <w:szCs w:val="15"/>
              </w:rPr>
              <w:t xml:space="preserve">$26,400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inventory, line 1: 300 × $22</w:t>
            </w:r>
          </w:p>
        </w:tc>
        <w:tc>
          <w:tcPr>
            <w:tcW w:type="pct" w:w="2600"/>
            <w:shd w:fill="FBFAF6" w:val="clear"/>
            <w:tcMar>
              <w:top w:type="dxa" w:w="50"/>
              <w:left w:type="dxa" w:w="110"/>
              <w:bottom w:type="dxa" w:w="50"/>
              <w:right w:type="dxa" w:w="110"/>
            </w:tcMar>
          </w:tcPr>
          <w:p>
            <w:pPr>
              <w:spacing w:before="28" w:after="28"/>
            </w:pPr>
            <w:r>
              <w:rPr>
                <w:sz w:val="15"/>
                <w:szCs w:val="15"/>
              </w:rPr>
              <w:t xml:space="preserve">$6,600</w:t>
            </w:r>
          </w:p>
        </w:tc>
      </w:tr>
      <w:tr>
        <w:tc>
          <w:tcPr>
            <w:tcW w:type="pct" w:w="2400"/>
            <w:tcMar>
              <w:top w:type="dxa" w:w="50"/>
              <w:left w:type="dxa" w:w="110"/>
              <w:bottom w:type="dxa" w:w="50"/>
              <w:right w:type="dxa" w:w="110"/>
            </w:tcMar>
          </w:tcPr>
          <w:p>
            <w:pPr>
              <w:spacing w:before="28" w:after="28"/>
            </w:pPr>
            <w:r>
              <w:rPr>
                <w:sz w:val="15"/>
                <w:szCs w:val="15"/>
              </w:rPr>
              <w:t xml:space="preserve">Ending inventory, line 2: 500 × $20</w:t>
            </w:r>
          </w:p>
        </w:tc>
        <w:tc>
          <w:tcPr>
            <w:tcW w:type="pct" w:w="2600"/>
            <w:tcMar>
              <w:top w:type="dxa" w:w="50"/>
              <w:left w:type="dxa" w:w="110"/>
              <w:bottom w:type="dxa" w:w="50"/>
              <w:right w:type="dxa" w:w="110"/>
            </w:tcMar>
          </w:tcPr>
          <w:p>
            <w:pPr>
              <w:spacing w:before="28" w:after="28"/>
            </w:pPr>
            <w:r>
              <w:rPr>
                <w:sz w:val="15"/>
                <w:szCs w:val="15"/>
              </w:rPr>
              <w:t xml:space="preserve">$10,000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COGS</w:t>
            </w:r>
          </w:p>
        </w:tc>
        <w:tc>
          <w:tcPr>
            <w:tcW w:type="pct" w:w="2600"/>
            <w:shd w:fill="FBFAF6" w:val="clear"/>
            <w:tcMar>
              <w:top w:type="dxa" w:w="50"/>
              <w:left w:type="dxa" w:w="110"/>
              <w:bottom w:type="dxa" w:w="50"/>
              <w:right w:type="dxa" w:w="110"/>
            </w:tcMar>
          </w:tcPr>
          <w:p>
            <w:pPr>
              <w:spacing w:before="28" w:after="28"/>
            </w:pPr>
            <w:r>
              <w:rPr>
                <w:sz w:val="15"/>
                <w:szCs w:val="15"/>
              </w:rPr>
              <w:t xml:space="preserve">$25,000 + $26,400 = $51,400</w:t>
            </w:r>
          </w:p>
        </w:tc>
      </w:tr>
      <w:tr>
        <w:tc>
          <w:tcPr>
            <w:tcW w:type="pct" w:w="2400"/>
            <w:tcMar>
              <w:top w:type="dxa" w:w="50"/>
              <w:left w:type="dxa" w:w="110"/>
              <w:bottom w:type="dxa" w:w="50"/>
              <w:right w:type="dxa" w:w="110"/>
            </w:tcMar>
          </w:tcPr>
          <w:p>
            <w:pPr>
              <w:spacing w:before="28" w:after="28"/>
            </w:pPr>
            <w:r>
              <w:rPr>
                <w:sz w:val="15"/>
                <w:szCs w:val="15"/>
              </w:rPr>
              <w:t xml:space="preserve">Total ending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Check</w:t>
            </w:r>
          </w:p>
        </w:tc>
        <w:tc>
          <w:tcPr>
            <w:tcW w:type="pct" w:w="2600"/>
            <w:shd w:fill="FBFAF6" w:val="clear"/>
            <w:tcMar>
              <w:top w:type="dxa" w:w="50"/>
              <w:left w:type="dxa" w:w="110"/>
              <w:bottom w:type="dxa" w:w="50"/>
              <w:right w:type="dxa" w:w="110"/>
            </w:tcMar>
          </w:tcPr>
          <w:p>
            <w:pPr>
              <w:spacing w:before="28" w:after="28"/>
            </w:pPr>
            <w:r>
              <w:rPr>
                <w:sz w:val="15"/>
                <w:szCs w:val="15"/>
              </w:rPr>
              <w:t xml:space="preserve">$51,400 + $16,600 = $68,000, the cost of goods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$6,600 + $10,000 = $16,600   ·   available   ·   freight-out</w:t>
            </w:r>
          </w:p>
        </w:tc>
      </w:tr>
    </w:tbl>
    <w:p/>
    <w:p>
      <w:pPr>
        <w:pageBreakBefore w:val="true"/>
        <w:spacing w:after="0"/>
      </w:pPr>
      <w:r>
        <w:rPr>
          <w:sz w:val="2"/>
        </w:rPr>
        <w:t xml:space="preserve"> </w:t>
      </w:r>
    </w:p>
    <w:p>
      <w:pPr>
        <w:spacing w:before="44" w:after="10"/>
      </w:pPr>
      <w:r>
        <w:rPr>
          <w:b/>
          <w:bCs/>
          <w:color w:val="353A7C"/>
          <w:sz w:val="18"/>
          <w:szCs w:val="18"/>
        </w:rPr>
        <w:t xml:space="preserve">Memo item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M4 (at a Doha consignee)   ·   M2 (FOB destination, sold)   ·   cost of goods sold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تكلفة البضاعة المباعة   ·   cost of goods sold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bl>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Inventory errors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cancel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Jan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Retained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 21</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counterbalancing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M1</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Remember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M2</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similar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M3</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$6,600 + $10,000 = $16,600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M2 (FOB destination,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1. Ending inventory overstated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M4 (at a Doha 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restating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counterbalanced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 At the end of 2025, Orontes counted some goods twice, so ending inventory was overstated by 40 (USD 000). Cost of goods sold was understated by 40, so pretax income was overstated by 40. In 2026, beginning inventory was too high, so cost of goods sold was overstated and pretax income was understated by 40. Over the two years, the two errors cancel. Retained earnings are overstated at the end of 2025 but correct at the end of 2026. This is a counterbalancing error. Remember the tax effect: at a 25% tax rate, net income was overstated by only 30 in the first year. Errors in purchases work in a similar way. Row 3 is a classic exam item: when a purchase is left out of both purchases and the count, cost of goods sold and income are still correct, but inventory and accounts payable are both understated.</w:t>
      </w:r>
    </w:p>
    <w:p>
      <w:pPr>
        <w:spacing w:before="20" w:after="20"/>
        <w:ind w:left="240" w:hanging="240"/>
      </w:pPr>
      <w:r>
        <w:rPr>
          <w:b/>
          <w:bCs/>
          <w:color w:val="353A7C"/>
          <w:sz w:val="15"/>
          <w:szCs w:val="15"/>
        </w:rPr>
        <w:t xml:space="preserve">Summary 2   </w:t>
      </w:r>
      <w:r>
        <w:rPr>
          <w:color w:val="6B7280"/>
          <w:sz w:val="15"/>
          <w:szCs w:val="15"/>
        </w:rPr>
        <w:t xml:space="preserve">If a company finds an error from a prior year, it corrects the error by restating the prior-year statements, with an adjustment to beginning retained earnings (ASC 250). If the error has already counterbalanced, retained earnings need no adjustment, but the prior-year income figures shown for comparison are still restated.</w:t>
      </w:r>
    </w:p>
    <w:p>
      <w:pPr>
        <w:spacing w:before="20" w:after="20"/>
        <w:ind w:left="240" w:hanging="240"/>
      </w:pPr>
      <w:r>
        <w:rPr>
          <w:b/>
          <w:bCs/>
          <w:color w:val="353A7C"/>
          <w:sz w:val="15"/>
          <w:szCs w:val="15"/>
        </w:rPr>
        <w:t xml:space="preserve">Summary 3   </w:t>
      </w:r>
      <w:r>
        <w:rPr>
          <w:color w:val="6B7280"/>
          <w:sz w:val="15"/>
          <w:szCs w:val="15"/>
        </w:rPr>
        <w:t xml:space="preserve">Net income is overstated by 40 (the size of the error), not overstated to 940. In a question, find the direction for the first year, then reverse it for the second year.</w:t>
      </w:r>
    </w:p>
    <w:p>
      <w:pPr>
        <w:sectPr>
          <w:headerReference w:type="default" r:id="rIdHdr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Which test applies?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Advantages and disadvantages of the methods   ·   Which test applies?   ·   net realizable value (NRV)</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At 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date, the company checks whether the cost of its inventory is still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Inventory measured by FIFO,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or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uses the lower of cost and net realizable value (LCNRV). </w:t>
      </w:r>
      <w:r>
        <w:rPr>
          <w:sz w:val="19"/>
          <w:szCs w:val="19"/>
        </w:rPr>
        <w:t xml:space="preserve">Inventory measured by LIFO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inventory method uses the lower of cost 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(LCM) (Section 8.2). </w:t>
      </w:r>
      <w:r>
        <w:rPr>
          <w:sz w:val="19"/>
          <w:szCs w:val="19"/>
        </w:rPr>
        <w:t xml:space="preserve">Net realizable value (NRV)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selling price in the ordinary course of business, minus the costs to complete, sell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goods. </w:t>
      </w:r>
      <w:r>
        <w:rPr>
          <w:sz w:val="19"/>
          <w:szCs w:val="19"/>
        </w:rPr>
        <w:t xml:space="preserve">If NRV is below cost, the company records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NRV. </w:t>
      </w:r>
      <w:r>
        <w:rPr>
          <w:sz w:val="19"/>
          <w:szCs w:val="19"/>
        </w:rPr>
        <w:t xml:space="preserve">The loss goes to income, usually inside cost of goods sold, or as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line if it is large.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estimated   ·   market   ·   write-down   ·   balance   ·   transport   ·   identification   ·   average   ·   recoverable   ·   separate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LCNRV for Orontes olive oil</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In, Orontes used FIFO for olive oil. </w:t>
      </w:r>
      <w:r>
        <w:rPr>
          <w:sz w:val="19"/>
          <w:szCs w:val="19"/>
        </w:rPr>
        <w:t xml:space="preserve">Its ending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 2,000 cases at $50. </w:t>
      </w:r>
      <w:r>
        <w:rPr>
          <w:sz w:val="19"/>
          <w:szCs w:val="19"/>
        </w:rPr>
        <w:t xml:space="preserve">In late December, a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cut prices. </w:t>
      </w:r>
      <w:r>
        <w:rPr>
          <w:sz w:val="19"/>
          <w:szCs w:val="19"/>
        </w:rPr>
        <w:t xml:space="preserve">Orontes now expects to sell each case for $54, with $6 of selling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recognized   ·   delivery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LCNRV for Orontes olive oil at December 31, 2025 (whole USD)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olive oil,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per case</w:t>
            </w:r>
          </w:p>
        </w:tc>
        <w:tc>
          <w:tcPr>
            <w:tcW w:type="pct" w:w="24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00"/>
            <w:tcMar>
              <w:top w:type="dxa" w:w="50"/>
              <w:left w:type="dxa" w:w="110"/>
              <w:bottom w:type="dxa" w:w="50"/>
              <w:right w:type="dxa" w:w="110"/>
            </w:tcMar>
          </w:tcPr>
          <w:p>
            <w:pPr>
              <w:spacing w:before="28" w:after="28"/>
            </w:pPr>
            <w:r>
              <w:rPr>
                <w:sz w:val="15"/>
                <w:szCs w:val="15"/>
              </w:rPr>
              <w:t xml:space="preserve">New estimated selling price per case</w:t>
            </w:r>
          </w:p>
        </w:tc>
        <w:tc>
          <w:tcPr>
            <w:tcW w:type="pct" w:w="2400"/>
            <w:tcMar>
              <w:top w:type="dxa" w:w="50"/>
              <w:left w:type="dxa" w:w="110"/>
              <w:bottom w:type="dxa" w:w="50"/>
              <w:right w:type="dxa" w:w="110"/>
            </w:tcMar>
          </w:tcPr>
          <w:p>
            <w:pPr>
              <w:spacing w:before="28" w:after="28"/>
            </w:pPr>
            <w:r>
              <w:rPr>
                <w:sz w:val="15"/>
                <w:szCs w:val="15"/>
              </w:rPr>
              <w:t xml:space="preserve">$54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Costs to sell and deliver per case</w:t>
            </w:r>
          </w:p>
        </w:tc>
        <w:tc>
          <w:tcPr>
            <w:tcW w:type="pct" w:w="2400"/>
            <w:shd w:fill="FBFAF6" w:val="clear"/>
            <w:tcMar>
              <w:top w:type="dxa" w:w="50"/>
              <w:left w:type="dxa" w:w="110"/>
              <w:bottom w:type="dxa" w:w="50"/>
              <w:right w:type="dxa" w:w="110"/>
            </w:tcMar>
          </w:tcPr>
          <w:p>
            <w:pPr>
              <w:spacing w:before="28" w:after="28"/>
            </w:pPr>
            <w:r>
              <w:rPr>
                <w:sz w:val="15"/>
                <w:szCs w:val="15"/>
              </w:rPr>
              <w:t xml:space="preserve">$6</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$48</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tcMar>
              <w:top w:type="dxa" w:w="50"/>
              <w:left w:type="dxa" w:w="110"/>
              <w:bottom w:type="dxa" w:w="50"/>
              <w:right w:type="dxa" w:w="110"/>
            </w:tcMar>
          </w:tcPr>
          <w:p>
            <w:pPr>
              <w:spacing w:before="28" w:after="28"/>
            </w:pPr>
            <w:r>
              <w:rPr>
                <w:sz w:val="15"/>
                <w:szCs w:val="15"/>
              </w:rPr>
              <w:t xml:space="preserve">$96,000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Write-down (loss in income)</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at cost   ·   Olive oil cases on hand (FIFO layer from Chapter 7)   ·   Inventory at LCNRV   ·   lower of cost or market (LCM)   ·   NRV per case</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of $4,000 is a loss of 2025. </w:t>
      </w:r>
      <w:r>
        <w:rPr>
          <w:sz w:val="19"/>
          <w:szCs w:val="19"/>
        </w:rPr>
        <w:t xml:space="preserve">The new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$48 a case, is now the cost basis of these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amount   ·   inventories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NRV has no profit deduction</w:t>
            </w:r>
          </w:p>
        </w:tc>
      </w:tr>
    </w:tbl>
    <w:p/>
    <w:p>
      <w:pPr>
        <w:spacing w:before="44" w:after="14"/>
      </w:pPr>
      <w:r>
        <w:rPr>
          <w:b/>
          <w:bCs/>
          <w:color w:val="353A7C"/>
          <w:sz w:val="18"/>
          <w:szCs w:val="18"/>
        </w:rPr>
        <w:t xml:space="preserve">Summary 4</w:t>
      </w:r>
      <w:r>
        <w:rPr>
          <w:color w:val="6B7280"/>
          <w:sz w:val="16"/>
          <w:szCs w:val="16"/>
        </w:rPr>
        <w:t xml:space="preserve">      gaps 22–26</w:t>
      </w:r>
    </w:p>
    <w:p>
      <w:pPr>
        <w:spacing w:before="20" w:after="20" w:line="360" w:lineRule="auto"/>
        <w:ind w:left="200"/>
      </w:pPr>
      <w:r>
        <w:rPr>
          <w:sz w:val="19"/>
          <w:szCs w:val="19"/>
        </w:rPr>
        <w:t xml:space="preserve">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recognized in an interim quarter is the only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may be recovered in a later quarter of the same fiscal year. </w:t>
      </w:r>
      <w:r>
        <w:rPr>
          <w:sz w:val="19"/>
          <w:szCs w:val="19"/>
        </w:rPr>
        <w:t xml:space="preserve">NRV =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price − costs to complete, sell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Do NOT deduct a normal profit; that only defines the LCM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Check the method first: FIFO or average → LCNRV; LIFO or retail → LCM.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floor   ·   exception   ·   selling   ·   transport   ·   original</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reverses   ·   requires   ·   reversal   ·   markdown   ·   inventories   ·   write-down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floor   ·   lower of cost and net realizable value (LCNRV)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5"/>
        <w:gridCol w:w="48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2"/>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28"/>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72"/>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28"/>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r>
        <w:tc>
          <w:tcPr>
            <w:tcW w:type="pct" w:w="2472"/>
            <w:tcMar>
              <w:top w:type="dxa" w:w="50"/>
              <w:left w:type="dxa" w:w="110"/>
              <w:bottom w:type="dxa" w:w="50"/>
              <w:right w:type="dxa" w:w="110"/>
            </w:tcMar>
          </w:tcPr>
          <w:p>
            <w:pPr>
              <w:spacing w:before="26" w:after="26"/>
            </w:pPr>
            <w:r>
              <w:rPr>
                <w:color w:val="232733"/>
                <w:sz w:val="16"/>
                <w:szCs w:val="16"/>
              </w:rPr>
              <w:t xml:space="preserve">write-down</w:t>
            </w:r>
          </w:p>
        </w:tc>
        <w:tc>
          <w:tcPr>
            <w:tcW w:type="pct" w:w="2528"/>
            <w:tcMar>
              <w:top w:type="dxa" w:w="50"/>
              <w:left w:type="dxa" w:w="110"/>
              <w:bottom w:type="dxa" w:w="50"/>
              <w:right w:type="dxa" w:w="110"/>
            </w:tcMar>
          </w:tcPr>
          <w:p>
            <w:pPr>
              <w:spacing w:before="26" w:after="26"/>
            </w:pPr>
            <w:r>
              <w:rPr>
                <w:color w:val="232733"/>
                <w:sz w:val="16"/>
                <w:szCs w:val="16"/>
              </w:rPr>
              <w:t xml:space="preserve">تخفيض القيمة</w:t>
            </w:r>
          </w:p>
        </w:tc>
      </w:tr>
    </w:tbl>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Which test applies?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 test applies?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Inventory at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Advantages and disadvantages of the methods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 at LCNRV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recoverable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transport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reverses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inventories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Olive oil cases on hand (FIFO layer from Chapter 7)</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lower of cost and net realizable value (LCNRV)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NRV per case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write-down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balance sheet date, the company checks whether the cost of its inventory is still recoverable. Inventory measured by FIFO, average cost or specific identification uses the lower of cost and net realizable value (LCNRV). Inventory measured by LIFO or the retail inventory method uses the lower of cost or market (LCM) (Section 8.2). Net realizable value (NRV) is the estimated selling price in the ordinary course of business, minus the costs to complete, sell and transport the goods. If NRV is below cost, the company records a write-down to NRV. The loss goes to income, usually inside cost of goods sold, or as a separate line if it is large.</w:t>
      </w:r>
    </w:p>
    <w:p>
      <w:pPr>
        <w:spacing w:before="20" w:after="20"/>
        <w:ind w:left="240" w:hanging="240"/>
      </w:pPr>
      <w:r>
        <w:rPr>
          <w:b/>
          <w:bCs/>
          <w:color w:val="353A7C"/>
          <w:sz w:val="15"/>
          <w:szCs w:val="15"/>
        </w:rPr>
        <w:t xml:space="preserve">Summary 2   </w:t>
      </w:r>
      <w:r>
        <w:rPr>
          <w:color w:val="6B7280"/>
          <w:sz w:val="15"/>
          <w:szCs w:val="15"/>
        </w:rPr>
        <w:t xml:space="preserve">In, Orontes used FIFO for olive oil. Its ending inventory was 2,000 cases at $50. In late December, a large competitor cut prices. Orontes now expects to sell each case for $54, with $6 of selling and delivery costs.</w:t>
      </w:r>
    </w:p>
    <w:p>
      <w:pPr>
        <w:spacing w:before="20" w:after="20"/>
        <w:ind w:left="240" w:hanging="240"/>
      </w:pPr>
      <w:r>
        <w:rPr>
          <w:b/>
          <w:bCs/>
          <w:color w:val="353A7C"/>
          <w:sz w:val="15"/>
          <w:szCs w:val="15"/>
        </w:rPr>
        <w:t xml:space="preserve">Summary 3   </w:t>
      </w:r>
      <w:r>
        <w:rPr>
          <w:color w:val="6B7280"/>
          <w:sz w:val="15"/>
          <w:szCs w:val="15"/>
        </w:rPr>
        <w:t xml:space="preserve">The write-down of $4,000 is a loss of 2025. The new amount, $48 a case, is now the cost basis of these cases.</w:t>
      </w:r>
    </w:p>
    <w:p>
      <w:pPr>
        <w:spacing w:before="20" w:after="20"/>
        <w:ind w:left="240" w:hanging="240"/>
      </w:pPr>
      <w:r>
        <w:rPr>
          <w:b/>
          <w:bCs/>
          <w:color w:val="353A7C"/>
          <w:sz w:val="15"/>
          <w:szCs w:val="15"/>
        </w:rPr>
        <w:t xml:space="preserve">Summary 4   </w:t>
      </w:r>
      <w:r>
        <w:rPr>
          <w:color w:val="6B7280"/>
          <w:sz w:val="15"/>
          <w:szCs w:val="15"/>
        </w:rPr>
        <w:t xml:space="preserve">A write-down recognized in an interim quarter is the only exception: it may be recovered in a later quarter of the same fiscal year. NRV = selling price − costs to complete, sell and transport. Do NOT deduct a normal profit; that only defines the LCM floor. Check the method first: FIFO or average → LCNRV; LIFO or retail → LCM.</w:t>
      </w:r>
    </w:p>
    <w:p>
      <w:pPr>
        <w:sectPr>
          <w:headerReference w:type="default" r:id="rIdHdr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Lower of cost or market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Under LCM, market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with replacement cost: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to buy or make the item again. </w:t>
      </w:r>
      <w:r>
        <w:rPr>
          <w:sz w:val="19"/>
          <w:szCs w:val="19"/>
        </w:rPr>
        <w:t xml:space="preserve">But market has two limits. </w:t>
      </w:r>
      <w:r>
        <w:rPr>
          <w:sz w:val="19"/>
          <w:szCs w:val="19"/>
        </w:rPr>
        <w:t xml:space="preserve">It cannot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than a ceiling equal to NRV, and it cannot be lower than a floor equal to NRV minus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margin.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has two steps. </w:t>
      </w:r>
      <w:r>
        <w:rPr>
          <w:sz w:val="19"/>
          <w:szCs w:val="19"/>
        </w:rPr>
        <w:t xml:space="preserve">First, find market: take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of replacement cost, the ceiling and the floor. </w:t>
      </w:r>
      <w:r>
        <w:rPr>
          <w:sz w:val="19"/>
          <w:szCs w:val="19"/>
        </w:rPr>
        <w:t xml:space="preserve">Second,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market with cost and take the lower. </w:t>
      </w:r>
      <w:r>
        <w:rPr>
          <w:sz w:val="19"/>
          <w:szCs w:val="19"/>
        </w:rPr>
        <w:t xml:space="preserve">Why the limits? The ceiling stops the company from carrying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above what it can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floor stops an excessive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that would create an abnormally high profit when the goods are sold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middle   ·   because   ·   inventory   ·   write-down   ·   procedure   ·   normal   ·   compare   ·   starts   ·   recover   ·   higher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LCM, item by item</w:t>
            </w:r>
          </w:p>
        </w:tc>
      </w:tr>
    </w:tbl>
    <w:p/>
    <w:p>
      <w:pPr>
        <w:spacing w:before="44" w:after="10"/>
      </w:pPr>
      <w:r>
        <w:rPr>
          <w:b/>
          <w:bCs/>
          <w:color w:val="353A7C"/>
          <w:sz w:val="18"/>
          <w:szCs w:val="18"/>
        </w:rPr>
        <w:t xml:space="preserve">LCM, item by item, for four Orontes product lines measured under LIFO (whole USD per case)</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markup   ·   Tahini   ·   Chickpeas</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The item-by-item basis gives a total write-down of $4,500. </w:t>
      </w:r>
      <w:r>
        <w:rPr>
          <w:sz w:val="19"/>
          <w:szCs w:val="19"/>
        </w:rPr>
        <w:t xml:space="preserve">A company may also apply LCM by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to the total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if it does so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On the total basis, total market ($121,500)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with total cost ($122,000), and the write-down is only $500,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gains on some items offset losses on others. </w:t>
      </w:r>
      <w:r>
        <w:rPr>
          <w:sz w:val="19"/>
          <w:szCs w:val="19"/>
        </w:rPr>
        <w:t xml:space="preserve">The item-by-item basis is the most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One more rule: if a company has a firm,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purchase commitment at a price above the current market, it records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loss now, in the current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conservative   ·   compared   ·   non-cancellable   ·   inventory   ·   ceiling   ·   expected   ·   because   ·   category   ·   consistently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Find market first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21–24</w:t>
      </w:r>
    </w:p>
    <w:p>
      <w:pPr>
        <w:spacing w:before="20" w:after="20" w:line="360" w:lineRule="auto"/>
        <w:ind w:left="200"/>
      </w:pPr>
      <w:r>
        <w:rPr>
          <w:sz w:val="19"/>
          <w:szCs w:val="19"/>
        </w:rPr>
        <w:t xml:space="preserve">Do not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replacement cost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with cost. </w:t>
      </w:r>
      <w:r>
        <w:rPr>
          <w:sz w:val="19"/>
          <w:szCs w:val="19"/>
        </w:rPr>
        <w:t xml:space="preserve">First limit it by the ceiling and the floor. </w:t>
      </w:r>
      <w:r>
        <w:rPr>
          <w:sz w:val="19"/>
          <w:szCs w:val="19"/>
        </w:rPr>
        <w:t xml:space="preserve">When replacement cost is below the floor, market is the floor. </w:t>
      </w:r>
      <w:r>
        <w:rPr>
          <w:sz w:val="19"/>
          <w:szCs w:val="19"/>
        </w:rPr>
        <w:t xml:space="preserve">When it is above the ceiling, market is the ceiling. </w:t>
      </w:r>
      <w:r>
        <w:rPr>
          <w:sz w:val="19"/>
          <w:szCs w:val="19"/>
        </w:rPr>
        <w:t xml:space="preserve">Read the basis in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item by item, by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or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category   ·   directly   ·   question   ·   ceiling   ·   compare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lower of cost or market (LCM)   ·   item-by-item basis   ·   net realizable value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0"/>
        <w:gridCol w:w="461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9"/>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01"/>
            <w:tcMar>
              <w:top w:type="dxa" w:w="50"/>
              <w:left w:type="dxa" w:w="110"/>
              <w:bottom w:type="dxa" w:w="50"/>
              <w:right w:type="dxa" w:w="110"/>
            </w:tcMar>
          </w:tcPr>
          <w:p>
            <w:pPr>
              <w:spacing w:before="26" w:after="26"/>
            </w:pPr>
            <w:r>
              <w:rPr>
                <w:color w:val="232733"/>
                <w:sz w:val="16"/>
                <w:szCs w:val="16"/>
              </w:rPr>
              <w:t xml:space="preserve">التكلفة أو السوق، أيهما أقل</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replacement cost</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تكلفة الإحلال</w:t>
            </w:r>
          </w:p>
        </w:tc>
      </w:tr>
      <w:tr>
        <w:tc>
          <w:tcPr>
            <w:tcW w:type="pct" w:w="2599"/>
            <w:tcMar>
              <w:top w:type="dxa" w:w="50"/>
              <w:left w:type="dxa" w:w="110"/>
              <w:bottom w:type="dxa" w:w="50"/>
              <w:right w:type="dxa" w:w="110"/>
            </w:tcMar>
          </w:tcPr>
          <w:p>
            <w:pPr>
              <w:spacing w:before="26" w:after="26"/>
            </w:pPr>
            <w:r>
              <w:rPr>
                <w:color w:val="232733"/>
                <w:sz w:val="16"/>
                <w:szCs w:val="16"/>
              </w:rPr>
              <w:t xml:space="preserve">ceiling</w:t>
            </w:r>
          </w:p>
        </w:tc>
        <w:tc>
          <w:tcPr>
            <w:tcW w:type="pct" w:w="2401"/>
            <w:tcMar>
              <w:top w:type="dxa" w:w="50"/>
              <w:left w:type="dxa" w:w="110"/>
              <w:bottom w:type="dxa" w:w="50"/>
              <w:right w:type="dxa" w:w="110"/>
            </w:tcMar>
          </w:tcPr>
          <w:p>
            <w:pPr>
              <w:spacing w:before="26" w:after="26"/>
            </w:pPr>
            <w:r>
              <w:rPr>
                <w:color w:val="232733"/>
                <w:sz w:val="16"/>
                <w:szCs w:val="16"/>
              </w:rPr>
              <w:t xml:space="preserve">الحد الأعلى</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floor</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الحد الأدنى</w:t>
            </w:r>
          </w:p>
        </w:tc>
      </w:tr>
      <w:tr>
        <w:tc>
          <w:tcPr>
            <w:tcW w:type="pct" w:w="2599"/>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401"/>
            <w:tcMar>
              <w:top w:type="dxa" w:w="50"/>
              <w:left w:type="dxa" w:w="110"/>
              <w:bottom w:type="dxa" w:w="50"/>
              <w:right w:type="dxa" w:w="110"/>
            </w:tcMar>
          </w:tcPr>
          <w:p>
            <w:pPr>
              <w:spacing w:before="26" w:after="26"/>
            </w:pPr>
            <w:r>
              <w:rPr>
                <w:color w:val="232733"/>
                <w:sz w:val="16"/>
                <w:szCs w:val="16"/>
              </w:rPr>
              <w:t xml:space="preserve">هامش الربح العادي</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item-by-item basis</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أساس كل صنف على حدة</w:t>
            </w:r>
          </w:p>
        </w:tc>
      </w:tr>
      <w:tr>
        <w:tc>
          <w:tcPr>
            <w:tcW w:type="pct" w:w="2599"/>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1"/>
            <w:tcMar>
              <w:top w:type="dxa" w:w="50"/>
              <w:left w:type="dxa" w:w="110"/>
              <w:bottom w:type="dxa" w:w="50"/>
              <w:right w:type="dxa" w:w="110"/>
            </w:tcMar>
          </w:tcPr>
          <w:p>
            <w:pPr>
              <w:spacing w:before="26" w:after="26"/>
            </w:pPr>
            <w:r>
              <w:rPr>
                <w:color w:val="232733"/>
                <w:sz w:val="16"/>
                <w:szCs w:val="16"/>
              </w:rPr>
              <w:t xml:space="preserve">التزام شراء</w:t>
            </w:r>
          </w:p>
        </w:tc>
      </w:tr>
    </w:tbl>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Lower of cost or market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consistently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conservative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procedure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non-cancellable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middle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compare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directly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category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lower of cost or market (LCM)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Chickpeas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item-by-item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LCM, market starts with replacement cost: the current cost to buy or make the item again. But market has two limits. It cannot be higher than a ceiling equal to NRV, and it cannot be lower than a floor equal to NRV minus a normal profit margin. The procedure has two steps. First, find market: take the middle value of replacement cost, the ceiling and the floor. Second, compare market with cost and take the lower. Why the limits? The ceiling stops the company from carrying inventory above what it can recover. The floor stops an excessive write-down that would create an abnormally high profit when the goods are sold later.</w:t>
      </w:r>
    </w:p>
    <w:p>
      <w:pPr>
        <w:spacing w:before="20" w:after="20"/>
        <w:ind w:left="240" w:hanging="240"/>
      </w:pPr>
      <w:r>
        <w:rPr>
          <w:b/>
          <w:bCs/>
          <w:color w:val="353A7C"/>
          <w:sz w:val="15"/>
          <w:szCs w:val="15"/>
        </w:rPr>
        <w:t xml:space="preserve">Summary 2   </w:t>
      </w:r>
      <w:r>
        <w:rPr>
          <w:color w:val="6B7280"/>
          <w:sz w:val="15"/>
          <w:szCs w:val="15"/>
        </w:rPr>
        <w:t xml:space="preserve">The item-by-item basis gives a total write-down of $4,500. A company may also apply LCM by category or to the total inventory, if it does so consistently. On the total basis, total market ($121,500) is compared with total cost ($122,000), and the write-down is only $500, because gains on some items offset losses on others. The item-by-item basis is the most conservative. One more rule: if a company has a firm, non-cancellable purchase commitment at a price above the current market, it records the expected loss now, in the current period.</w:t>
      </w:r>
    </w:p>
    <w:p>
      <w:pPr>
        <w:spacing w:before="20" w:after="20"/>
        <w:ind w:left="240" w:hanging="240"/>
      </w:pPr>
      <w:r>
        <w:rPr>
          <w:b/>
          <w:bCs/>
          <w:color w:val="353A7C"/>
          <w:sz w:val="15"/>
          <w:szCs w:val="15"/>
        </w:rPr>
        <w:t xml:space="preserve">Summary 3   </w:t>
      </w:r>
      <w:r>
        <w:rPr>
          <w:color w:val="6B7280"/>
          <w:sz w:val="15"/>
          <w:szCs w:val="15"/>
        </w:rPr>
        <w:t xml:space="preserve">Do not compare replacement cost directly with cost. First limit it by the ceiling and the floor. When replacement cost is below the floor, market is the floor. When it is above the ceiling, market is the ceiling. Read the basis in the question: item by item, by category or total.</w:t>
      </w:r>
    </w:p>
    <w:p>
      <w:pPr>
        <w:sectPr>
          <w:headerReference w:type="default" r:id="rIdHdr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retail inventory method and the gross profit method</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Retailers sell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items. </w:t>
      </w:r>
      <w:r>
        <w:rPr>
          <w:sz w:val="19"/>
          <w:szCs w:val="19"/>
        </w:rPr>
        <w:t xml:space="preserve">They know the selling price of every item on the shelf, but tracking the cost of each one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retail inventory method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ending inventory at cost from retail prices. </w:t>
      </w:r>
      <w:r>
        <w:rPr>
          <w:sz w:val="19"/>
          <w:szCs w:val="19"/>
        </w:rPr>
        <w:t xml:space="preserve">It uses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ratio: goods available at cost divided by goods available at retail. </w:t>
      </w:r>
      <w:r>
        <w:rPr>
          <w:sz w:val="19"/>
          <w:szCs w:val="19"/>
        </w:rPr>
        <w:t xml:space="preserve">Retail prices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raises the selling price above the original retail price.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lowers it.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retail method includes net markups in the ratio but leaves out net markdowns. </w:t>
      </w:r>
      <w:r>
        <w:rPr>
          <w:sz w:val="19"/>
          <w:szCs w:val="19"/>
        </w:rPr>
        <w:t xml:space="preserve">This gives a lower ratio and a lower ending inventory, which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LCM. </w:t>
      </w:r>
      <w:r>
        <w:rPr>
          <w:sz w:val="19"/>
          <w:szCs w:val="19"/>
        </w:rPr>
        <w:t xml:space="preserve">The average-cost retail method includes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approximates   ·   thousands   ·   markup   ·   cost-to-retail   ·   change   ·   conventional   ·   estimates   ·   markdown   ·   expensive   ·   destroyed</w:t>
            </w:r>
          </w:p>
        </w:tc>
      </w:tr>
    </w:tbl>
    <w:p/>
    <w:p>
      <w:pPr>
        <w:spacing w:before="44" w:after="10"/>
      </w:pPr>
      <w:r>
        <w:rPr>
          <w:b/>
          <w:bCs/>
          <w:color w:val="353A7C"/>
          <w:sz w:val="18"/>
          <w:szCs w:val="18"/>
        </w:rPr>
        <w:t xml:space="preserve">Item — Cost column</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sales   ·   Net markups   ·   cost-to-retail ratio   ·   Purchase discounts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Farm Shops, Amman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runs a group of farm shops in Amman. </w:t>
      </w:r>
      <w:r>
        <w:rPr>
          <w:sz w:val="19"/>
          <w:szCs w:val="19"/>
        </w:rPr>
        <w:t xml:space="preserve">They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under U.S. GAAP with the rest of the company. </w:t>
      </w:r>
      <w:r>
        <w:rPr>
          <w:sz w:val="19"/>
          <w:szCs w:val="19"/>
        </w:rPr>
        <w:t xml:space="preserve">The conventional ratio is 0.60, so ending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is $25,200.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ratio is 0.62, which gives $26,040. </w:t>
      </w:r>
      <w:r>
        <w:rPr>
          <w:sz w:val="19"/>
          <w:szCs w:val="19"/>
        </w:rPr>
        <w:t xml:space="preserve">Cost of goods sold under the conventional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$186,000 − $25,200 = $160,800.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method   ·   average-cost   ·   floor   ·   report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Dubai shop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17–28</w:t>
      </w:r>
    </w:p>
    <w:p>
      <w:pPr>
        <w:spacing w:before="20" w:after="20" w:line="360" w:lineRule="auto"/>
        <w:ind w:left="200"/>
      </w:pPr>
      <w:r>
        <w:rPr>
          <w:sz w:val="19"/>
          <w:szCs w:val="19"/>
        </w:rPr>
        <w:t xml:space="preserve">Complete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boxes using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retail method. </w:t>
      </w:r>
      <w:r>
        <w:rPr>
          <w:sz w:val="19"/>
          <w:szCs w:val="19"/>
        </w:rPr>
        <w:t xml:space="preserve">A LIFO retail method also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beginning inventory out of the ratio, includes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adds a new layer each year at that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ratio. </w:t>
      </w:r>
      <w:r>
        <w:rPr>
          <w:sz w:val="19"/>
          <w:szCs w:val="19"/>
        </w:rPr>
        <w:t xml:space="preserve">The exam tests it less often. </w:t>
      </w:r>
      <w:r>
        <w:rPr>
          <w:sz w:val="19"/>
          <w:szCs w:val="19"/>
        </w:rPr>
        <w:t xml:space="preserve">The gross profit method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ending inventory from the usual gross profit rate. </w:t>
      </w:r>
      <w:r>
        <w:rPr>
          <w:sz w:val="19"/>
          <w:szCs w:val="19"/>
        </w:rPr>
        <w:t xml:space="preserve">It is used for interim reports, to check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count, and to estimate inventory lost in a fire or a theft. </w:t>
      </w:r>
      <w:r>
        <w:rPr>
          <w:sz w:val="19"/>
          <w:szCs w:val="19"/>
        </w:rPr>
        <w:t xml:space="preserve">It is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annual financial statements. </w:t>
      </w:r>
      <w:r>
        <w:rPr>
          <w:sz w:val="19"/>
          <w:szCs w:val="19"/>
        </w:rPr>
        <w:t xml:space="preserve">A fire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part of the Orontes warehouse in Jebel Ali. </w:t>
      </w:r>
      <w:r>
        <w:rPr>
          <w:sz w:val="19"/>
          <w:szCs w:val="19"/>
        </w:rPr>
        <w:t xml:space="preserve">Beginning inventory was $80,000,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were $300,000 and net sales were $400,000. </w:t>
      </w:r>
      <w:r>
        <w:rPr>
          <w:sz w:val="19"/>
          <w:szCs w:val="19"/>
        </w:rPr>
        <w:t xml:space="preserve">The usual gross profit rate is 30% of sales. </w:t>
      </w:r>
      <w:r>
        <w:rPr>
          <w:sz w:val="19"/>
          <w:szCs w:val="19"/>
        </w:rPr>
        <w:t xml:space="preserve">Estimated cost of goods sold is $280,000, so estimated inventory at the date of the fire is $380,000 − $280,000 = $100,000. </w:t>
      </w:r>
      <w:r>
        <w:rPr>
          <w:sz w:val="19"/>
          <w:szCs w:val="19"/>
        </w:rPr>
        <w:t xml:space="preserve">Goods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$12,000 were saved, so the estimated fire loss is $88,000.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destroyed   ·   exists   ·   shrinkage   ·   costing   ·   leaves   ·   physical   ·   markdowns   ·   acceptable   ·   year's   ·   estimates   ·   conventional   ·   dashed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Markup on cost is not a margin on sales</w:t>
            </w:r>
          </w:p>
        </w:tc>
      </w:tr>
    </w:tbl>
    <w:p/>
    <w:p>
      <w:pPr>
        <w:spacing w:before="44" w:after="14"/>
      </w:pPr>
      <w:r>
        <w:rPr>
          <w:b/>
          <w:bCs/>
          <w:color w:val="353A7C"/>
          <w:sz w:val="18"/>
          <w:szCs w:val="18"/>
        </w:rPr>
        <w:t xml:space="preserve">Summary 4</w:t>
      </w:r>
      <w:r>
        <w:rPr>
          <w:color w:val="6B7280"/>
          <w:sz w:val="16"/>
          <w:szCs w:val="16"/>
        </w:rPr>
        <w:t xml:space="preserve">      gaps 29–33</w:t>
      </w:r>
    </w:p>
    <w:p>
      <w:pPr>
        <w:spacing w:before="20" w:after="20" w:line="360" w:lineRule="auto"/>
        <w:ind w:left="200"/>
      </w:pPr>
      <w:r>
        <w:rPr>
          <w:sz w:val="19"/>
          <w:szCs w:val="19"/>
        </w:rPr>
        <w:t xml:space="preserve">If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gives a markup on cost,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it: gross profit rate on sales = markup ÷ (1 + markup). </w:t>
      </w:r>
      <w:r>
        <w:rPr>
          <w:sz w:val="19"/>
          <w:szCs w:val="19"/>
        </w:rPr>
        <w:t xml:space="preserve">For example, a markup of one half on cost is a gross profit rate of one third on sales. </w:t>
      </w:r>
      <w:r>
        <w:rPr>
          <w:sz w:val="19"/>
          <w:szCs w:val="19"/>
        </w:rPr>
        <w:t xml:space="preserve"/>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retail: markups IN the ratio,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OUT. </w:t>
      </w:r>
      <w:r>
        <w:rPr>
          <w:sz w:val="19"/>
          <w:szCs w:val="19"/>
        </w:rPr>
        <w:t xml:space="preserve">Freight-in goes in the cost column only; normal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deducted from retail after the ratio.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shrinkage   ·   available   ·   convert   ·   markdowns   ·   Conventional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inventory method   ·   floor   ·   markdown   ·   shrinkage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سعر التجزئة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نسبة التكلفة إلى سعر التجزئة</w:t>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زيادة سعر البيع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تخفيض سعر البيع</w:t>
            </w:r>
          </w:p>
        </w:tc>
      </w:tr>
      <w:tr>
        <w:tc>
          <w:tcPr>
            <w:tcW w:type="pct" w:w="2400"/>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التجزئة التقليدية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العجز في المخزون (الفاقد)</w:t>
            </w:r>
          </w:p>
        </w:tc>
      </w:tr>
      <w:tr>
        <w:tc>
          <w:tcPr>
            <w:tcW w:type="pct" w:w="2400"/>
            <w:tcMar>
              <w:top w:type="dxa" w:w="50"/>
              <w:left w:type="dxa" w:w="110"/>
              <w:bottom w:type="dxa" w:w="50"/>
              <w:right w:type="dxa" w:w="110"/>
            </w:tcMar>
          </w:tcPr>
          <w:p>
            <w:pPr>
              <w:spacing w:before="26" w:after="26"/>
            </w:pPr>
            <w:r>
              <w:rPr>
                <w:color w:val="232733"/>
                <w:sz w:val="16"/>
                <w:szCs w:val="16"/>
              </w:rPr>
              <w:t xml:space="preserve">gross profit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مجمل الربح</w:t>
            </w:r>
          </w:p>
        </w:tc>
      </w:tr>
    </w:tbl>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retail inventory method and the gross profit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exists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leaves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cost-to-retail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markup</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markdown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destroyed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approximates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 discounts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Net markups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Net sales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convert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Conventional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average-cost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shrinkage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retail inventory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dashed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markdown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shrinkage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Retailers sell thousands of items. They know the selling price of every item on the shelf, but tracking the cost of each one is expensive. The retail inventory method estimates ending inventory at cost from retail prices. It uses a cost-to-retail ratio: goods available at cost divided by goods available at retail. Retail prices change during the year. A markup raises the selling price above the original retail price. A markdown lowers it. The conventional retail method includes net markups in the ratio but leaves out net markdowns. This gives a lower ratio and a lower ending inventory, which approximates LCM. The average-cost retail method includes both.</w:t>
      </w:r>
    </w:p>
    <w:p>
      <w:pPr>
        <w:spacing w:before="20" w:after="20"/>
        <w:ind w:left="240" w:hanging="240"/>
      </w:pPr>
      <w:r>
        <w:rPr>
          <w:b/>
          <w:bCs/>
          <w:color w:val="353A7C"/>
          <w:sz w:val="15"/>
          <w:szCs w:val="15"/>
        </w:rPr>
        <w:t xml:space="preserve">Summary 2   </w:t>
      </w:r>
      <w:r>
        <w:rPr>
          <w:color w:val="6B7280"/>
          <w:sz w:val="15"/>
          <w:szCs w:val="15"/>
        </w:rPr>
        <w:t xml:space="preserve">Orontes runs a group of farm shops in Amman. They report under U.S. GAAP with the rest of the company. The conventional ratio is 0.60, so ending inventory at cost is $25,200. The average-cost ratio is 0.62, which gives $26,040. Cost of goods sold under the conventional method is $186,000 − $25,200 = $160,800.</w:t>
      </w:r>
    </w:p>
    <w:p>
      <w:pPr>
        <w:spacing w:before="20" w:after="20"/>
        <w:ind w:left="240" w:hanging="240"/>
      </w:pPr>
      <w:r>
        <w:rPr>
          <w:b/>
          <w:bCs/>
          <w:color w:val="353A7C"/>
          <w:sz w:val="15"/>
          <w:szCs w:val="15"/>
        </w:rPr>
        <w:t xml:space="preserve">Summary 3   </w:t>
      </w:r>
      <w:r>
        <w:rPr>
          <w:color w:val="6B7280"/>
          <w:sz w:val="15"/>
          <w:szCs w:val="15"/>
        </w:rPr>
        <w:t xml:space="preserve">Complete the dashed boxes using the conventional retail method. A LIFO retail method also exists. It leaves beginning inventory out of the ratio, includes markdowns, and adds a new layer each year at that year's ratio. The exam tests it less often. The gross profit method estimates ending inventory from the usual gross profit rate. It is used for interim reports, to check a physical count, and to estimate inventory lost in a fire or a theft. It is not acceptable for annual financial statements. A fire destroyed part of the Orontes warehouse in Jebel Ali. Beginning inventory was $80,000, purchases were $300,000 and net sales were $400,000. The usual gross profit rate is 30% of sales. Estimated cost of goods sold is $280,000, so estimated inventory at the date of the fire is $380,000 − $280,000 = $100,000. Goods costing $12,000 were saved, so the estimated fire loss is $88,000.</w:t>
      </w:r>
    </w:p>
    <w:p>
      <w:pPr>
        <w:spacing w:before="20" w:after="20"/>
        <w:ind w:left="240" w:hanging="240"/>
      </w:pPr>
      <w:r>
        <w:rPr>
          <w:b/>
          <w:bCs/>
          <w:color w:val="353A7C"/>
          <w:sz w:val="15"/>
          <w:szCs w:val="15"/>
        </w:rPr>
        <w:t xml:space="preserve">Summary 4   </w:t>
      </w:r>
      <w:r>
        <w:rPr>
          <w:color w:val="6B7280"/>
          <w:sz w:val="15"/>
          <w:szCs w:val="15"/>
        </w:rPr>
        <w:t xml:space="preserve">If the question gives a markup on cost, convert it: gross profit rate on sales = markup ÷ (1 + markup). For example, a markup of one half on cost is a gross profit rate of one third on sales. Conventional retail: markups IN the ratio, markdowns OUT. Freight-in goes in the cost column only; normal shrinkage is deducted from retail after the ratio.</w:t>
      </w:r>
    </w:p>
    <w:p>
      <w:pPr>
        <w:sectPr>
          <w:headerReference w:type="default" r:id="rIdHdr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Advantages and disadvantages of the methods</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Advantages and disadvantages of the inventory methods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records   ·   Taxes when prices rise   ·   Risk of manipulation</w:t>
            </w:r>
          </w:p>
        </w:tc>
      </w:tr>
    </w:tbl>
    <w:p/>
    <w:p>
      <w:pPr>
        <w:spacing w:before="44" w:after="14"/>
      </w:pPr>
      <w:r>
        <w:rPr>
          <w:b/>
          <w:bCs/>
          <w:color w:val="353A7C"/>
          <w:sz w:val="18"/>
          <w:szCs w:val="18"/>
        </w:rPr>
        <w:t xml:space="preserve">Summary 1</w:t>
      </w:r>
      <w:r>
        <w:rPr>
          <w:color w:val="6B7280"/>
          <w:sz w:val="16"/>
          <w:szCs w:val="16"/>
        </w:rPr>
        <w:t xml:space="preserve">      gaps 3–11</w:t>
      </w:r>
    </w:p>
    <w:p>
      <w:pPr>
        <w:spacing w:before="20" w:after="20" w:line="360" w:lineRule="auto"/>
        <w:ind w:left="200"/>
      </w:pPr>
      <w:r>
        <w:rPr>
          <w:sz w:val="19"/>
          <w:szCs w:val="19"/>
        </w:rPr>
        <w:t xml:space="preserve">The weighted average and specific identification have their own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weighted average is simple,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price changes and is hard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its results are neither fully current on the balance sheet nor on the income statement. </w:t>
      </w:r>
      <w:r>
        <w:rPr>
          <w:sz w:val="19"/>
          <w:szCs w:val="19"/>
        </w:rPr>
        <w:t xml:space="preserve">Specific identification gives exact matching for unique items, but 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items it is costly and lets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choose which costs to report. </w:t>
      </w:r>
      <w:r>
        <w:rPr>
          <w:sz w:val="19"/>
          <w:szCs w:val="19"/>
        </w:rPr>
        <w:t xml:space="preserve">The main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between the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LIFO gives a more realistic income statement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 but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FIFO gives a realistic balance sheet, but its income includes holding gains. </w:t>
      </w:r>
      <w:r>
        <w:rPr>
          <w:sz w:val="19"/>
          <w:szCs w:val="19"/>
        </w:rPr>
        <w:t xml:space="preserve">The weighted average sits between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   ·   management   ·   identical   ·   prices   ·   out-of-date   ·   markdown   ·   statements   ·   smooths   ·   manipulate   ·   strengths</w:t>
            </w:r>
          </w:p>
        </w:tc>
      </w:tr>
    </w:tbl>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Advantages and disadvantages of the methods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Taxes when prices rise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Risk of 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trade-off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strengths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smooths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manipulate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out-of-date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identical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weighted average and specific identification have their own strengths. The weighted average is simple, smooths price changes and is hard to manipulate, but its results are neither fully current on the balance sheet nor on the income statement. Specific identification gives exact matching for unique items, but for identical items it is costly and lets management choose which costs to report. The main trade-off is between the two statements. LIFO gives a more realistic income statement when prices change, but an out-of-date balance sheet. FIFO gives a realistic balance sheet, but its income includes holding gains. The weighted average sits between them.</w:t>
      </w:r>
    </w:p>
    <w:p>
      <w:pPr>
        <w:sectPr>
          <w:headerReference w:type="default" r:id="rIdHdr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Recommending a method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Level 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may give you a set of facts and ask you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method.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check the facts that can rule a method out. </w:t>
      </w:r>
      <w:r>
        <w:rPr>
          <w:sz w:val="19"/>
          <w:szCs w:val="19"/>
        </w:rPr>
        <w:t xml:space="preserve">If the company, or its parent,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under IFRS, LIFO is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items are identical and sold in large volumes,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costly and open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If the company wants the U.S. tax benefit of LIFO, it must also report LIFO profits to investors, and it must avoid liquidating old layers.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reports   ·   recommend   ·   possible   ·   manipulation   ·   conformity   ·   question   ·   identification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recommendation for Orontes</w:t>
            </w:r>
          </w:p>
        </w:tc>
      </w:tr>
    </w:tbl>
    <w:p/>
    <w:p>
      <w:pPr>
        <w:spacing w:before="44" w:after="14"/>
      </w:pPr>
      <w:r>
        <w:rPr>
          <w:b/>
          <w:bCs/>
          <w:color w:val="353A7C"/>
          <w:sz w:val="18"/>
          <w:szCs w:val="18"/>
        </w:rPr>
        <w:t xml:space="preserve">Summary 2</w:t>
      </w:r>
      <w:r>
        <w:rPr>
          <w:color w:val="6B7280"/>
          <w:sz w:val="16"/>
          <w:szCs w:val="16"/>
        </w:rPr>
        <w:t xml:space="preserve">      gaps 8–17</w:t>
      </w:r>
    </w:p>
    <w:p>
      <w:pPr>
        <w:spacing w:before="20" w:after="20" w:line="360" w:lineRule="auto"/>
        <w:ind w:left="200"/>
      </w:pPr>
      <w:r>
        <w:rPr>
          <w:sz w:val="19"/>
          <w:szCs w:val="19"/>
        </w:rPr>
        <w:t xml:space="preserve">Orontes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under U.S. GAAP, and olive oil prices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finance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wants lower taxes but also a balance sheet that lenders trust. </w:t>
      </w:r>
      <w:r>
        <w:rPr>
          <w:sz w:val="19"/>
          <w:szCs w:val="19"/>
        </w:rPr>
        <w:t xml:space="preserve">Olive oil is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identical product that Orontes ships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LIFO would lower taxes while prices rise, but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would lower reported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too, and the balance sheet would show old costs. </w:t>
      </w:r>
      <w:r>
        <w:rPr>
          <w:sz w:val="19"/>
          <w:szCs w:val="19"/>
        </w:rPr>
        <w:t xml:space="preserve">FIFO matches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flow and gives lenders a current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amount, but taxes are higher.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if the tax saving is the priority, LIFO, with clear disclosure of the LIFO reserve; if lender relations and the balance sheet matter more, FIFO. </w:t>
      </w:r>
      <w:r>
        <w:rPr>
          <w:sz w:val="19"/>
          <w:szCs w:val="19"/>
        </w:rPr>
        <w:t xml:space="preserve">The answer depends on the stated priority, and a good exam answer names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director   ·   reports   ·   profits   ·   oldest-first   ·   identical   ·   inventory   ·   perishable   ·   conformity   ·   physical   ·   Recommendation   ·   rising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Recommendations need reasons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In a case-based question,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earns credit only if it follows from the facts given. </w:t>
      </w:r>
      <w:r>
        <w:rPr>
          <w:sz w:val="19"/>
          <w:szCs w:val="19"/>
        </w:rPr>
        <w:t xml:space="preserve">Check IFRS, taxes, price trends,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flow and the cost of records before you choose.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recommendation   ·   profits   ·   physical</w:t>
            </w:r>
          </w:p>
        </w:tc>
      </w:tr>
    </w:tbl>
    <w:p/>
    <w:p>
      <w:pPr>
        <w:pageBreakBefore w:val="true"/>
        <w:spacing w:after="0"/>
      </w:pPr>
      <w:r>
        <w:rPr>
          <w:sz w:val="2"/>
        </w:rPr>
        <w:t xml:space="preserve"> </w:t>
      </w:r>
    </w:p>
    <w:p>
      <w:pPr>
        <w:spacing w:before="44" w:after="10"/>
      </w:pPr>
      <w:r>
        <w:rPr>
          <w:b/>
          <w:bCs/>
          <w:color w:val="353A7C"/>
          <w:sz w:val="18"/>
          <w:szCs w:val="18"/>
        </w:rPr>
        <w:t xml:space="preserve">Recommendations need reasons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mix   ·   Olive-oil soap   ·   cost-to-retail ratio   ·   Pomegranate molasses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Goods available at retail</w:t>
            </w:r>
          </w:p>
        </w:tc>
        <w:tc>
          <w:tcPr>
            <w:tcW w:type="pct" w:w="2400"/>
            <w:tcMar>
              <w:top w:type="dxa" w:w="50"/>
              <w:left w:type="dxa" w:w="110"/>
              <w:bottom w:type="dxa" w:w="50"/>
              <w:right w:type="dxa" w:w="110"/>
            </w:tcMar>
          </w:tcPr>
          <w:p>
            <w:pPr>
              <w:spacing w:before="28" w:after="28"/>
            </w:pPr>
            <w:r>
              <w:rPr>
                <w:sz w:val="15"/>
                <w:szCs w:val="15"/>
              </w:rPr>
              <w:t xml:space="preserve">150,000 − 6,000 = 144,000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retail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Conventional ratio</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cost</w:t>
            </w:r>
          </w:p>
        </w:tc>
        <w:tc>
          <w:tcPr>
            <w:tcW w:type="pct" w:w="2400"/>
            <w:shd w:fill="FBFAF6" w:val="clear"/>
            <w:tcMar>
              <w:top w:type="dxa" w:w="50"/>
              <w:left w:type="dxa" w:w="110"/>
              <w:bottom w:type="dxa" w:w="50"/>
              <w:right w:type="dxa" w:w="110"/>
            </w:tcMar>
          </w:tcPr>
          <w:p>
            <w:pPr>
              <w:spacing w:before="28" w:after="28"/>
            </w:pPr>
            <w:r>
              <w:rPr>
                <w:sz w:val="15"/>
                <w:szCs w:val="15"/>
              </w:rPr>
              <w:t xml:space="preserve">24,000 × 0.60 = $14,400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150,000 − 6,000 = 144,000   ·   90,000 ÷ 150,000 = 0.60   ·   144,000 − 120,000 = 24,000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Product line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Pomegranate molasses</w:t>
            </w:r>
          </w:p>
        </w:tc>
        <w:tc>
          <w:tcPr>
            <w:tcW w:type="pct" w:w="2600"/>
            <w:tcMar>
              <w:top w:type="dxa" w:w="50"/>
              <w:left w:type="dxa" w:w="110"/>
              <w:bottom w:type="dxa" w:w="50"/>
              <w:right w:type="dxa" w:w="110"/>
            </w:tcMar>
          </w:tcPr>
          <w:p>
            <w:pPr>
              <w:spacing w:before="28" w:after="28"/>
            </w:pPr>
            <w:r>
              <w:rPr>
                <w:sz w:val="15"/>
                <w:szCs w:val="15"/>
              </w:rPr>
              <w:t xml:space="preserve">LCM (market with ceiling and floor)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Rose water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tcMar>
              <w:top w:type="dxa" w:w="50"/>
              <w:left w:type="dxa" w:w="110"/>
              <w:bottom w:type="dxa" w:w="50"/>
              <w:right w:type="dxa" w:w="110"/>
            </w:tcMar>
          </w:tcPr>
          <w:p>
            <w:pPr>
              <w:spacing w:before="28" w:after="28"/>
            </w:pPr>
            <w:r>
              <w:rPr>
                <w:sz w:val="15"/>
                <w:szCs w:val="15"/>
              </w:rPr>
              <w:t xml:space="preserve">Za'atar mix</w:t>
            </w:r>
          </w:p>
        </w:tc>
        <w:tc>
          <w:tcPr>
            <w:tcW w:type="pct" w:w="2600"/>
            <w:tcMar>
              <w:top w:type="dxa" w:w="50"/>
              <w:left w:type="dxa" w:w="110"/>
              <w:bottom w:type="dxa" w:w="50"/>
              <w:right w:type="dxa" w:w="110"/>
            </w:tcMar>
          </w:tcPr>
          <w:p>
            <w:pPr>
              <w:spacing w:before="28" w:after="28"/>
            </w:pPr>
            <w:r>
              <w:rPr>
                <w:sz w:val="15"/>
                <w:szCs w:val="15"/>
              </w:rPr>
              <w:t xml:space="preserve">LCNRV</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Frozen kibbeh</w:t>
            </w:r>
          </w:p>
        </w:tc>
        <w:tc>
          <w:tcPr>
            <w:tcW w:type="pct" w:w="2600"/>
            <w:shd w:fill="FBFAF6" w:val="clear"/>
            <w:tcMar>
              <w:top w:type="dxa" w:w="50"/>
              <w:left w:type="dxa" w:w="110"/>
              <w:bottom w:type="dxa" w:w="50"/>
              <w:right w:type="dxa" w:w="110"/>
            </w:tcMar>
          </w:tcPr>
          <w:p>
            <w:pPr>
              <w:spacing w:before="28" w:after="28"/>
            </w:pPr>
            <w:r>
              <w:rPr>
                <w:sz w:val="15"/>
                <w:szCs w:val="15"/>
              </w:rPr>
              <w:t xml:space="preserve">LCNRV</w:t>
            </w:r>
          </w:p>
        </w:tc>
      </w:tr>
      <w:tr>
        <w:tc>
          <w:tcPr>
            <w:tcW w:type="pct" w:w="2400"/>
            <w:tcMar>
              <w:top w:type="dxa" w:w="50"/>
              <w:left w:type="dxa" w:w="110"/>
              <w:bottom w:type="dxa" w:w="50"/>
              <w:right w:type="dxa" w:w="110"/>
            </w:tcMar>
          </w:tcPr>
          <w:p>
            <w:pPr>
              <w:spacing w:before="28" w:after="28"/>
            </w:pPr>
            <w:r>
              <w:rPr>
                <w:sz w:val="15"/>
                <w:szCs w:val="15"/>
              </w:rPr>
              <w:t xml:space="preserve">Olive-oil soap</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LCM (market with ceiling and floor)   ·   purchase commitment   ·   LCNRV</w:t>
            </w:r>
          </w:p>
        </w:tc>
      </w:tr>
    </w:tbl>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Recommending a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recommend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Pomegranate molasses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Za'atar mix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Olive-oil soap</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144,000 − 120,000 = 24,000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perishable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90,000 ÷ 150,000 = 0.60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oldest-first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LCM (market with ceiling and 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conformity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LCNRV</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Level C question may give you a set of facts and ask you to recommend a method. Always check the facts that can rule a method out. If the company, or its parent, reports under IFRS, LIFO is not possible. If items are identical and sold in large volumes, specific identification is costly and open to manipulation. If the company wants the U.S. tax benefit of LIFO, it must also report LIFO profits to investors, and it must avoid liquidating old layers.</w:t>
      </w:r>
    </w:p>
    <w:p>
      <w:pPr>
        <w:spacing w:before="20" w:after="20"/>
        <w:ind w:left="240" w:hanging="240"/>
      </w:pPr>
      <w:r>
        <w:rPr>
          <w:b/>
          <w:bCs/>
          <w:color w:val="353A7C"/>
          <w:sz w:val="15"/>
          <w:szCs w:val="15"/>
        </w:rPr>
        <w:t xml:space="preserve">Summary 2   </w:t>
      </w:r>
      <w:r>
        <w:rPr>
          <w:color w:val="6B7280"/>
          <w:sz w:val="15"/>
          <w:szCs w:val="15"/>
        </w:rPr>
        <w:t xml:space="preserve">Orontes reports under U.S. GAAP, and olive oil prices are rising. The finance director wants lower taxes but also a balance sheet that lenders trust. Olive oil is a perishable, identical product that Orontes ships oldest-first. LIFO would lower taxes while prices rise, but conformity would lower reported profits too, and the balance sheet would show old costs. FIFO matches the physical flow and gives lenders a current inventory amount, but taxes are higher. Recommendation: if the tax saving is the priority, LIFO, with clear disclosure of the LIFO reserve; if lender relations and the balance sheet matter more, FIFO. The answer depends on the stated priority, and a good exam answer names it.</w:t>
      </w:r>
    </w:p>
    <w:p>
      <w:pPr>
        <w:spacing w:before="20" w:after="20"/>
        <w:ind w:left="240" w:hanging="240"/>
      </w:pPr>
      <w:r>
        <w:rPr>
          <w:b/>
          <w:bCs/>
          <w:color w:val="353A7C"/>
          <w:sz w:val="15"/>
          <w:szCs w:val="15"/>
        </w:rPr>
        <w:t xml:space="preserve">Summary 3   </w:t>
      </w:r>
      <w:r>
        <w:rPr>
          <w:color w:val="6B7280"/>
          <w:sz w:val="15"/>
          <w:szCs w:val="15"/>
        </w:rPr>
        <w:t xml:space="preserve">In a case-based question, a recommendation earns credit only if it follows from the facts given. Check IFRS, taxes, price trends, the physical flow and the cost of records before you choose.</w:t>
      </w:r>
    </w:p>
    <w:p>
      <w:pPr>
        <w:sectPr>
          <w:headerReference w:type="default" r:id="rIdHdr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Three categories of debt securities</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securities and the equity method   ·   other comprehensive income (OCI)   ·   Measuring debt securities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debt security gives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right to interest and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like a bond. </w:t>
      </w:r>
      <w:r>
        <w:rPr>
          <w:sz w:val="19"/>
          <w:szCs w:val="19"/>
        </w:rPr>
        <w:t xml:space="preserve">An equity security gives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interest, like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common stock. </w:t>
      </w:r>
      <w:r>
        <w:rPr>
          <w:sz w:val="19"/>
          <w:szCs w:val="19"/>
        </w:rPr>
        <w:t xml:space="preserve">Section 9.4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equity securities. </w:t>
      </w:r>
      <w:r>
        <w:rPr>
          <w:sz w:val="19"/>
          <w:szCs w:val="19"/>
        </w:rPr>
        <w:t xml:space="preserve">When a company buys a debt security,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into one of three categories, and it reassesses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at each reporting date. </w:t>
      </w:r>
      <w:r>
        <w:rPr>
          <w:sz w:val="19"/>
          <w:szCs w:val="19"/>
        </w:rPr>
        <w:t xml:space="preserve">The category depends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intent and ability, not on the type of bond.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securities are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held mainly to sell in the near term.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(HTM) securities are securities the company has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intent and the ability to hold until they mature. </w:t>
      </w:r>
      <w:r>
        <w:rPr>
          <w:sz w:val="19"/>
          <w:szCs w:val="19"/>
        </w:rPr>
        <w:t xml:space="preserve">Available-for-sale (AFS) securities are all other debt securities. </w:t>
      </w:r>
      <w:r>
        <w:rPr>
          <w:sz w:val="19"/>
          <w:szCs w:val="19"/>
        </w:rPr>
        <w:t xml:space="preserve">HTM is a strict category. </w:t>
      </w:r>
      <w:r>
        <w:rPr>
          <w:sz w:val="19"/>
          <w:szCs w:val="19"/>
        </w:rPr>
        <w:t xml:space="preserve">If the company would sell the bond when interest rates change or when it needs cash, it does not have the intent to hold it. </w:t>
      </w:r>
      <w:r>
        <w:rPr>
          <w:sz w:val="19"/>
          <w:szCs w:val="19"/>
        </w:rPr>
        <w:t xml:space="preserve">And if it sells or transfers HTM securities for other reasons, it taints the whole HTM portfolio, which raises doubt about its intent for all its other HTM securities.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classification   ·   ownership   ·   holder   ·   current   ·   covers   ·   positive   ·   Held-to-maturity   ·   bought   ·   management's   ·   shares   ·   classifies   ·   Trading   ·   repayment</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allows a few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such as a sale after the issuer's credit quality falls sharply, or a sale very close to maturity. </w:t>
      </w:r>
      <w:r>
        <w:rPr>
          <w:sz w:val="19"/>
          <w:szCs w:val="19"/>
        </w:rPr>
        <w:t xml:space="preserve">A company may also elect the fair value option for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when it first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it. </w:t>
      </w:r>
      <w:r>
        <w:rPr>
          <w:sz w:val="19"/>
          <w:szCs w:val="19"/>
        </w:rPr>
        <w:t xml:space="preserve">The election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all changes in fair value then go to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security   ·   recognizes   ·   exceptions   ·   standard   ·   maturity   ·   irrevocable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Intent decides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The same bond can be trading, AFS or HTM. </w:t>
      </w:r>
      <w:r>
        <w:rPr>
          <w:sz w:val="19"/>
          <w:szCs w:val="19"/>
        </w:rPr>
        <w:t xml:space="preserve">Read the facts about intent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might sell when rates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cannot use HTM. </w:t>
      </w:r>
      <w:r>
        <w:rPr>
          <w:sz w:val="19"/>
          <w:szCs w:val="19"/>
        </w:rPr>
        <w:t xml:space="preserve">Equity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never trading, AFS or HTM under current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securities   ·   ability   ·   standard   ·   change</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(HTM) securities   ·   fair value option   ·   available-for-sale (AFS) securities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debt security</w:t>
            </w:r>
          </w:p>
        </w:tc>
        <w:tc>
          <w:tcPr>
            <w:tcW w:type="pct" w:w="2600"/>
            <w:tcMar>
              <w:top w:type="dxa" w:w="50"/>
              <w:left w:type="dxa" w:w="110"/>
              <w:bottom w:type="dxa" w:w="50"/>
              <w:right w:type="dxa" w:w="110"/>
            </w:tcMar>
          </w:tcPr>
          <w:p>
            <w:pPr>
              <w:spacing w:before="26" w:after="26"/>
            </w:pPr>
            <w:r>
              <w:rPr>
                <w:color w:val="232733"/>
                <w:sz w:val="16"/>
                <w:szCs w:val="16"/>
              </w:rPr>
              <w:t xml:space="preserve">أداة دين (سند)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security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أداة حقوق ملكية (أسهم)</w:t>
            </w:r>
          </w:p>
        </w:tc>
      </w:tr>
      <w:tr>
        <w:tc>
          <w:tcPr>
            <w:tcW w:type="pct" w:w="2400"/>
            <w:tcMar>
              <w:top w:type="dxa" w:w="50"/>
              <w:left w:type="dxa" w:w="110"/>
              <w:bottom w:type="dxa" w:w="50"/>
              <w:right w:type="dxa" w:w="110"/>
            </w:tcMar>
          </w:tcPr>
          <w:p>
            <w:pPr>
              <w:spacing w:before="26" w:after="26"/>
            </w:pPr>
            <w:r>
              <w:rPr>
                <w:color w:val="232733"/>
                <w:sz w:val="16"/>
                <w:szCs w:val="16"/>
              </w:rPr>
              <w:t xml:space="preserve">trading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بغرض المتاجرة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available-for-sale (AFS) securities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أوراق مالية متاحة للبيع</w:t>
            </w:r>
          </w:p>
        </w:tc>
      </w:tr>
      <w:tr>
        <w:tc>
          <w:tcPr>
            <w:tcW w:type="pct" w:w="2400"/>
            <w:tcMar>
              <w:top w:type="dxa" w:w="50"/>
              <w:left w:type="dxa" w:w="110"/>
              <w:bottom w:type="dxa" w:w="50"/>
              <w:right w:type="dxa" w:w="110"/>
            </w:tcMar>
          </w:tcPr>
          <w:p>
            <w:pPr>
              <w:spacing w:before="26" w:after="26"/>
            </w:pPr>
            <w:r>
              <w:rPr>
                <w:color w:val="232733"/>
                <w:sz w:val="16"/>
                <w:szCs w:val="16"/>
              </w:rPr>
              <w:t xml:space="preserve">held-to-maturity (HTM)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محتفظ بها حتى تاريخ الاستحقاق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option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خيار القيمة العادلة</w:t>
            </w:r>
          </w:p>
        </w:tc>
      </w:tr>
    </w:tbl>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Three categories of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debt 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Held-to-maturity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securities and the 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positive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holder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exceptions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ownership</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security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Trading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available-for-sale (AFS)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held-to-maturity (HTM) securities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debt security gives its holder a right to interest and to repayment, like a bond. An equity security gives an ownership interest, like shares of common stock. Section 9.4 covers equity securities. When a company buys a debt security, it classifies it into one of three categories, and it reassesses the classification at each reporting date. The category depends on management's intent and ability, not on the type of bond. Trading securities are bought and held mainly to sell in the near term. Held-to-maturity (HTM) securities are securities the company has the positive intent and the ability to hold until they mature. Available-for-sale (AFS) securities are all other debt securities. HTM is a strict category. If the company would sell the bond when interest rates change or when it needs cash, it does not have the intent to hold it. And if it sells or transfers HTM securities for other reasons, it taints the whole HTM portfolio, which raises doubt about its intent for all its other HTM securities.</w:t>
      </w:r>
    </w:p>
    <w:p>
      <w:pPr>
        <w:spacing w:before="20" w:after="20"/>
        <w:ind w:left="240" w:hanging="240"/>
      </w:pPr>
      <w:r>
        <w:rPr>
          <w:b/>
          <w:bCs/>
          <w:color w:val="353A7C"/>
          <w:sz w:val="15"/>
          <w:szCs w:val="15"/>
        </w:rPr>
        <w:t xml:space="preserve">Summary 2   </w:t>
      </w:r>
      <w:r>
        <w:rPr>
          <w:color w:val="6B7280"/>
          <w:sz w:val="15"/>
          <w:szCs w:val="15"/>
        </w:rPr>
        <w:t xml:space="preserve">The standard allows a few exceptions, such as a sale after the issuer's credit quality falls sharply, or a sale very close to maturity. A company may also elect the fair value option for a security when it first recognizes it. The election is irrevocable, and all changes in fair value then go to net income.</w:t>
      </w:r>
    </w:p>
    <w:p>
      <w:pPr>
        <w:spacing w:before="20" w:after="20"/>
        <w:ind w:left="240" w:hanging="240"/>
      </w:pPr>
      <w:r>
        <w:rPr>
          <w:b/>
          <w:bCs/>
          <w:color w:val="353A7C"/>
          <w:sz w:val="15"/>
          <w:szCs w:val="15"/>
        </w:rPr>
        <w:t xml:space="preserve">Summary 3   </w:t>
      </w:r>
      <w:r>
        <w:rPr>
          <w:color w:val="6B7280"/>
          <w:sz w:val="15"/>
          <w:szCs w:val="15"/>
        </w:rPr>
        <w:t xml:space="preserve">The same bond can be trading, AFS or HTM. Read the facts about intent and ability. A company that might sell when rates change cannot use HTM. Equity securities are never trading, AFS or HTM under current U.S. GAAP.</w:t>
      </w:r>
    </w:p>
    <w:p>
      <w:pPr>
        <w:sectPr>
          <w:headerReference w:type="default" r:id="rIdHdr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Measuring debt securities</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How each category of investment is measured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7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2474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(debt)   ·   debt security   ·   Equity method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A bond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a bond premium when its stated interest rate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than the market rate, and at a bond discount when it is lower. </w:t>
      </w:r>
      <w:r>
        <w:rPr>
          <w:sz w:val="19"/>
          <w:szCs w:val="19"/>
        </w:rPr>
        <w:t xml:space="preserve">Under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interest revenue for each year is the carrying amount at the start of the year multiplied by the market rate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cash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face amount multiplied by the stated rate.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amortizes the premium or discount, so the carrying amount moves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face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effective-interest   ·   received   ·   bought   ·   difference   ·   recycling   ·   toward   ·   purchase   ·   higher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buys a corporate bond</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 2025, Orontes buys a 3-year bond with a face amount of $100,000 and a stated rate of 6%, paid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31. </w:t>
      </w:r>
      <w:r>
        <w:rPr>
          <w:sz w:val="19"/>
          <w:szCs w:val="19"/>
        </w:rPr>
        <w:t xml:space="preserve">The market rate is 5%, so Orontes pays $102,723,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$2,723.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January   ·   trading   ·   December   ·   premium</w:t>
            </w:r>
          </w:p>
        </w:tc>
      </w:tr>
    </w:tbl>
    <w:p/>
    <w:p>
      <w:pPr>
        <w:pageBreakBefore w:val="true"/>
        <w:spacing w:after="0"/>
      </w:pPr>
      <w:r>
        <w:rPr>
          <w:sz w:val="2"/>
        </w:rPr>
        <w:t xml:space="preserve"> </w:t>
      </w:r>
    </w:p>
    <w:p>
      <w:pPr>
        <w:spacing w:before="44" w:after="10"/>
      </w:pPr>
      <w:r>
        <w:rPr>
          <w:b/>
          <w:bCs/>
          <w:color w:val="353A7C"/>
          <w:sz w:val="18"/>
          <w:szCs w:val="18"/>
        </w:rPr>
        <w:t xml:space="preserve">Orontes buys a corporate bond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Premium amortized   ·   fair value</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2025,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revenue is $102,723 × 5% = $5,136. </w:t>
      </w:r>
      <w:r>
        <w:rPr>
          <w:sz w:val="19"/>
          <w:szCs w:val="19"/>
        </w:rPr>
        <w:t xml:space="preserve">At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bond's fair value is $101,000.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counted   ·   interest   ·   year-end</w:t>
            </w:r>
          </w:p>
        </w:tc>
      </w:tr>
    </w:tbl>
    <w:p/>
    <w:p>
      <w:pPr>
        <w:spacing w:before="44" w:after="10"/>
      </w:pPr>
      <w:r>
        <w:rPr>
          <w:b/>
          <w:bCs/>
          <w:color w:val="353A7C"/>
          <w:sz w:val="18"/>
          <w:szCs w:val="18"/>
        </w:rPr>
        <w:t xml:space="preserve">The same bond under three categories, 2025 (whole USD)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Amortized cost at Dec 31, 2025   ·   Interest revenue in net income (effective interest)</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17–28</w:t>
      </w:r>
    </w:p>
    <w:p>
      <w:pPr>
        <w:spacing w:before="20" w:after="20" w:line="360" w:lineRule="auto"/>
        <w:ind w:left="200"/>
      </w:pPr>
      <w:r>
        <w:rPr>
          <w:sz w:val="19"/>
          <w:szCs w:val="19"/>
        </w:rPr>
        <w:t xml:space="preserve">Interest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the same in all three categories. </w:t>
      </w:r>
      <w:r>
        <w:rPr>
          <w:sz w:val="19"/>
          <w:szCs w:val="19"/>
        </w:rPr>
        <w:t xml:space="preserve">Only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sheet amount and the place of the unrealized loss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While Orontes holds an AFS bond, its unrealized gains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build up in accumulated OCI, part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the bond, the realized gain or loss moves to net income through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called recycling. </w:t>
      </w:r>
      <w:r>
        <w:rPr>
          <w:sz w:val="19"/>
          <w:szCs w:val="19"/>
        </w:rPr>
        <w:t xml:space="preserve">On the sale, the realized gain is the price minus the amortized cost: $101,500 − $100,952 = $548. </w:t>
      </w:r>
      <w:r>
        <w:rPr>
          <w:sz w:val="19"/>
          <w:szCs w:val="19"/>
        </w:rPr>
        <w:t xml:space="preserve">Accumulated OCI for the bond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zero, so the gain is never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twice. </w:t>
      </w:r>
      <w:r>
        <w:rPr>
          <w:sz w:val="19"/>
          <w:szCs w:val="19"/>
        </w:rPr>
        <w:t xml:space="preserve">Transfers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categories are made at fair value. </w:t>
      </w:r>
      <w:r>
        <w:rPr>
          <w:sz w:val="19"/>
          <w:szCs w:val="19"/>
        </w:rPr>
        <w:t xml:space="preserve">When a security moves into trading, any unrealized gain or loss not yet in net income goes to net income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When an AFS security moves to HTM, the unrealized amount stays in accumulated OCI and is amortized over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life. </w:t>
      </w:r>
      <w:r>
        <w:rPr>
          <w:sz w:val="19"/>
          <w:szCs w:val="19"/>
        </w:rPr>
        <w:t xml:space="preserve">Transfers into or out of trading should be rare.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counted   ·   differ   ·   sometimes   ·   returns   ·   between   ·   immediately   ·   reclassification   ·   losses   ·   balance   ·   remaining   ·   equity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does it go?</w:t>
            </w:r>
          </w:p>
        </w:tc>
      </w:tr>
    </w:tbl>
    <w:p/>
    <w:p>
      <w:pPr>
        <w:spacing w:before="44" w:after="14"/>
      </w:pPr>
      <w:r>
        <w:rPr>
          <w:b/>
          <w:bCs/>
          <w:color w:val="353A7C"/>
          <w:sz w:val="18"/>
          <w:szCs w:val="18"/>
        </w:rPr>
        <w:t xml:space="preserve">Summary 5</w:t>
      </w:r>
      <w:r>
        <w:rPr>
          <w:color w:val="6B7280"/>
          <w:sz w:val="16"/>
          <w:szCs w:val="16"/>
        </w:rPr>
        <w:t xml:space="preserve">      gaps 29–31</w:t>
      </w:r>
    </w:p>
    <w:p>
      <w:pPr>
        <w:spacing w:before="20" w:after="20" w:line="360" w:lineRule="auto"/>
        <w:ind w:left="200"/>
      </w:pPr>
      <w:r>
        <w:rPr>
          <w:sz w:val="19"/>
          <w:szCs w:val="19"/>
        </w:rPr>
        <w:t xml:space="preserve">Trading: fair value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in net income. </w:t>
      </w:r>
      <w:r>
        <w:rPr>
          <w:sz w:val="19"/>
          <w:szCs w:val="19"/>
        </w:rPr>
        <w:t xml:space="preserve">Interest revenue =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carrying amount × market rate, not face × stated rate. </w:t>
      </w:r>
      <w:r>
        <w:rPr>
          <w:sz w:val="19"/>
          <w:szCs w:val="19"/>
        </w:rPr>
        <w:t xml:space="preserve">On sale of AFS debt, recycle the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OCI; do not count the gain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counted   ·   changes   ·   beginning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bond discount   ·   effective-interest method   ·   bond premium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w:t>
            </w:r>
          </w:p>
        </w:tc>
        <w:tc>
          <w:tcPr>
            <w:tcW w:type="pct" w:w="2400"/>
            <w:tcMar>
              <w:top w:type="dxa" w:w="50"/>
              <w:left w:type="dxa" w:w="110"/>
              <w:bottom w:type="dxa" w:w="50"/>
              <w:right w:type="dxa" w:w="110"/>
            </w:tcMar>
          </w:tcPr>
          <w:p>
            <w:pPr>
              <w:spacing w:before="26" w:after="26"/>
            </w:pPr>
            <w:r>
              <w:rPr>
                <w:color w:val="232733"/>
                <w:sz w:val="16"/>
                <w:szCs w:val="16"/>
              </w:rPr>
              <w:t xml:space="preserve">القيمة العادلة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holding gain or 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مكسب أو خسارة حيازة غير محققة</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effective-interest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الفائدة الفعلية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bond premium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علاوة إصدار السند</w:t>
            </w:r>
          </w:p>
        </w:tc>
      </w:tr>
      <w:tr>
        <w:tc>
          <w:tcPr>
            <w:tcW w:type="pct" w:w="2600"/>
            <w:tcMar>
              <w:top w:type="dxa" w:w="50"/>
              <w:left w:type="dxa" w:w="110"/>
              <w:bottom w:type="dxa" w:w="50"/>
              <w:right w:type="dxa" w:w="110"/>
            </w:tcMar>
          </w:tcPr>
          <w:p>
            <w:pPr>
              <w:spacing w:before="26" w:after="26"/>
            </w:pPr>
            <w:r>
              <w:rPr>
                <w:color w:val="232733"/>
                <w:sz w:val="16"/>
                <w:szCs w:val="16"/>
              </w:rPr>
              <w:t xml:space="preserve">bond discount</w:t>
            </w:r>
          </w:p>
        </w:tc>
        <w:tc>
          <w:tcPr>
            <w:tcW w:type="pct" w:w="2400"/>
            <w:tcMar>
              <w:top w:type="dxa" w:w="50"/>
              <w:left w:type="dxa" w:w="110"/>
              <w:bottom w:type="dxa" w:w="50"/>
              <w:right w:type="dxa" w:w="110"/>
            </w:tcMar>
          </w:tcPr>
          <w:p>
            <w:pPr>
              <w:spacing w:before="26" w:after="26"/>
            </w:pPr>
            <w:r>
              <w:rPr>
                <w:color w:val="232733"/>
                <w:sz w:val="16"/>
                <w:szCs w:val="16"/>
              </w:rPr>
              <w:t xml:space="preserve">خصم إصدار السند</w:t>
            </w:r>
          </w:p>
        </w:tc>
      </w:tr>
    </w:tbl>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Measuring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Held-to-maturity (debt)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effective-interest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toward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 amortized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reclassification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Amortized cost at Dec 31, 2025</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effective-interest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bond premium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bond is bought at a bond premium when its stated interest rate is higher than the market rate, and at a bond discount when it is lower. Under the effective-interest method, interest revenue for each year is the carrying amount at the start of the year multiplied by the market rate at purchase. The cash received is the face amount multiplied by the stated rate. The difference amortizes the premium or discount, so the carrying amount moves toward face value.</w:t>
      </w:r>
    </w:p>
    <w:p>
      <w:pPr>
        <w:spacing w:before="20" w:after="20"/>
        <w:ind w:left="240" w:hanging="240"/>
      </w:pPr>
      <w:r>
        <w:rPr>
          <w:b/>
          <w:bCs/>
          <w:color w:val="353A7C"/>
          <w:sz w:val="15"/>
          <w:szCs w:val="15"/>
        </w:rPr>
        <w:t xml:space="preserve">Summary 2   </w:t>
      </w:r>
      <w:r>
        <w:rPr>
          <w:color w:val="6B7280"/>
          <w:sz w:val="15"/>
          <w:szCs w:val="15"/>
        </w:rPr>
        <w:t xml:space="preserve">On January 1, 2025, Orontes buys a 3-year bond with a face amount of $100,000 and a stated rate of 6%, paid each December 31. The market rate is 5%, so Orontes pays $102,723, a premium of $2,723.</w:t>
      </w:r>
    </w:p>
    <w:p>
      <w:pPr>
        <w:spacing w:before="20" w:after="20"/>
        <w:ind w:left="240" w:hanging="240"/>
      </w:pPr>
      <w:r>
        <w:rPr>
          <w:b/>
          <w:bCs/>
          <w:color w:val="353A7C"/>
          <w:sz w:val="15"/>
          <w:szCs w:val="15"/>
        </w:rPr>
        <w:t xml:space="preserve">Summary 3   </w:t>
      </w:r>
      <w:r>
        <w:rPr>
          <w:color w:val="6B7280"/>
          <w:sz w:val="15"/>
          <w:szCs w:val="15"/>
        </w:rPr>
        <w:t xml:space="preserve">In 2025, interest revenue is $102,723 × 5% = $5,136. At year-end the bond's fair value is $101,000.</w:t>
      </w:r>
    </w:p>
    <w:p>
      <w:pPr>
        <w:spacing w:before="20" w:after="20"/>
        <w:ind w:left="240" w:hanging="240"/>
      </w:pPr>
      <w:r>
        <w:rPr>
          <w:b/>
          <w:bCs/>
          <w:color w:val="353A7C"/>
          <w:sz w:val="15"/>
          <w:szCs w:val="15"/>
        </w:rPr>
        <w:t xml:space="preserve">Summary 4   </w:t>
      </w:r>
      <w:r>
        <w:rPr>
          <w:color w:val="6B7280"/>
          <w:sz w:val="15"/>
          <w:szCs w:val="15"/>
        </w:rPr>
        <w:t xml:space="preserve">Interest revenue is the same in all three categories. Only the balance sheet amount and the place of the unrealized loss differ. While Orontes holds an AFS bond, its unrealized gains and losses build up in accumulated OCI, part of equity. When Orontes sells the bond, the realized gain or loss moves to net income through a reclassification adjustment, sometimes called recycling. On the sale, the realized gain is the price minus the amortized cost: $101,500 − $100,952 = $548. Accumulated OCI for the bond returns to zero, so the gain is never counted twice. Transfers between categories are made at fair value. When a security moves into trading, any unrealized gain or loss not yet in net income goes to net income immediately. When an AFS security moves to HTM, the unrealized amount stays in accumulated OCI and is amortized over the remaining life. Transfers into or out of trading should be rare.</w:t>
      </w:r>
    </w:p>
    <w:p>
      <w:pPr>
        <w:spacing w:before="20" w:after="20"/>
        <w:ind w:left="240" w:hanging="240"/>
      </w:pPr>
      <w:r>
        <w:rPr>
          <w:b/>
          <w:bCs/>
          <w:color w:val="353A7C"/>
          <w:sz w:val="15"/>
          <w:szCs w:val="15"/>
        </w:rPr>
        <w:t xml:space="preserve">Summary 5   </w:t>
      </w:r>
      <w:r>
        <w:rPr>
          <w:color w:val="6B7280"/>
          <w:sz w:val="15"/>
          <w:szCs w:val="15"/>
        </w:rPr>
        <w:t xml:space="preserve">Trading: fair value changes in net income. Interest revenue = beginning carrying amount × market rate, not face × stated rate. On sale of AFS debt, recycle the accumulated OCI; do not count the gain twice.</w:t>
      </w:r>
    </w:p>
    <w:p>
      <w:pPr>
        <w:sectPr>
          <w:headerReference w:type="default" r:id="rIdHdr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Credit losses on debt securities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HTM securities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amortized cost, so they follow CECL, like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company records an allowance for lifetime expected credit losses from day one. </w:t>
      </w:r>
      <w:r>
        <w:rPr>
          <w:sz w:val="19"/>
          <w:szCs w:val="19"/>
        </w:rPr>
        <w:t xml:space="preserve">For very safe bonds, such as 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bonds, the expected loss can be zero. </w:t>
      </w:r>
      <w:r>
        <w:rPr>
          <w:sz w:val="19"/>
          <w:szCs w:val="19"/>
        </w:rPr>
        <w:t xml:space="preserve">AFS securities follow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model.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impaired when its fair value is below its amortized cost. </w:t>
      </w:r>
      <w:r>
        <w:rPr>
          <w:sz w:val="19"/>
          <w:szCs w:val="19"/>
        </w:rPr>
        <w:t xml:space="preserve">The credit part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an allowance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income. </w:t>
      </w:r>
      <w:r>
        <w:rPr>
          <w:sz w:val="19"/>
          <w:szCs w:val="19"/>
        </w:rPr>
        <w:t xml:space="preserve">The rest of the decline goes to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receivables   ·   through   ·   amortized   ·   security   ·   recorded   ·   different   ·   Treasury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fair-value floor</w:t>
            </w:r>
          </w:p>
        </w:tc>
      </w:tr>
    </w:tbl>
    <w:p/>
    <w:p>
      <w:pPr>
        <w:spacing w:before="44" w:after="10"/>
      </w:pPr>
      <w:r>
        <w:rPr>
          <w:b/>
          <w:bCs/>
          <w:color w:val="353A7C"/>
          <w:sz w:val="18"/>
          <w:szCs w:val="18"/>
        </w:rPr>
        <w:t xml:space="preserve">The test, and what follows either way</w:t>
      </w:r>
    </w:p>
    <w:p>
      <w:pPr>
        <w:spacing w:before="0" w:after="12"/>
      </w:pPr>
      <w:r>
        <w:rPr>
          <w:color w:val="6B7280"/>
          <w:sz w:val="15"/>
          <w:szCs w:val="15"/>
        </w:rPr>
        <w:t xml:space="preserve">One route applies, and only one.</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writes the security down to fair value through net income   ·   recovers   ·   reclassification adjustment   ·   separates</w:t>
            </w:r>
          </w:p>
        </w:tc>
      </w:tr>
    </w:tbl>
    <w:p/>
    <w:p>
      <w:pPr>
        <w:spacing w:before="44" w:after="14"/>
      </w:pPr>
      <w:r>
        <w:rPr>
          <w:b/>
          <w:bCs/>
          <w:color w:val="353A7C"/>
          <w:sz w:val="18"/>
          <w:szCs w:val="18"/>
        </w:rPr>
        <w:t xml:space="preserve">Summary 2</w:t>
      </w:r>
      <w:r>
        <w:rPr>
          <w:color w:val="6B7280"/>
          <w:sz w:val="16"/>
          <w:szCs w:val="16"/>
        </w:rPr>
        <w:t xml:space="preserve">      gaps 11–16</w:t>
      </w:r>
    </w:p>
    <w:p>
      <w:pPr>
        <w:spacing w:before="20" w:after="20" w:line="360" w:lineRule="auto"/>
        <w:ind w:left="200"/>
      </w:pPr>
      <w:r>
        <w:rPr>
          <w:sz w:val="19"/>
          <w:szCs w:val="19"/>
        </w:rPr>
        <w:t xml:space="preserve">An AFS bond has an amortized cost of $50,000 and a fair value of $44,000. </w:t>
      </w:r>
      <w:r>
        <w:rPr>
          <w:sz w:val="19"/>
          <w:szCs w:val="19"/>
        </w:rPr>
        <w:t xml:space="preserve">The allowance can never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than amortized cost minus fair value: $6,000. </w:t>
      </w:r>
      <w:r>
        <w:rPr>
          <w:sz w:val="19"/>
          <w:szCs w:val="19"/>
        </w:rPr>
        <w:t xml:space="preserve">Case A: the present value of expected cash flows is $47,000. </w:t>
      </w:r>
      <w:r>
        <w:rPr>
          <w:sz w:val="19"/>
          <w:szCs w:val="19"/>
        </w:rPr>
        <w:t xml:space="preserve">The credit loss is $3,000 (allowance, net income), and the other $3,000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goes to OCI. </w:t>
      </w:r>
      <w:r>
        <w:rPr>
          <w:sz w:val="19"/>
          <w:szCs w:val="19"/>
        </w:rPr>
        <w:t xml:space="preserve">Case B: the present value of expected cash flows is $42,000. </w:t>
      </w:r>
      <w:r>
        <w:rPr>
          <w:sz w:val="19"/>
          <w:szCs w:val="19"/>
        </w:rPr>
        <w:t xml:space="preserve">The credit loss would be $8,000, but the allowance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$6,000.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goes to OCI. </w:t>
      </w:r>
      <w:r>
        <w:rPr>
          <w:sz w:val="19"/>
          <w:szCs w:val="19"/>
        </w:rPr>
        <w:t xml:space="preserve">If credit quality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later, the allowance can be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through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larger   ·   reversed   ·   decline   ·   improves   ·   limited   ·   Nothing   ·   records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AFS floor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AFS allowance ≤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cost − fair value. </w:t>
      </w:r>
      <w:r>
        <w:rPr>
          <w:sz w:val="19"/>
          <w:szCs w:val="19"/>
        </w:rPr>
        <w:t xml:space="preserve">HTM has no such limit. </w:t>
      </w:r>
      <w:r>
        <w:rPr>
          <w:sz w:val="19"/>
          <w:szCs w:val="19"/>
        </w:rPr>
        <w:t xml:space="preserve">If the company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 sell, there is no allowance: write the bond down to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intends   ·   amortized   ·   impaired</w:t>
            </w:r>
          </w:p>
        </w:tc>
      </w:tr>
    </w:tbl>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Credit losses on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larger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limited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reversed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writes the security down to fair value through net income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intends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HTM securities are measured at amortized cost, so they follow CECL, like the receivables: the company records an allowance for lifetime expected credit losses from day one. For very safe bonds, such as U.S. Treasury bonds, the expected loss can be zero. AFS securities follow a different model. A security is impaired when its fair value is below its amortized cost. The credit part is recorded in an allowance through net income. The rest of the decline goes to OCI.</w:t>
      </w:r>
    </w:p>
    <w:p>
      <w:pPr>
        <w:spacing w:before="20" w:after="20"/>
        <w:ind w:left="240" w:hanging="240"/>
      </w:pPr>
      <w:r>
        <w:rPr>
          <w:b/>
          <w:bCs/>
          <w:color w:val="353A7C"/>
          <w:sz w:val="15"/>
          <w:szCs w:val="15"/>
        </w:rPr>
        <w:t xml:space="preserve">Summary 2   </w:t>
      </w:r>
      <w:r>
        <w:rPr>
          <w:color w:val="6B7280"/>
          <w:sz w:val="15"/>
          <w:szCs w:val="15"/>
        </w:rPr>
        <w:t xml:space="preserve">An AFS bond has an amortized cost of $50,000 and a fair value of $44,000. The allowance can never be larger than amortized cost minus fair value: $6,000. Case A: the present value of expected cash flows is $47,000. The credit loss is $3,000 (allowance, net income), and the other $3,000 of the decline goes to OCI. Case B: the present value of expected cash flows is $42,000. The credit loss would be $8,000, but the allowance is limited to $6,000. Nothing goes to OCI. If credit quality improves later, the allowance can be reversed through net income.</w:t>
      </w:r>
    </w:p>
    <w:p>
      <w:pPr>
        <w:spacing w:before="20" w:after="20"/>
        <w:ind w:left="240" w:hanging="240"/>
      </w:pPr>
      <w:r>
        <w:rPr>
          <w:b/>
          <w:bCs/>
          <w:color w:val="353A7C"/>
          <w:sz w:val="15"/>
          <w:szCs w:val="15"/>
        </w:rPr>
        <w:t xml:space="preserve">Summary 3   </w:t>
      </w:r>
      <w:r>
        <w:rPr>
          <w:color w:val="6B7280"/>
          <w:sz w:val="15"/>
          <w:szCs w:val="15"/>
        </w:rPr>
        <w:t xml:space="preserve">AFS allowance ≤ amortized cost − fair value. HTM has no such limit. If the company intends to sell, there is no allowance: write the bond down to fair value.</w:t>
      </w:r>
    </w:p>
    <w:p>
      <w:pPr>
        <w:sectPr>
          <w:headerReference w:type="default" r:id="rIdHdr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Equity securities and the equity method</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For shares, the key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how much influence the investor has over the investee, the company whose shares it holds. </w:t>
      </w:r>
      <w:r>
        <w:rPr>
          <w:sz w:val="19"/>
          <w:szCs w:val="19"/>
        </w:rPr>
        <w:t xml:space="preserve">Shares with a readily determinable fair value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fair value, and all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go to net income. </w:t>
      </w:r>
      <w:r>
        <w:rPr>
          <w:sz w:val="19"/>
          <w:szCs w:val="19"/>
        </w:rPr>
        <w:t xml:space="preserve">There is no AFS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no OCI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shares. </w:t>
      </w:r>
      <w:r>
        <w:rPr>
          <w:sz w:val="19"/>
          <w:szCs w:val="19"/>
        </w:rPr>
        <w:t xml:space="preserve">Dividends received are income. </w:t>
      </w:r>
      <w:r>
        <w:rPr>
          <w:sz w:val="19"/>
          <w:szCs w:val="19"/>
        </w:rPr>
        <w:t xml:space="preserve">For example, 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listed shares for $20,000;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they are worth $23,500, and Orontes received dividends of $400. </w:t>
      </w:r>
      <w:r>
        <w:rPr>
          <w:sz w:val="19"/>
          <w:szCs w:val="19"/>
        </w:rPr>
        <w:t xml:space="preserve">Net income includes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gain of $3,500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of $400. </w:t>
      </w:r>
      <w:r>
        <w:rPr>
          <w:sz w:val="19"/>
          <w:szCs w:val="19"/>
        </w:rPr>
        <w:t xml:space="preserve">For shares with no readily determinable fair value, such as shares of a private company, the investor may 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alternative: cost minus impairment, adjusted when an orderly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same or a similar share shows a new price. </w:t>
      </w:r>
      <w:r>
        <w:rPr>
          <w:sz w:val="19"/>
          <w:szCs w:val="19"/>
        </w:rPr>
        <w:t xml:space="preserve">An investor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influence can take part in the investee's financial and operating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bought   ·   transaction   ·   changes   ·   dividend   ·   option   ·   year-end   ·   measured   ·   significant   ·   impaired   ·   category   ·   question   ·   measurement</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Influence is presumed when the investor holds 20% to 50% of the voting stock, but the evidence decides: a board seat,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policy decisions or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between the companies can show influence even below 20%. </w:t>
      </w:r>
      <w:r>
        <w:rPr>
          <w:sz w:val="19"/>
          <w:szCs w:val="19"/>
        </w:rPr>
        <w:t xml:space="preserve">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influence, the investor uses the equity method. </w:t>
      </w:r>
      <w:r>
        <w:rPr>
          <w:sz w:val="19"/>
          <w:szCs w:val="19"/>
        </w:rPr>
        <w:t xml:space="preserve">Under the equity method, the investment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at cost. </w:t>
      </w:r>
      <w:r>
        <w:rPr>
          <w:sz w:val="19"/>
          <w:szCs w:val="19"/>
        </w:rPr>
        <w:t xml:space="preserve">It increases by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 of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net income and decreases by the dividends the investor receives. </w:t>
      </w:r>
      <w:r>
        <w:rPr>
          <w:sz w:val="19"/>
          <w:szCs w:val="19"/>
        </w:rPr>
        <w:t xml:space="preserve">The dividends are not income,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they only return part of the investment.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difference   ·   investee's   ·   transactions   ·   because   ·   starts   ·   investor's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and Jordan Glass Co.</w:t>
            </w:r>
          </w:p>
        </w:tc>
      </w:tr>
    </w:tbl>
    <w:p/>
    <w:p>
      <w:pPr>
        <w:spacing w:before="44" w:after="14"/>
      </w:pPr>
      <w:r>
        <w:rPr>
          <w:b/>
          <w:bCs/>
          <w:color w:val="353A7C"/>
          <w:sz w:val="18"/>
          <w:szCs w:val="18"/>
        </w:rPr>
        <w:t xml:space="preserve">Summary 3</w:t>
      </w:r>
      <w:r>
        <w:rPr>
          <w:color w:val="6B7280"/>
          <w:sz w:val="16"/>
          <w:szCs w:val="16"/>
        </w:rPr>
        <w:t xml:space="preserve">      gaps 20–29</w:t>
      </w:r>
    </w:p>
    <w:p>
      <w:pPr>
        <w:spacing w:before="20" w:after="20" w:line="360" w:lineRule="auto"/>
        <w:ind w:left="200"/>
      </w:pPr>
      <w:r>
        <w:rPr>
          <w:sz w:val="19"/>
          <w:szCs w:val="19"/>
        </w:rPr>
        <w:t xml:space="preserve">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1, 2025, Orontes buys 30% of Jordan Glass Co., its bottle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for $1,200,000. </w:t>
      </w:r>
      <w:r>
        <w:rPr>
          <w:sz w:val="19"/>
          <w:szCs w:val="19"/>
        </w:rPr>
        <w:t xml:space="preserve">Jordan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net assets have a book value of $3,000,000, so Orontes's share of book value is $900,000. </w:t>
      </w:r>
      <w:r>
        <w:rPr>
          <w:sz w:val="19"/>
          <w:szCs w:val="19"/>
        </w:rPr>
        <w:t xml:space="preserve">The basis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of $300,000 has two parts: $30,000 for Orontes's share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worth more than its book value, which is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over 10 years ($3,000 a year), and $270,000 of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which is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In 2025 Jordan Glass earns $500,000 and pays dividends of $200,000. </w:t>
      </w:r>
      <w:r>
        <w:rPr>
          <w:sz w:val="19"/>
          <w:szCs w:val="19"/>
        </w:rPr>
        <w:t xml:space="preserve">Orontes reports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income of $147,000 and an investment of $1,287,000 at the end of 2025. </w:t>
      </w:r>
      <w:r>
        <w:rPr>
          <w:sz w:val="19"/>
          <w:szCs w:val="19"/>
        </w:rPr>
        <w:t xml:space="preserve">The dividends of $60,000 are cash in and investment out; they do not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Glass's   ·   January   ·   equipment   ·   difference   ·   amortized   ·   goodwill   ·   change   ·   equity-method   ·   investor   ·   supplier   ·   depreciated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Jordan Glass in 2026</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30–41</w:t>
      </w:r>
    </w:p>
    <w:p>
      <w:pPr>
        <w:spacing w:before="20" w:after="20" w:line="360" w:lineRule="auto"/>
        <w:ind w:left="200"/>
      </w:pPr>
      <w:r>
        <w:rPr>
          <w:sz w:val="19"/>
          <w:szCs w:val="19"/>
        </w:rPr>
        <w:t xml:space="preserve">In 2026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Glass earns $400,000 and pays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of $100,000. </w:t>
      </w:r>
      <w:r>
        <w:rPr>
          <w:sz w:val="19"/>
          <w:szCs w:val="19"/>
        </w:rPr>
        <w:t xml:space="preserve">The extra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is the same as in 2025. </w:t>
      </w:r>
      <w:r>
        <w:rPr>
          <w:sz w:val="19"/>
          <w:szCs w:val="19"/>
        </w:rPr>
        <w:t xml:space="preserve">Three more equity-method rules appear in exam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w:t>
      </w:r>
      <w:r>
        <w:rPr>
          <w:sz w:val="19"/>
          <w:szCs w:val="19"/>
        </w:rPr>
        <w:t xml:space="preserve">Losses reduce the investment only to zero, unless the investor has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the investee's debts. </w:t>
      </w:r>
      <w:r>
        <w:rPr>
          <w:sz w:val="19"/>
          <w:szCs w:val="19"/>
        </w:rPr>
        <w:t xml:space="preserve">Profits on sales between the two companies are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until the goods are sold to outsiders. </w:t>
      </w:r>
      <w:r>
        <w:rPr>
          <w:sz w:val="19"/>
          <w:szCs w:val="19"/>
        </w:rPr>
        <w:t xml:space="preserve">And when an investor first gains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influence, it starts the equity method from that date; it does not restate prior years. </w:t>
      </w:r>
      <w:r>
        <w:rPr>
          <w:sz w:val="19"/>
          <w:szCs w:val="19"/>
        </w:rPr>
        <w:t xml:space="preserve">An investor may also elect the fair value option for an equity-method investment. </w:t>
      </w:r>
      <w:r>
        <w:rPr>
          <w:sz w:val="19"/>
          <w:szCs w:val="19"/>
        </w:rPr>
        <w:t xml:space="preserve">Crypto assets that meet the ASU 2023-08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are measured at fair value through net income. </w:t>
      </w:r>
      <w:r>
        <w:rPr>
          <w:sz w:val="19"/>
          <w:szCs w:val="19"/>
        </w:rPr>
        <w:t xml:space="preserve">This rule became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for fiscal years beginning after December 15, 2024, so it is now testable. </w:t>
      </w:r>
      <w:r>
        <w:rPr>
          <w:sz w:val="19"/>
          <w:szCs w:val="19"/>
        </w:rPr>
        <w:t xml:space="preserve">IFRS 9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debt by the business model and the cash flows (amortized cost, FVOCI or FVPL), not by intent. </w:t>
      </w:r>
      <w:r>
        <w:rPr>
          <w:sz w:val="19"/>
          <w:szCs w:val="19"/>
        </w:rPr>
        <w:t xml:space="preserve">For shares, IFRS 9 allows an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election to put fair value changes in OCI, with no recycling on sale; U.S. GAAP has no such option. </w:t>
      </w:r>
      <w:r>
        <w:rPr>
          <w:sz w:val="19"/>
          <w:szCs w:val="19"/>
        </w:rPr>
        <w:t xml:space="preserve">Under IAS 28, an equity-method investment that is impaired can later be written back up; under U.S. GAAP the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is not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questions   ·   amortize   ·   Jordan   ·   guaranteed   ·   irrevocable   ·   significant   ·   definition   ·   impairment   ·   effective   ·   depreciation   ·   eliminated   ·   dividends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Dividends and percentages</w:t>
            </w:r>
          </w:p>
        </w:tc>
      </w:tr>
    </w:tbl>
    <w:p/>
    <w:p>
      <w:pPr>
        <w:spacing w:before="44" w:after="14"/>
      </w:pPr>
      <w:r>
        <w:rPr>
          <w:b/>
          <w:bCs/>
          <w:color w:val="353A7C"/>
          <w:sz w:val="18"/>
          <w:szCs w:val="18"/>
        </w:rPr>
        <w:t xml:space="preserve">Summary 5</w:t>
      </w:r>
      <w:r>
        <w:rPr>
          <w:color w:val="6B7280"/>
          <w:sz w:val="16"/>
          <w:szCs w:val="16"/>
        </w:rPr>
        <w:t xml:space="preserve">      gaps 42–44</w:t>
      </w:r>
    </w:p>
    <w:p>
      <w:pPr>
        <w:spacing w:before="20" w:after="20" w:line="360" w:lineRule="auto"/>
        <w:ind w:left="200"/>
      </w:pPr>
      <w:r>
        <w:rPr>
          <w:sz w:val="19"/>
          <w:szCs w:val="19"/>
        </w:rPr>
        <w:t xml:space="preserve">Equity method: dividends reduce the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w:t>
      </w:r>
      <w:r>
        <w:rPr>
          <w:sz w:val="19"/>
          <w:szCs w:val="19"/>
        </w:rPr>
        <w:t xml:space="preserve">They are not income. </w:t>
      </w:r>
      <w:r>
        <w:rPr>
          <w:sz w:val="19"/>
          <w:szCs w:val="19"/>
        </w:rPr>
        <w:t xml:space="preserve">Take only the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share of the investee's income. </w:t>
      </w:r>
      <w:r>
        <w:rPr>
          <w:sz w:val="19"/>
          <w:szCs w:val="19"/>
        </w:rPr>
        <w:t xml:space="preserve"/>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the part of the basis difference assigned to assets; do not amortize the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unrealized   ·   Depreciate   ·   investor's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00"/>
        <w:gridCol w:w="4224"/>
        <w:gridCol w:w="218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Dividends and percentages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094"/>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138"/>
            <w:shd w:fill="353A7C" w:val="clear"/>
            <w:tcMar>
              <w:top w:type="dxa" w:w="50"/>
              <w:left w:type="dxa" w:w="110"/>
              <w:bottom w:type="dxa" w:w="50"/>
              <w:right w:type="dxa" w:w="110"/>
            </w:tcMar>
          </w:tcPr>
          <w:p>
            <w:pPr>
              <w:spacing w:before="30" w:after="30"/>
            </w:pPr>
            <w:r>
              <w:rPr>
                <w:b/>
                <w:bCs/>
                <w:color w:val="FFFFFF"/>
                <w:sz w:val="15"/>
                <w:szCs w:val="15"/>
              </w:rPr>
              <w:t xml:space="preserve">Amounts, Dec 31, 2025</w:t>
            </w:r>
          </w:p>
        </w:tc>
      </w:tr>
      <w:tr>
        <w:tc>
          <w:tcPr>
            <w:tcW w:type="pct" w:w="568"/>
            <w:tcMar>
              <w:top w:type="dxa" w:w="50"/>
              <w:left w:type="dxa" w:w="110"/>
              <w:bottom w:type="dxa" w:w="50"/>
              <w:right w:type="dxa" w:w="110"/>
            </w:tcMar>
          </w:tcPr>
          <w:p>
            <w:pPr>
              <w:spacing w:before="28" w:after="28"/>
            </w:pPr>
            <w:r>
              <w:rPr>
                <w:sz w:val="15"/>
                <w:szCs w:val="15"/>
              </w:rPr>
              <w:t xml:space="preserve">A</w:t>
            </w:r>
          </w:p>
        </w:tc>
        <w:tc>
          <w:tcPr>
            <w:tcW w:type="pct" w:w="1094"/>
            <w:tcMar>
              <w:top w:type="dxa" w:w="50"/>
              <w:left w:type="dxa" w:w="110"/>
              <w:bottom w:type="dxa" w:w="50"/>
              <w:right w:type="dxa" w:w="110"/>
            </w:tcMar>
          </w:tcPr>
          <w:p>
            <w:pPr>
              <w:spacing w:before="28" w:after="28"/>
            </w:pPr>
            <w:r>
              <w:rPr>
                <w:sz w:val="15"/>
                <w:szCs w:val="15"/>
              </w:rPr>
              <w:t xml:space="preserve">Corporate bond</w:t>
            </w:r>
          </w:p>
        </w:tc>
        <w:tc>
          <w:tcPr>
            <w:tcW w:type="pct" w:w="2200"/>
            <w:tcMar>
              <w:top w:type="dxa" w:w="50"/>
              <w:left w:type="dxa" w:w="110"/>
              <w:bottom w:type="dxa" w:w="50"/>
              <w:right w:type="dxa" w:w="110"/>
            </w:tcMar>
          </w:tcPr>
          <w:p>
            <w:pPr>
              <w:spacing w:before="28" w:after="28"/>
            </w:pPr>
            <w:r>
              <w:rPr>
                <w:sz w:val="15"/>
                <w:szCs w:val="15"/>
              </w:rPr>
              <w:t xml:space="preserve">Bought to sell in the near term; the </w:t>
            </w:r>
            <w:r>
              <w:rPr>
                <w:b/>
                <w:bCs/>
                <w:color w:val="8186EF"/>
                <w:sz w:val="14"/>
                <w:szCs w:val="14"/>
              </w:rPr>
              <w:t xml:space="preserve"> (45) </w:t>
            </w:r>
            <w:r>
              <w:rPr>
                <w:u w:val="single"/>
                <w:sz w:val="15"/>
                <w:szCs w:val="15"/>
              </w:rPr>
              <w:t xml:space="preserve">              </w:t>
            </w:r>
            <w:r>
              <w:rPr>
                <w:sz w:val="15"/>
                <w:szCs w:val="15"/>
              </w:rPr>
              <w:t xml:space="preserve"> </w:t>
            </w:r>
            <w:r>
              <w:rPr>
                <w:sz w:val="15"/>
                <w:szCs w:val="15"/>
              </w:rPr>
              <w:t xml:space="preserve"> team trades it actively.</w:t>
            </w:r>
          </w:p>
        </w:tc>
        <w:tc>
          <w:tcPr>
            <w:tcW w:type="pct" w:w="1138"/>
            <w:tcMar>
              <w:top w:type="dxa" w:w="50"/>
              <w:left w:type="dxa" w:w="110"/>
              <w:bottom w:type="dxa" w:w="50"/>
              <w:right w:type="dxa" w:w="110"/>
            </w:tcMar>
          </w:tcPr>
          <w:p>
            <w:pPr>
              <w:spacing w:before="28" w:after="28"/>
            </w:pPr>
            <w:r>
              <w:rPr>
                <w:sz w:val="15"/>
                <w:szCs w:val="15"/>
              </w:rPr>
              <w:t xml:space="preserve">cost 40,000; fair value 42,000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w:t>
            </w:r>
          </w:p>
        </w:tc>
        <w:tc>
          <w:tcPr>
            <w:tcW w:type="pct" w:w="1094"/>
            <w:shd w:fill="FBFAF6" w:val="clear"/>
            <w:tcMar>
              <w:top w:type="dxa" w:w="50"/>
              <w:left w:type="dxa" w:w="110"/>
              <w:bottom w:type="dxa" w:w="50"/>
              <w:right w:type="dxa" w:w="110"/>
            </w:tcMar>
          </w:tcPr>
          <w:p>
            <w:pPr>
              <w:spacing w:before="28" w:after="28"/>
            </w:pPr>
            <w:r>
              <w:rPr>
                <w:sz w:val="15"/>
                <w:szCs w:val="15"/>
              </w:rPr>
              <w:t xml:space="preserve">Government bond</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(46) </w:t>
            </w:r>
            <w:r>
              <w:rPr>
                <w:u w:val="single"/>
                <w:sz w:val="15"/>
                <w:szCs w:val="15"/>
              </w:rPr>
              <w:t xml:space="preserve">              </w:t>
            </w:r>
            <w:r>
              <w:rPr>
                <w:sz w:val="15"/>
                <w:szCs w:val="15"/>
              </w:rPr>
              <w:t xml:space="preserve"> </w:t>
            </w:r>
            <w:r>
              <w:rPr>
                <w:sz w:val="15"/>
                <w:szCs w:val="15"/>
              </w:rPr>
              <w:t xml:space="preserve"> intends and is able to hold it until it matures in 2029.</w:t>
            </w:r>
          </w:p>
        </w:tc>
        <w:tc>
          <w:tcPr>
            <w:tcW w:type="pct" w:w="1138"/>
            <w:shd w:fill="FBFAF6" w:val="clear"/>
            <w:tcMar>
              <w:top w:type="dxa" w:w="50"/>
              <w:left w:type="dxa" w:w="110"/>
              <w:bottom w:type="dxa" w:w="50"/>
              <w:right w:type="dxa" w:w="110"/>
            </w:tcMar>
          </w:tcPr>
          <w:p>
            <w:pPr>
              <w:spacing w:before="28" w:after="28"/>
            </w:pPr>
            <w:r>
              <w:rPr>
                <w:sz w:val="15"/>
                <w:szCs w:val="15"/>
              </w:rPr>
              <w:t xml:space="preserve">cost 60,000; fair value 57,000</w:t>
            </w:r>
          </w:p>
        </w:tc>
      </w:tr>
      <w:tr>
        <w:tc>
          <w:tcPr>
            <w:tcW w:type="pct" w:w="568"/>
            <w:tcMar>
              <w:top w:type="dxa" w:w="50"/>
              <w:left w:type="dxa" w:w="110"/>
              <w:bottom w:type="dxa" w:w="50"/>
              <w:right w:type="dxa" w:w="110"/>
            </w:tcMar>
          </w:tcPr>
          <w:p>
            <w:pPr>
              <w:spacing w:before="28" w:after="28"/>
            </w:pPr>
            <w:r>
              <w:rPr>
                <w:sz w:val="15"/>
                <w:szCs w:val="15"/>
              </w:rPr>
              <w:t xml:space="preserve">C</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(47)</w:t>
            </w:r>
          </w:p>
        </w:tc>
        <w:tc>
          <w:tcPr>
            <w:tcW w:type="pct" w:w="2200"/>
            <w:tcMar>
              <w:top w:type="dxa" w:w="50"/>
              <w:left w:type="dxa" w:w="110"/>
              <w:bottom w:type="dxa" w:w="50"/>
              <w:right w:type="dxa" w:w="110"/>
            </w:tcMar>
          </w:tcPr>
          <w:p>
            <w:pPr>
              <w:spacing w:before="28" w:after="28"/>
            </w:pPr>
            <w:r>
              <w:rPr>
                <w:sz w:val="15"/>
                <w:szCs w:val="15"/>
              </w:rPr>
              <w:t xml:space="preserve">No plan to trade it or to hold it to maturity; no credit loss expected.</w:t>
            </w:r>
          </w:p>
        </w:tc>
        <w:tc>
          <w:tcPr>
            <w:tcW w:type="pct" w:w="1138"/>
            <w:tcMar>
              <w:top w:type="dxa" w:w="50"/>
              <w:left w:type="dxa" w:w="110"/>
              <w:bottom w:type="dxa" w:w="50"/>
              <w:right w:type="dxa" w:w="110"/>
            </w:tcMar>
          </w:tcPr>
          <w:p>
            <w:pPr>
              <w:spacing w:before="28" w:after="28"/>
            </w:pPr>
            <w:r>
              <w:rPr>
                <w:sz w:val="15"/>
                <w:szCs w:val="15"/>
              </w:rPr>
              <w:t xml:space="preserve">cost 30,000; fair value 28,500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D</w:t>
            </w:r>
          </w:p>
        </w:tc>
        <w:tc>
          <w:tcPr>
            <w:tcW w:type="pct" w:w="1094"/>
            <w:shd w:fill="FBFAF6" w:val="clear"/>
            <w:tcMar>
              <w:top w:type="dxa" w:w="50"/>
              <w:left w:type="dxa" w:w="110"/>
              <w:bottom w:type="dxa" w:w="50"/>
              <w:right w:type="dxa" w:w="110"/>
            </w:tcMar>
          </w:tcPr>
          <w:p>
            <w:pPr>
              <w:spacing w:before="28" w:after="28"/>
            </w:pPr>
            <w:r>
              <w:rPr>
                <w:sz w:val="15"/>
                <w:szCs w:val="15"/>
              </w:rPr>
              <w:t xml:space="preserve">Listed shares (5% of the company)</w:t>
            </w:r>
          </w:p>
        </w:tc>
        <w:tc>
          <w:tcPr>
            <w:tcW w:type="pct" w:w="2200"/>
            <w:shd w:fill="FBFAF6" w:val="clear"/>
            <w:tcMar>
              <w:top w:type="dxa" w:w="50"/>
              <w:left w:type="dxa" w:w="110"/>
              <w:bottom w:type="dxa" w:w="50"/>
              <w:right w:type="dxa" w:w="110"/>
            </w:tcMar>
          </w:tcPr>
          <w:p>
            <w:pPr>
              <w:spacing w:before="28" w:after="28"/>
            </w:pPr>
            <w:r>
              <w:rPr>
                <w:sz w:val="15"/>
                <w:szCs w:val="15"/>
              </w:rPr>
              <w:t xml:space="preserve">No significant influence. Dividend received during 2025: 800.</w:t>
            </w:r>
          </w:p>
        </w:tc>
        <w:tc>
          <w:tcPr>
            <w:tcW w:type="pct" w:w="1138"/>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568"/>
            <w:tcMar>
              <w:top w:type="dxa" w:w="50"/>
              <w:left w:type="dxa" w:w="110"/>
              <w:bottom w:type="dxa" w:w="50"/>
              <w:right w:type="dxa" w:w="110"/>
            </w:tcMar>
          </w:tcPr>
          <w:p>
            <w:pPr>
              <w:spacing w:before="28" w:after="28"/>
            </w:pPr>
            <w:r>
              <w:rPr>
                <w:sz w:val="15"/>
                <w:szCs w:val="15"/>
              </w:rPr>
              <w:t xml:space="preserve">E</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(49)</w:t>
            </w:r>
          </w:p>
        </w:tc>
        <w:tc>
          <w:tcPr>
            <w:tcW w:type="pct" w:w="2200"/>
            <w:tcMar>
              <w:top w:type="dxa" w:w="50"/>
              <w:left w:type="dxa" w:w="110"/>
              <w:bottom w:type="dxa" w:w="50"/>
              <w:right w:type="dxa" w:w="110"/>
            </w:tcMar>
          </w:tcPr>
          <w:p>
            <w:pPr>
              <w:spacing w:before="28" w:after="28"/>
            </w:pPr>
            <w:r>
              <w:rPr>
                <w:sz w:val="15"/>
                <w:szCs w:val="15"/>
              </w:rPr>
              <w:t xml:space="preserve">Orontes has a seat on the board. Carrying amount on Jan 1, 2025: 500,000. Investee net income: 120,000; dividends paid: 40,000.</w:t>
            </w:r>
          </w:p>
        </w:tc>
        <w:tc>
          <w:tcPr>
            <w:tcW w:type="pct" w:w="1138"/>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25,000; fair value 27,000   ·   Corporate bond   ·   treasury   ·   Shares of Amman Cold Storage Co. (25%)   ·   Orontes   ·   equity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Share of net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Extra depreciation</w:t>
            </w:r>
          </w:p>
        </w:tc>
        <w:tc>
          <w:tcPr>
            <w:tcW w:type="pct" w:w="26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400"/>
            <w:tcMar>
              <w:top w:type="dxa" w:w="50"/>
              <w:left w:type="dxa" w:w="110"/>
              <w:bottom w:type="dxa" w:w="50"/>
              <w:right w:type="dxa" w:w="110"/>
            </w:tcMar>
          </w:tcPr>
          <w:p>
            <w:pPr>
              <w:spacing w:before="28" w:after="28"/>
            </w:pPr>
            <w:r>
              <w:rPr>
                <w:sz w:val="15"/>
                <w:szCs w:val="15"/>
              </w:rPr>
              <w:t xml:space="preserve">Dividends</w:t>
            </w:r>
          </w:p>
        </w:tc>
        <w:tc>
          <w:tcPr>
            <w:tcW w:type="pct" w:w="2600"/>
            <w:tcMar>
              <w:top w:type="dxa" w:w="50"/>
              <w:left w:type="dxa" w:w="110"/>
              <w:bottom w:type="dxa" w:w="50"/>
              <w:right w:type="dxa" w:w="110"/>
            </w:tcMar>
          </w:tcPr>
          <w:p>
            <w:pPr>
              <w:spacing w:before="28" w:after="28"/>
            </w:pPr>
            <w:r>
              <w:rPr>
                <w:sz w:val="15"/>
                <w:szCs w:val="15"/>
              </w:rPr>
              <w:t xml:space="preserve">30% × 100,000 = 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balance</w:t>
            </w:r>
          </w:p>
        </w:tc>
        <w:tc>
          <w:tcPr>
            <w:tcW w:type="pct" w:w="2600"/>
            <w:shd w:fill="FBFAF6" w:val="clear"/>
            <w:tcMar>
              <w:top w:type="dxa" w:w="50"/>
              <w:left w:type="dxa" w:w="110"/>
              <w:bottom w:type="dxa" w:w="50"/>
              <w:right w:type="dxa" w:w="110"/>
            </w:tcMar>
          </w:tcPr>
          <w:p>
            <w:pPr>
              <w:spacing w:before="28" w:after="28"/>
            </w:pPr>
            <w:r>
              <w:rPr>
                <w:sz w:val="15"/>
                <w:szCs w:val="15"/>
              </w:rPr>
              <w:t xml:space="preserve">1,287,000 + 120,000 − 3,000 − 30,000 = 1,374,000</w:t>
            </w:r>
          </w:p>
        </w:tc>
      </w:tr>
      <w:tr>
        <w:tc>
          <w:tcPr>
            <w:tcW w:type="pct" w:w="2400"/>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30,000; fair value 28,500   ·   30% × 400,000 = 120,000   ·   120,000 − 3,000 = 117,000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A</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w:t>
            </w:r>
          </w:p>
        </w:tc>
        <w:tc>
          <w:tcPr>
            <w:tcW w:type="pct" w:w="2600"/>
            <w:shd w:fill="FBFAF6" w:val="clear"/>
            <w:tcMar>
              <w:top w:type="dxa" w:w="50"/>
              <w:left w:type="dxa" w:w="110"/>
              <w:bottom w:type="dxa" w:w="50"/>
              <w:right w:type="dxa" w:w="110"/>
            </w:tcMar>
          </w:tcPr>
          <w:p>
            <w:pPr>
              <w:spacing w:before="28" w:after="28"/>
            </w:pPr>
            <w:r>
              <w:rPr>
                <w:sz w:val="15"/>
                <w:szCs w:val="15"/>
              </w:rPr>
              <w:t xml:space="preserve">Held-to-maturity</w:t>
            </w:r>
          </w:p>
        </w:tc>
      </w:tr>
      <w:tr>
        <w:tc>
          <w:tcPr>
            <w:tcW w:type="pct" w:w="2400"/>
            <w:tcMar>
              <w:top w:type="dxa" w:w="50"/>
              <w:left w:type="dxa" w:w="110"/>
              <w:bottom w:type="dxa" w:w="50"/>
              <w:right w:type="dxa" w:w="110"/>
            </w:tcMar>
          </w:tcPr>
          <w:p>
            <w:pPr>
              <w:spacing w:before="28" w:after="28"/>
            </w:pPr>
            <w:r>
              <w:rPr>
                <w:sz w:val="15"/>
                <w:szCs w:val="15"/>
              </w:rPr>
              <w:t xml:space="preserve">C</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w:t>
            </w:r>
          </w:p>
        </w:tc>
        <w:tc>
          <w:tcPr>
            <w:tcW w:type="pct" w:w="2600"/>
            <w:shd w:fill="FBFAF6" w:val="clear"/>
            <w:tcMar>
              <w:top w:type="dxa" w:w="50"/>
              <w:left w:type="dxa" w:w="110"/>
              <w:bottom w:type="dxa" w:w="50"/>
              <w:right w:type="dxa" w:w="110"/>
            </w:tcMar>
          </w:tcPr>
          <w:p>
            <w:pPr>
              <w:spacing w:before="28" w:after="28"/>
            </w:pPr>
            <w:r>
              <w:rPr>
                <w:sz w:val="15"/>
                <w:szCs w:val="15"/>
              </w:rPr>
              <w:t xml:space="preserve">Equity: fair value through net income</w:t>
            </w:r>
          </w:p>
        </w:tc>
      </w:tr>
      <w:tr>
        <w:tc>
          <w:tcPr>
            <w:tcW w:type="pct" w:w="2400"/>
            <w:tcMar>
              <w:top w:type="dxa" w:w="50"/>
              <w:left w:type="dxa" w:w="110"/>
              <w:bottom w:type="dxa" w:w="50"/>
              <w:right w:type="dxa" w:w="110"/>
            </w:tcMar>
          </w:tcPr>
          <w:p>
            <w:pPr>
              <w:spacing w:before="28" w:after="28"/>
            </w:pPr>
            <w:r>
              <w:rPr>
                <w:sz w:val="15"/>
                <w:szCs w:val="15"/>
              </w:rPr>
              <w:t xml:space="preserve">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Available-for-sale   ·   Equity method   ·   Trading   ·   B</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 influence   ·   measurement alternative   ·   فرق الأساس</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influence</w:t>
            </w:r>
          </w:p>
        </w:tc>
        <w:tc>
          <w:tcPr>
            <w:tcW w:type="pct" w:w="2400"/>
            <w:tcMar>
              <w:top w:type="dxa" w:w="50"/>
              <w:left w:type="dxa" w:w="110"/>
              <w:bottom w:type="dxa" w:w="50"/>
              <w:right w:type="dxa" w:w="110"/>
            </w:tcMar>
          </w:tcPr>
          <w:p>
            <w:pPr>
              <w:spacing w:before="26" w:after="26"/>
            </w:pPr>
            <w:r>
              <w:rPr>
                <w:color w:val="232733"/>
                <w:sz w:val="16"/>
                <w:szCs w:val="16"/>
              </w:rPr>
              <w:t xml:space="preserve">التأثير الجوهري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investee</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المستثمر فيها</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measurement alternative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بديل القياس</w:t>
            </w:r>
          </w:p>
        </w:tc>
      </w:tr>
      <w:tr>
        <w:tc>
          <w:tcPr>
            <w:tcW w:type="pct" w:w="2600"/>
            <w:tcMar>
              <w:top w:type="dxa" w:w="50"/>
              <w:left w:type="dxa" w:w="110"/>
              <w:bottom w:type="dxa" w:w="50"/>
              <w:right w:type="dxa" w:w="110"/>
            </w:tcMar>
          </w:tcPr>
          <w:p>
            <w:pPr>
              <w:spacing w:before="26" w:after="26"/>
            </w:pPr>
            <w:r>
              <w:rPr>
                <w:color w:val="232733"/>
                <w:sz w:val="16"/>
                <w:szCs w:val="16"/>
              </w:rPr>
              <w:t xml:space="preserve">basis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الأساس</w:t>
            </w:r>
          </w:p>
        </w:tc>
      </w:tr>
    </w:tbl>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Equity securities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Jordan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eliminated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Depreciate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investee's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Corporate bond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cost 25,000; fair value 27,000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Shares of Amman Cold Storage Co.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Glass's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30% × 400,000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120,000 − 3,000 = 117,000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Trading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54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55  </w:t>
            </w:r>
            <w:r>
              <w:rPr>
                <w:sz w:val="16"/>
                <w:szCs w:val="16"/>
              </w:rPr>
              <w:t xml:space="preserve">significant influence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56  </w:t>
            </w:r>
            <w:r>
              <w:rPr>
                <w:sz w:val="16"/>
                <w:szCs w:val="16"/>
              </w:rPr>
              <w:t xml:space="preserve">measurement alternative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shares, the key question is how much influence the investor has over the investee, the company whose shares it holds. Shares with a readily determinable fair value are measured at fair value, and all changes go to net income. There is no AFS category and no OCI option for shares. Dividends received are income. For example, Orontes bought listed shares for $20,000; at year-end they are worth $23,500, and Orontes received dividends of $400. Net income includes an unrealized gain of $3,500 and dividend income of $400. For shares with no readily determinable fair value, such as shares of a private company, the investor may use the measurement alternative: cost minus impairment, adjusted when an orderly transaction in the same or a similar share shows a new price. An investor with significant influence can take part in the investee's financial and operating decisions.</w:t>
      </w:r>
    </w:p>
    <w:p>
      <w:pPr>
        <w:spacing w:before="20" w:after="20"/>
        <w:ind w:left="240" w:hanging="240"/>
      </w:pPr>
      <w:r>
        <w:rPr>
          <w:b/>
          <w:bCs/>
          <w:color w:val="353A7C"/>
          <w:sz w:val="15"/>
          <w:szCs w:val="15"/>
        </w:rPr>
        <w:t xml:space="preserve">Summary 2   </w:t>
      </w:r>
      <w:r>
        <w:rPr>
          <w:color w:val="6B7280"/>
          <w:sz w:val="15"/>
          <w:szCs w:val="15"/>
        </w:rPr>
        <w:t xml:space="preserve">Influence is presumed when the investor holds 20% to 50% of the voting stock, but the evidence decides: a board seat, participation in policy decisions or large transactions between the companies can show influence even below 20%. With significant influence, the investor uses the equity method. Under the equity method, the investment starts at cost. It increases by the investor's share of the investee's net income and decreases by the dividends the investor receives. The dividends are not income, because they only return part of the investment.</w:t>
      </w:r>
    </w:p>
    <w:p>
      <w:pPr>
        <w:spacing w:before="20" w:after="20"/>
        <w:ind w:left="240" w:hanging="240"/>
      </w:pPr>
      <w:r>
        <w:rPr>
          <w:b/>
          <w:bCs/>
          <w:color w:val="353A7C"/>
          <w:sz w:val="15"/>
          <w:szCs w:val="15"/>
        </w:rPr>
        <w:t xml:space="preserve">Summary 3   </w:t>
      </w:r>
      <w:r>
        <w:rPr>
          <w:color w:val="6B7280"/>
          <w:sz w:val="15"/>
          <w:szCs w:val="15"/>
        </w:rPr>
        <w:t xml:space="preserve">On January 1, 2025, Orontes buys 30% of Jordan Glass Co., its bottle supplier, for $1,200,000. Jordan Glass's net assets have a book value of $3,000,000, so Orontes's share of book value is $900,000. The basis difference of $300,000 has two parts: $30,000 for Orontes's share of equipment worth more than its book value, which is depreciated over 10 years ($3,000 a year), and $270,000 of goodwill, which is not amortized. In 2025 Jordan Glass earns $500,000 and pays dividends of $200,000. Orontes reports equity-method income of $147,000 and an investment of $1,287,000 at the end of 2025. The dividends of $60,000 are cash in and investment out; they do not change net income.</w:t>
      </w:r>
    </w:p>
    <w:p>
      <w:pPr>
        <w:spacing w:before="20" w:after="20"/>
        <w:ind w:left="240" w:hanging="240"/>
      </w:pPr>
      <w:r>
        <w:rPr>
          <w:b/>
          <w:bCs/>
          <w:color w:val="353A7C"/>
          <w:sz w:val="15"/>
          <w:szCs w:val="15"/>
        </w:rPr>
        <w:t xml:space="preserve">Summary 4   </w:t>
      </w:r>
      <w:r>
        <w:rPr>
          <w:color w:val="6B7280"/>
          <w:sz w:val="15"/>
          <w:szCs w:val="15"/>
        </w:rPr>
        <w:t xml:space="preserve">In 2026 Jordan Glass earns $400,000 and pays dividends of $100,000. The extra depreciation is the same as in 2025. Three more equity-method rules appear in exam questions. Losses reduce the investment only to zero, unless the investor has guaranteed the investee's debts. Profits on sales between the two companies are eliminated until the goods are sold to outsiders. And when an investor first gains significant influence, it starts the equity method from that date; it does not restate prior years. An investor may also elect the fair value option for an equity-method investment. Crypto assets that meet the ASU 2023-08 definition are measured at fair value through net income. This rule became effective for fiscal years beginning after December 15, 2024, so it is now testable. IFRS 9 classifies debt by the business model and the cash flows (amortized cost, FVOCI or FVPL), not by intent. For shares, IFRS 9 allows an irrevocable election to put fair value changes in OCI, with no recycling on sale; U.S. GAAP has no such option. Under IAS 28, an equity-method investment that is impaired can later be written back up; under U.S. GAAP the impairment is not reversed.</w:t>
      </w:r>
    </w:p>
    <w:p>
      <w:pPr>
        <w:spacing w:before="20" w:after="20"/>
        <w:ind w:left="240" w:hanging="240"/>
      </w:pPr>
      <w:r>
        <w:rPr>
          <w:b/>
          <w:bCs/>
          <w:color w:val="353A7C"/>
          <w:sz w:val="15"/>
          <w:szCs w:val="15"/>
        </w:rPr>
        <w:t xml:space="preserve">Summary 5   </w:t>
      </w:r>
      <w:r>
        <w:rPr>
          <w:color w:val="6B7280"/>
          <w:sz w:val="15"/>
          <w:szCs w:val="15"/>
        </w:rPr>
        <w:t xml:space="preserve">Equity method: dividends reduce the investment. They are not income. Take only the investor's share of the investee's income. Depreciate the part of the basis difference assigned to assets; do not amortize the goodwill.</w:t>
      </w:r>
    </w:p>
    <w:p>
      <w:pPr>
        <w:sectPr>
          <w:headerReference w:type="default" r:id="rIdHdr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The cost of property, plant and equipment</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of long-lived assets, intangibles a   ·   change in accounting estimate   ·   Depreciation methods and their effects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Property, plant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(PP&amp;E) is recorded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everything needed to acquire the asset and get it ready for use. </w:t>
      </w:r>
      <w:r>
        <w:rPr>
          <w:sz w:val="19"/>
          <w:szCs w:val="19"/>
        </w:rPr>
        <w:t xml:space="preserve">This includes the price, freight,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testing and site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When a company buys land with an old building and pulls the building down,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is part of the cost of the land. </w:t>
      </w:r>
      <w:r>
        <w:rPr>
          <w:sz w:val="19"/>
          <w:szCs w:val="19"/>
        </w:rPr>
        <w:t xml:space="preserve">When it buys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for one price, it divides the price by their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fair values. </w:t>
      </w:r>
      <w:r>
        <w:rPr>
          <w:sz w:val="19"/>
          <w:szCs w:val="19"/>
        </w:rPr>
        <w:t xml:space="preserve">After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capital expenditure that extends the asset's life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its capacity is added to its cost. </w:t>
      </w:r>
      <w:r>
        <w:rPr>
          <w:sz w:val="19"/>
          <w:szCs w:val="19"/>
        </w:rPr>
        <w:t xml:space="preserve">A revenue expenditure,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repairs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an expense of the period. </w:t>
      </w:r>
      <w:r>
        <w:rPr>
          <w:sz w:val="19"/>
          <w:szCs w:val="19"/>
        </w:rPr>
        <w:t xml:space="preserve">When a company builds an asset for its own use, it capitalizes interest during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Capitalized interest is the avoidable interest: weighted-average accumulated expenditures × the interest rate, but never more than the interest actually incurred. </w:t>
      </w:r>
      <w:r>
        <w:rPr>
          <w:sz w:val="19"/>
          <w:szCs w:val="19"/>
        </w:rPr>
        <w:t xml:space="preserve">For example, if Orontes spends on average $2,000 (USD 000) on a new warehouse during the year and the rate on the related loan is 6%, avoidable interest is 120.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increases   ·   acquire   ·   equipment   ·   demolition   ·   maintenance   ·   purchase   ·   several   ·   relative   ·   construction   ·   installation   ·   historical   ·   ordinary   ·   preparation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Actual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150, so Orontes capitalizes 120.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stops when the asset is substantially complete. </w:t>
      </w:r>
      <w:r>
        <w:rPr>
          <w:sz w:val="19"/>
          <w:szCs w:val="19"/>
        </w:rPr>
        <w:t xml:space="preserve">IAS 23 also capitalizes borrowing costs 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assets. </w:t>
      </w:r>
      <w:r>
        <w:rPr>
          <w:sz w:val="19"/>
          <w:szCs w:val="19"/>
        </w:rPr>
        <w:t xml:space="preserve">One difference: when a company invests borrowed money for a short time before spending it, IAS 23 deducts the investment income from the amount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U.S. GAAP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does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Capitalization   ·   generally   ·   interest   ·   recorded   ·   qualifying   ·   capitalized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expenditure   ·   capital expenditure   ·   property, plant and equipment (PP&amp;E)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(PP&amp;E)</w:t>
            </w:r>
          </w:p>
        </w:tc>
        <w:tc>
          <w:tcPr>
            <w:tcW w:type="pct" w:w="2400"/>
            <w:tcMar>
              <w:top w:type="dxa" w:w="50"/>
              <w:left w:type="dxa" w:w="110"/>
              <w:bottom w:type="dxa" w:w="50"/>
              <w:right w:type="dxa" w:w="110"/>
            </w:tcMar>
          </w:tcPr>
          <w:p>
            <w:pPr>
              <w:spacing w:before="26" w:after="26"/>
            </w:pPr>
            <w:r>
              <w:rPr>
                <w:color w:val="232733"/>
                <w:sz w:val="16"/>
                <w:szCs w:val="16"/>
              </w:rPr>
              <w:t xml:space="preserve">العقارات والآلات والمعدات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 expenditure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نفقة رأسمالية</w:t>
            </w:r>
          </w:p>
        </w:tc>
      </w:tr>
      <w:tr>
        <w:tc>
          <w:tcPr>
            <w:tcW w:type="pct" w:w="2600"/>
            <w:tcMar>
              <w:top w:type="dxa" w:w="50"/>
              <w:left w:type="dxa" w:w="110"/>
              <w:bottom w:type="dxa" w:w="50"/>
              <w:right w:type="dxa" w:w="110"/>
            </w:tcMar>
          </w:tcPr>
          <w:p>
            <w:pPr>
              <w:spacing w:before="26" w:after="26"/>
            </w:pPr>
            <w:r>
              <w:rPr>
                <w:color w:val="232733"/>
                <w:sz w:val="16"/>
                <w:szCs w:val="16"/>
              </w:rPr>
              <w:t xml:space="preserve">revenue expenditure</w:t>
            </w:r>
          </w:p>
        </w:tc>
        <w:tc>
          <w:tcPr>
            <w:tcW w:type="pct" w:w="2400"/>
            <w:tcMar>
              <w:top w:type="dxa" w:w="50"/>
              <w:left w:type="dxa" w:w="110"/>
              <w:bottom w:type="dxa" w:w="50"/>
              <w:right w:type="dxa" w:w="110"/>
            </w:tcMar>
          </w:tcPr>
          <w:p>
            <w:pPr>
              <w:spacing w:before="26" w:after="26"/>
            </w:pPr>
            <w:r>
              <w:rPr>
                <w:color w:val="232733"/>
                <w:sz w:val="16"/>
                <w:szCs w:val="16"/>
              </w:rPr>
              <w:t xml:space="preserve">نفقة إيرادية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capitalized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الفائدة المرسملة</w:t>
            </w:r>
          </w:p>
        </w:tc>
      </w:tr>
    </w:tbl>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The cost of property, plant and equipment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Depreciation methods and their effects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 of long-lived assets, intangibles a</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Capitalization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preparation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demolition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generally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property, plant and equipment (PP&amp;E)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Property, plant and equipment (PP&amp;E) is recorded at historical cost: everything needed to acquire the asset and get it ready for use. This includes the price, freight, installation, testing and site preparation. When a company buys land with an old building and pulls the building down, the demolition cost is part of the cost of the land. When it buys several assets for one price, it divides the price by their relative fair values. After purchase, a capital expenditure that extends the asset's life or increases its capacity is added to its cost. A revenue expenditure, such as ordinary repairs and maintenance, is an expense of the period. When a company builds an asset for its own use, it capitalizes interest during construction. Capitalized interest is the avoidable interest: weighted-average accumulated expenditures × the interest rate, but never more than the interest actually incurred. For example, if Orontes spends on average $2,000 (USD 000) on a new warehouse during the year and the rate on the related loan is 6%, avoidable interest is 120.</w:t>
      </w:r>
    </w:p>
    <w:p>
      <w:pPr>
        <w:spacing w:before="20" w:after="20"/>
        <w:ind w:left="240" w:hanging="240"/>
      </w:pPr>
      <w:r>
        <w:rPr>
          <w:b/>
          <w:bCs/>
          <w:color w:val="353A7C"/>
          <w:sz w:val="15"/>
          <w:szCs w:val="15"/>
        </w:rPr>
        <w:t xml:space="preserve">Summary 2   </w:t>
      </w:r>
      <w:r>
        <w:rPr>
          <w:color w:val="6B7280"/>
          <w:sz w:val="15"/>
          <w:szCs w:val="15"/>
        </w:rPr>
        <w:t xml:space="preserve">Actual interest is 150, so Orontes capitalizes 120. Capitalization stops when the asset is substantially complete. IAS 23 also capitalizes borrowing costs on qualifying assets. One difference: when a company invests borrowed money for a short time before spending it, IAS 23 deducts the investment income from the amount capitalized. U.S. GAAP generally does not.</w:t>
      </w:r>
    </w:p>
    <w:p>
      <w:pPr>
        <w:sectPr>
          <w:headerReference w:type="default" r:id="rIdHdr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Depreciation methods and their effects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Depreciation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depreciable base, cost minus salvage value, over the useful life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rational way. </w:t>
      </w:r>
      <w:r>
        <w:rPr>
          <w:sz w:val="19"/>
          <w:szCs w:val="19"/>
        </w:rPr>
        <w:t xml:space="preserve">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appear on the exam. </w:t>
      </w:r>
      <w:r>
        <w:rPr>
          <w:sz w:val="19"/>
          <w:szCs w:val="19"/>
        </w:rPr>
        <w:t xml:space="preserve">Straight-line method: the same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year, depreciable base ÷ useful life.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twice the straight-line rate, applied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book value. </w:t>
      </w:r>
      <w:r>
        <w:rPr>
          <w:sz w:val="19"/>
          <w:szCs w:val="19"/>
        </w:rPr>
        <w:t xml:space="preserve">Salvage is ignored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the book value may not fall below salvage.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depreciable base × remaining life at the start of the year ÷ the sum of the years' digits. </w:t>
      </w:r>
      <w:r>
        <w:rPr>
          <w:sz w:val="19"/>
          <w:szCs w:val="19"/>
        </w:rPr>
        <w:t xml:space="preserve">Units-of-production method: a rate per unit or hour of use, times actual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calculation   ·   beginning   ·   Double-declining-balance   ·   amount   ·   methods   ·   systematic   ·   Complete   ·   spreads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bottling line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In, Orontes bought a new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line for its Amman plant. </w:t>
      </w:r>
      <w:r>
        <w:rPr>
          <w:sz w:val="19"/>
          <w:szCs w:val="19"/>
        </w:rPr>
        <w:t xml:space="preserve">Orontes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salvage value of $150,000 after 5 years, or after 21,000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hours.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base is $1,050,000.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$1,050,000 ÷ 5 = $210,000 a year.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rate 40%; year 1 = 40% × $1,200,000 = $480,000. </w:t>
      </w:r>
      <w:r>
        <w:rPr>
          <w:sz w:val="19"/>
          <w:szCs w:val="19"/>
        </w:rPr>
        <w:t xml:space="preserve">In year 5 only $5,520 is left, so the book value ends at salvage.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digits add up to 15; year 1 = $1,050,000 × 5/15 = $350,000. </w:t>
      </w:r>
      <w:r>
        <w:rPr>
          <w:sz w:val="19"/>
          <w:szCs w:val="19"/>
        </w:rPr>
        <w:t xml:space="preserve">Units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$1,050,000 ÷ 21,000 hours = $50 an hour; year 1 = 5,000 hours × $50 = $250,000. </w:t>
      </w:r>
      <w:r>
        <w:rPr>
          <w:sz w:val="19"/>
          <w:szCs w:val="19"/>
        </w:rPr>
        <w:t xml:space="preserve">All four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charge the same total, $1,050,000. </w:t>
      </w:r>
      <w:r>
        <w:rPr>
          <w:sz w:val="19"/>
          <w:szCs w:val="19"/>
        </w:rPr>
        <w:t xml:space="preserve">They only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timing. </w:t>
      </w:r>
      <w:r>
        <w:rPr>
          <w:sz w:val="19"/>
          <w:szCs w:val="19"/>
        </w:rPr>
        <w:t xml:space="preserve">Depreciation is not a cash flow, so the method changes cash 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income taxes, and U.S. tax depreciation (MACRS) is chosen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from the book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prospective   ·   separately   ·   Double-declining   ·   bottling   ·   expects   ·   machine   ·   Straight-line   ·   methods   ·   depreciable   ·   production   ·   change   ·   through</w:t>
            </w:r>
          </w:p>
        </w:tc>
      </w:tr>
    </w:tbl>
    <w:p/>
    <w:p>
      <w:pPr>
        <w:spacing w:before="44" w:after="10"/>
      </w:pPr>
      <w:r>
        <w:rPr>
          <w:b/>
          <w:bCs/>
          <w:color w:val="353A7C"/>
          <w:sz w:val="18"/>
          <w:szCs w:val="18"/>
        </w:rPr>
        <w:t xml:space="preserve">Effects of the depreciation methods on the financial statements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research and development (R&amp;D)   ·   Expense in early years   ·   Carrying amount in early years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Dubai delivery trucks</w:t>
            </w:r>
          </w:p>
        </w:tc>
      </w:tr>
    </w:tbl>
    <w:p/>
    <w:p>
      <w:pPr>
        <w:spacing w:before="44" w:after="14"/>
      </w:pPr>
      <w:r>
        <w:rPr>
          <w:b/>
          <w:bCs/>
          <w:color w:val="353A7C"/>
          <w:sz w:val="18"/>
          <w:szCs w:val="18"/>
        </w:rPr>
        <w:t xml:space="preserve">Summary 3</w:t>
      </w:r>
      <w:r>
        <w:rPr>
          <w:color w:val="6B7280"/>
          <w:sz w:val="16"/>
          <w:szCs w:val="16"/>
        </w:rPr>
        <w:t xml:space="preserve">      gaps 23–34</w:t>
      </w:r>
    </w:p>
    <w:p>
      <w:pPr>
        <w:spacing w:before="20" w:after="20" w:line="360" w:lineRule="auto"/>
        <w:ind w:left="200"/>
      </w:pPr>
      <w:r>
        <w:rPr>
          <w:sz w:val="19"/>
          <w:szCs w:val="19"/>
        </w:rPr>
        <w:t xml:space="preserve">Orontes buys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trucks for its Dubai plant for $90,000, with a salvage value of $10,000 after 4 years. </w:t>
      </w:r>
      <w:r>
        <w:rPr>
          <w:sz w:val="19"/>
          <w:szCs w:val="19"/>
        </w:rPr>
        <w:t xml:space="preserve">Complete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schedule. </w:t>
      </w:r>
      <w:r>
        <w:rPr>
          <w:sz w:val="19"/>
          <w:szCs w:val="19"/>
        </w:rPr>
        <w:t xml:space="preserve">A new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life or salvage value is a change in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estimate. </w:t>
      </w:r>
      <w:r>
        <w:rPr>
          <w:sz w:val="19"/>
          <w:szCs w:val="19"/>
        </w:rPr>
        <w:t xml:space="preserve">It is applied prospectively: the company does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prior years. </w:t>
      </w:r>
      <w:r>
        <w:rPr>
          <w:sz w:val="19"/>
          <w:szCs w:val="19"/>
        </w:rPr>
        <w:t xml:space="preserve"/>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Orontes used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for the bottling line and, after 2 years, decides it has 4 more years of life and a salvage value of $90,000. </w:t>
      </w:r>
      <w:r>
        <w:rPr>
          <w:sz w:val="19"/>
          <w:szCs w:val="19"/>
        </w:rPr>
        <w:t xml:space="preserve">The book value then is $780,000, so each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year's depreciation is ($780,000 − $90,000) ÷ 4 = $172,500. </w:t>
      </w:r>
      <w:r>
        <w:rPr>
          <w:sz w:val="19"/>
          <w:szCs w:val="19"/>
        </w:rPr>
        <w:t xml:space="preserve">A change in depreciation method is also applied prospectively, as a change in estimate effected by a change in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and the new method must be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An error, such as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 machine that should have been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is different: it is corrected by restating the prior years. </w:t>
      </w:r>
      <w:r>
        <w:rPr>
          <w:sz w:val="19"/>
          <w:szCs w:val="19"/>
        </w:rPr>
        <w:t xml:space="preserve">Some companies use group or composite depreciation for many similar assets. </w:t>
      </w:r>
      <w:r>
        <w:rPr>
          <w:sz w:val="19"/>
          <w:szCs w:val="19"/>
        </w:rPr>
        <w:t xml:space="preserve">They apply one rate to the whole pool, and when an asset is retired they record no gain or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   ·   capitalized   ·   accounting   ·   straight-line   ·   useful   ·   composite   ·   remaining   ·   double-declining   ·   delivery   ·   expensing   ·   restate   ·   preferable   ·   Suppose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traps</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Double-declining: apply the rate to book value; never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salvage first, and never go below salvage. </w:t>
      </w:r>
      <w:r>
        <w:rPr>
          <w:sz w:val="19"/>
          <w:szCs w:val="19"/>
        </w:rPr>
        <w:t xml:space="preserve">SYD: use the remaining life at the start of the year, applied to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base. </w:t>
      </w:r>
      <w:r>
        <w:rPr>
          <w:sz w:val="19"/>
          <w:szCs w:val="19"/>
        </w:rPr>
        <w:t xml:space="preserve">Changes in life, salvage or method: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depreciable   ·   prospective   ·   increases   ·   subtract</w:t>
            </w:r>
          </w:p>
        </w:tc>
      </w:tr>
    </w:tbl>
    <w:p/>
    <w:p>
      <w:pPr>
        <w:pageBreakBefore w:val="true"/>
        <w:spacing w:after="0"/>
      </w:pPr>
      <w:r>
        <w:rPr>
          <w:sz w:val="2"/>
        </w:rPr>
        <w:t xml:space="preserve"> </w:t>
      </w:r>
    </w:p>
    <w:p>
      <w:pPr>
        <w:spacing w:before="44" w:after="10"/>
      </w:pPr>
      <w:r>
        <w:rPr>
          <w:b/>
          <w:bCs/>
          <w:color w:val="353A7C"/>
          <w:sz w:val="18"/>
          <w:szCs w:val="18"/>
        </w:rPr>
        <w:t xml:space="preserve">Depreciation schedules for the Amman bottling line (whole USD)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goodwill   ·   Sum-of-the-years'-digits</w:t>
            </w:r>
          </w:p>
        </w:tc>
      </w:tr>
    </w:tbl>
    <w:p/>
    <w:p>
      <w:pPr>
        <w:spacing w:before="44" w:after="10"/>
      </w:pPr>
      <w:r>
        <w:rPr>
          <w:b/>
          <w:bCs/>
          <w:color w:val="353A7C"/>
          <w:sz w:val="18"/>
          <w:szCs w:val="18"/>
        </w:rPr>
        <w:t xml:space="preserve">Double-declining schedule for the Dubai trucks (whole USD):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unit   ·   Year 4</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   ·   increases   ·   goodwill   ·   depreciation   ·   revaluation</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method   ·   double-declining-balance method   ·   reporting unit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0"/>
        <w:gridCol w:w="46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7"/>
            <w:tcMar>
              <w:top w:type="dxa" w:w="50"/>
              <w:left w:type="dxa" w:w="110"/>
              <w:bottom w:type="dxa" w:w="50"/>
              <w:right w:type="dxa" w:w="110"/>
            </w:tcMar>
          </w:tcPr>
          <w:p>
            <w:pPr>
              <w:spacing w:before="26" w:after="26"/>
            </w:pPr>
            <w:r>
              <w:rPr>
                <w:color w:val="232733"/>
                <w:sz w:val="16"/>
                <w:szCs w:val="16"/>
              </w:rPr>
              <w:t xml:space="preserve">depreciable base</w:t>
            </w:r>
          </w:p>
        </w:tc>
        <w:tc>
          <w:tcPr>
            <w:tcW w:type="pct" w:w="2443"/>
            <w:tcMar>
              <w:top w:type="dxa" w:w="50"/>
              <w:left w:type="dxa" w:w="110"/>
              <w:bottom w:type="dxa" w:w="50"/>
              <w:right w:type="dxa" w:w="110"/>
            </w:tcMar>
          </w:tcPr>
          <w:p>
            <w:pPr>
              <w:spacing w:before="26" w:after="26"/>
            </w:pPr>
            <w:r>
              <w:rPr>
                <w:color w:val="232733"/>
                <w:sz w:val="16"/>
                <w:szCs w:val="16"/>
              </w:rPr>
              <w:t xml:space="preserve">المبلغ القابل للاستهلاك</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salvage value</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المتبقية (قيمة الخردة)</w:t>
            </w:r>
          </w:p>
        </w:tc>
      </w:tr>
      <w:tr>
        <w:tc>
          <w:tcPr>
            <w:tcW w:type="pct" w:w="2557"/>
            <w:tcMar>
              <w:top w:type="dxa" w:w="50"/>
              <w:left w:type="dxa" w:w="110"/>
              <w:bottom w:type="dxa" w:w="50"/>
              <w:right w:type="dxa" w:w="110"/>
            </w:tcMar>
          </w:tcPr>
          <w:p>
            <w:pPr>
              <w:spacing w:before="26" w:after="26"/>
            </w:pPr>
            <w:r>
              <w:rPr>
                <w:color w:val="232733"/>
                <w:sz w:val="16"/>
                <w:szCs w:val="16"/>
              </w:rPr>
              <w:t xml:space="preserve">useful life</w:t>
            </w:r>
          </w:p>
        </w:tc>
        <w:tc>
          <w:tcPr>
            <w:tcW w:type="pct" w:w="2443"/>
            <w:tcMar>
              <w:top w:type="dxa" w:w="50"/>
              <w:left w:type="dxa" w:w="110"/>
              <w:bottom w:type="dxa" w:w="50"/>
              <w:right w:type="dxa" w:w="110"/>
            </w:tcMar>
          </w:tcPr>
          <w:p>
            <w:pPr>
              <w:spacing w:before="26" w:after="26"/>
            </w:pPr>
            <w:r>
              <w:rPr>
                <w:color w:val="232733"/>
                <w:sz w:val="16"/>
                <w:szCs w:val="16"/>
              </w:rPr>
              <w:t xml:space="preserve">العمر الإنتاجي</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straight-line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القسط الثابت</w:t>
            </w:r>
          </w:p>
        </w:tc>
      </w:tr>
      <w:tr>
        <w:tc>
          <w:tcPr>
            <w:tcW w:type="pct" w:w="2557"/>
            <w:tcMar>
              <w:top w:type="dxa" w:w="50"/>
              <w:left w:type="dxa" w:w="110"/>
              <w:bottom w:type="dxa" w:w="50"/>
              <w:right w:type="dxa" w:w="110"/>
            </w:tcMar>
          </w:tcPr>
          <w:p>
            <w:pPr>
              <w:spacing w:before="26" w:after="26"/>
            </w:pPr>
            <w:r>
              <w:rPr>
                <w:color w:val="232733"/>
                <w:sz w:val="16"/>
                <w:szCs w:val="16"/>
              </w:rPr>
              <w:t xml:space="preserve">double-declining-balance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القسط المتناقص المضاعف</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sum-of-the-years'-digits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مجموع أرقام السنوات</w:t>
            </w:r>
          </w:p>
        </w:tc>
      </w:tr>
      <w:tr>
        <w:tc>
          <w:tcPr>
            <w:tcW w:type="pct" w:w="2557"/>
            <w:tcMar>
              <w:top w:type="dxa" w:w="50"/>
              <w:left w:type="dxa" w:w="110"/>
              <w:bottom w:type="dxa" w:w="50"/>
              <w:right w:type="dxa" w:w="110"/>
            </w:tcMar>
          </w:tcPr>
          <w:p>
            <w:pPr>
              <w:spacing w:before="26" w:after="26"/>
            </w:pPr>
            <w:r>
              <w:rPr>
                <w:color w:val="232733"/>
                <w:sz w:val="16"/>
                <w:szCs w:val="16"/>
              </w:rPr>
              <w:t xml:space="preserve">units-of-production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وحدات الإنتاج</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carrying amount</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الدفترية</w:t>
            </w:r>
          </w:p>
        </w:tc>
      </w:tr>
      <w:tr>
        <w:tc>
          <w:tcPr>
            <w:tcW w:type="pct" w:w="2557"/>
            <w:tcMar>
              <w:top w:type="dxa" w:w="50"/>
              <w:left w:type="dxa" w:w="110"/>
              <w:bottom w:type="dxa" w:w="50"/>
              <w:right w:type="dxa" w:w="110"/>
            </w:tcMar>
          </w:tcPr>
          <w:p>
            <w:pPr>
              <w:spacing w:before="26" w:after="26"/>
            </w:pPr>
            <w:r>
              <w:rPr>
                <w:color w:val="232733"/>
                <w:sz w:val="16"/>
                <w:szCs w:val="16"/>
              </w:rPr>
              <w:t xml:space="preserve">change in accounting estimate</w:t>
            </w:r>
          </w:p>
        </w:tc>
        <w:tc>
          <w:tcPr>
            <w:tcW w:type="pct" w:w="2443"/>
            <w:tcMar>
              <w:top w:type="dxa" w:w="50"/>
              <w:left w:type="dxa" w:w="110"/>
              <w:bottom w:type="dxa" w:w="50"/>
              <w:right w:type="dxa" w:w="110"/>
            </w:tcMar>
          </w:tcPr>
          <w:p>
            <w:pPr>
              <w:spacing w:before="26" w:after="26"/>
            </w:pPr>
            <w:r>
              <w:rPr>
                <w:color w:val="232733"/>
                <w:sz w:val="16"/>
                <w:szCs w:val="16"/>
              </w:rPr>
              <w:t xml:space="preserve">التغير في التقدير المحاسبي</w:t>
            </w:r>
          </w:p>
        </w:tc>
      </w:tr>
    </w:tbl>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Depreciation methods and their effects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double-declining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useful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restate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Double-declining-balance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Suppose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straight-line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preferable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expensing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depreciable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Double-declining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Sum-of-the-years'-digits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Year 4</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require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double-declining-balance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Carrying amount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sum-of-the-years'-digits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 Salvage is ignored in the calculation, but the book value may not fall below salvage. Sum-of-the-years'-digits method: depreciable base × remaining life at the start of the year ÷ the sum of the years' digits. Units-of-production method: a rate per unit or hour of use, times actual use.</w:t>
      </w:r>
    </w:p>
    <w:p>
      <w:pPr>
        <w:spacing w:before="20" w:after="20"/>
        <w:ind w:left="240" w:hanging="240"/>
      </w:pPr>
      <w:r>
        <w:rPr>
          <w:b/>
          <w:bCs/>
          <w:color w:val="353A7C"/>
          <w:sz w:val="15"/>
          <w:szCs w:val="15"/>
        </w:rPr>
        <w:t xml:space="preserve">Summary 2   </w:t>
      </w:r>
      <w:r>
        <w:rPr>
          <w:color w:val="6B7280"/>
          <w:sz w:val="15"/>
          <w:szCs w:val="15"/>
        </w:rPr>
        <w:t xml:space="preserve">In, Orontes bought a new bottling line for its Amman plant. Orontes expects a salvage value of $150,000 after 5 years, or after 21,000 machine hours. The depreciable base is $1,050,000. Straight-line: $1,050,000 ÷ 5 = $210,000 a year. Double-declining: rate 40%; year 1 = 40% × $1,200,000 = $480,000. In year 5 only $5,520 is left, so the book value ends at salvage. Sum-of-the-years'-digits: the digits add up to 15; year 1 = $1,050,000 × 5/15 = $350,000. Units of production: $1,050,000 ÷ 21,000 hours = $50 an hour; year 1 = 5,000 hours × $50 = $250,000. All four methods charge the same total, $1,050,000. They only change the timing. Depreciation is not a cash flow, so the method changes cash only through income taxes, and U.S. tax depreciation (MACRS) is chosen separately from the book method.</w:t>
      </w:r>
    </w:p>
    <w:p>
      <w:pPr>
        <w:spacing w:before="20" w:after="20"/>
        <w:ind w:left="240" w:hanging="240"/>
      </w:pPr>
      <w:r>
        <w:rPr>
          <w:b/>
          <w:bCs/>
          <w:color w:val="353A7C"/>
          <w:sz w:val="15"/>
          <w:szCs w:val="15"/>
        </w:rPr>
        <w:t xml:space="preserve">Summary 3   </w:t>
      </w:r>
      <w:r>
        <w:rPr>
          <w:color w:val="6B7280"/>
          <w:sz w:val="15"/>
          <w:szCs w:val="15"/>
        </w:rPr>
        <w:t xml:space="preserve">Orontes buys delivery trucks for its Dubai plant for $90,000, with a salvage value of $10,000 after 4 years. Complete the double-declining schedule. A new useful life or salvage value is a change in accounting estimate. It is applied prospectively: the company does not restate prior years. Suppose Orontes used straight-line for the bottling line and, after 2 years, decides it has 4 more years of life and a salvage value of $90,000. The book value then is $780,000, so each remaining year's depreciation is ($780,000 − $90,000) ÷ 4 = $172,500. A change in depreciation method is also applied prospectively, as a change in estimate effected by a change in principle, and the new method must be preferable. An error, such as expensing a machine that should have been capitalized, is different: it is corrected by restating the prior years. Some companies use group or composite depreciation for many similar assets. They apply one rate to the whole pool, and when an asset is retired they record no gain or loss.</w:t>
      </w:r>
    </w:p>
    <w:p>
      <w:pPr>
        <w:spacing w:before="20" w:after="20"/>
        <w:ind w:left="240" w:hanging="240"/>
      </w:pPr>
      <w:r>
        <w:rPr>
          <w:b/>
          <w:bCs/>
          <w:color w:val="353A7C"/>
          <w:sz w:val="15"/>
          <w:szCs w:val="15"/>
        </w:rPr>
        <w:t xml:space="preserve">Summary 4   </w:t>
      </w:r>
      <w:r>
        <w:rPr>
          <w:color w:val="6B7280"/>
          <w:sz w:val="15"/>
          <w:szCs w:val="15"/>
        </w:rPr>
        <w:t xml:space="preserve">Double-declining: apply the rate to book value; never subtract salvage first, and never go below salvage. SYD: use the remaining life at the start of the year, applied to the depreciable base. Changes in life, salvage or method: prospective.</w:t>
      </w:r>
    </w:p>
    <w:p>
      <w:pPr>
        <w:sectPr>
          <w:headerReference w:type="default" r:id="rIdHdr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Recommending a depreciation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best method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pattern in which the company uses up the asset's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For the bottling line, machine hours drive the wear, so units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gives the best matching;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simpler and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if use is fairly even. </w:t>
      </w:r>
      <w:r>
        <w:rPr>
          <w:sz w:val="19"/>
          <w:szCs w:val="19"/>
        </w:rPr>
        <w:t xml:space="preserve">Other factors can support the choice: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other companies in the industry, the cost of tracking usage,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view of income smoothing. </w:t>
      </w:r>
      <w:r>
        <w:rPr>
          <w:sz w:val="19"/>
          <w:szCs w:val="19"/>
        </w:rPr>
        <w:t xml:space="preserve">The tax method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decision, so a company does not need to use the same method for its books.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   production   ·   matches   ·   management's   ·   benefits   ·   separate   ·   straight-line   ·   comparability   ·   acceptable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Give the reason</w:t>
            </w:r>
          </w:p>
        </w:tc>
      </w:tr>
    </w:tbl>
    <w:p/>
    <w:p>
      <w:pPr>
        <w:spacing w:before="44" w:after="10"/>
      </w:pPr>
      <w:r>
        <w:rPr>
          <w:b/>
          <w:bCs/>
          <w:color w:val="353A7C"/>
          <w:sz w:val="18"/>
          <w:szCs w:val="18"/>
        </w:rPr>
        <w:t xml:space="preserve">What fits each one</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4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2942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computer server loses value quickly as technology changes   ·   An office building gives similar service each year   ·   A delivery truck wears out with kilometres driven</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In a Level C question,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earns credit only with a reason from the facts: how the asset is used and when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arrive.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benefits   ·   recommendation   ·   straight-line</w:t>
            </w:r>
          </w:p>
        </w:tc>
      </w:tr>
    </w:tbl>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Recommending a depreciation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matches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benefits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separate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 delivery truck wears out with kilometres 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An office building gives similar service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benefits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best method matches the pattern in which the company uses up the asset's benefits. For the bottling line, machine hours drive the wear, so units of production gives the best matching; straight-line is simpler and is acceptable if use is fairly even. Other factors can support the choice: comparability with other companies in the industry, the cost of tracking usage, and management's view of income smoothing. The tax method is a separate decision, so a company does not need to use the same method for its books.</w:t>
      </w:r>
    </w:p>
    <w:p>
      <w:pPr>
        <w:spacing w:before="20" w:after="20"/>
        <w:ind w:left="240" w:hanging="240"/>
      </w:pPr>
      <w:r>
        <w:rPr>
          <w:b/>
          <w:bCs/>
          <w:color w:val="353A7C"/>
          <w:sz w:val="15"/>
          <w:szCs w:val="15"/>
        </w:rPr>
        <w:t xml:space="preserve">Summary 2   </w:t>
      </w:r>
      <w:r>
        <w:rPr>
          <w:color w:val="6B7280"/>
          <w:sz w:val="15"/>
          <w:szCs w:val="15"/>
        </w:rPr>
        <w:t xml:space="preserve">In a Level C question, a recommendation earns credit only with a reason from the facts: how the asset is used and when its benefits arrive.</w:t>
      </w:r>
    </w:p>
    <w:p>
      <w:pPr>
        <w:sectPr>
          <w:headerReference w:type="default" r:id="rIdHdr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Disposal of fixed assets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When a company sells or scraps an asset, it first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depreciation up to the date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Then it removes the cost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depreciation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proceeds with the carrying amount. </w:t>
      </w:r>
      <w:r>
        <w:rPr>
          <w:sz w:val="19"/>
          <w:szCs w:val="19"/>
        </w:rPr>
        <w:t xml:space="preserve">The gain or loss is part of income from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accumulated   ·   records   ·   compares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 old oven in Dubai</w:t>
            </w:r>
          </w:p>
        </w:tc>
      </w:tr>
    </w:tbl>
    <w:p/>
    <w:p>
      <w:pPr>
        <w:spacing w:before="44" w:after="10"/>
      </w:pPr>
      <w:r>
        <w:rPr>
          <w:b/>
          <w:bCs/>
          <w:color w:val="353A7C"/>
          <w:sz w:val="18"/>
          <w:szCs w:val="18"/>
        </w:rPr>
        <w:t xml:space="preserve">Which way it goes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137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1373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a gain   ·   held for sale</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An old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oven cost $60,000. </w:t>
      </w:r>
      <w:r>
        <w:rPr>
          <w:sz w:val="19"/>
          <w:szCs w:val="19"/>
        </w:rPr>
        <w:t xml:space="preserve">At January 1,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depreciation was $40,000,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depreciation is $8,000 a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sells the oven after 3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$21,000. </w:t>
      </w:r>
      <w:r>
        <w:rPr>
          <w:sz w:val="19"/>
          <w:szCs w:val="19"/>
        </w:rPr>
        <w:t xml:space="preserve">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cases appear on the exam. </w:t>
      </w:r>
      <w:r>
        <w:rPr>
          <w:sz w:val="19"/>
          <w:szCs w:val="19"/>
        </w:rPr>
        <w:t xml:space="preserve">In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conversion, such as a fire or a government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records a gain or loss even if it reinvests the insurance money. </w:t>
      </w:r>
      <w:r>
        <w:rPr>
          <w:sz w:val="19"/>
          <w:szCs w:val="19"/>
        </w:rPr>
        <w:t xml:space="preserve">In an exchange of assets with commercial substance, the new asset is recorded at fair value and the gain or loss is recognized; without commercial substance, the exchange is recorded at book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   straight-line   ·   Orontes   ·   months   ·   accumulated   ·   special   ·   without   ·   pastry   ·   expropriation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Update first</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Record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up to the sale date before you compute the gain or loss. </w:t>
      </w:r>
      <w:r>
        <w:rPr>
          <w:sz w:val="19"/>
          <w:szCs w:val="19"/>
        </w:rPr>
        <w:t xml:space="preserve">Compare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the carrying amount, not with the original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proceeds   ·   depreciation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amount   ·   involuntary conversion   ·   depreciable base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involuntary conversion</w:t>
            </w:r>
          </w:p>
        </w:tc>
        <w:tc>
          <w:tcPr>
            <w:tcW w:type="pct" w:w="2400"/>
            <w:tcMar>
              <w:top w:type="dxa" w:w="50"/>
              <w:left w:type="dxa" w:w="110"/>
              <w:bottom w:type="dxa" w:w="50"/>
              <w:right w:type="dxa" w:w="110"/>
            </w:tcMar>
          </w:tcPr>
          <w:p>
            <w:pPr>
              <w:spacing w:before="26" w:after="26"/>
            </w:pPr>
            <w:r>
              <w:rPr>
                <w:color w:val="232733"/>
                <w:sz w:val="16"/>
                <w:szCs w:val="16"/>
              </w:rPr>
              <w:t xml:space="preserve">التحويل غير الإرادي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commercial substance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الجوهر التجاري</w:t>
            </w:r>
          </w:p>
        </w:tc>
      </w:tr>
    </w:tbl>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Disposal of fixed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expropriation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records a gain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pastry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carrying 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involuntary conversion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sells or scraps an asset, it first records depreciation up to the date of disposal. Then it removes the cost and the accumulated depreciation and compares the proceeds with the carrying amount. The gain or loss is part of income from continuing operations.</w:t>
      </w:r>
    </w:p>
    <w:p>
      <w:pPr>
        <w:spacing w:before="20" w:after="20"/>
        <w:ind w:left="240" w:hanging="240"/>
      </w:pPr>
      <w:r>
        <w:rPr>
          <w:b/>
          <w:bCs/>
          <w:color w:val="353A7C"/>
          <w:sz w:val="15"/>
          <w:szCs w:val="15"/>
        </w:rPr>
        <w:t xml:space="preserve">Summary 2   </w:t>
      </w:r>
      <w:r>
        <w:rPr>
          <w:color w:val="6B7280"/>
          <w:sz w:val="15"/>
          <w:szCs w:val="15"/>
        </w:rPr>
        <w:t xml:space="preserve">An old pastry oven cost $60,000. At January 1, accumulated depreciation was $40,000, and straight-line depreciation is $8,000 a year. Orontes sells the oven after 3 months for $21,000. Two special cases appear on the exam. In an involuntary conversion, such as a fire or a government expropriation, the company records a gain or loss even if it reinvests the insurance money. In an exchange of assets with commercial substance, the new asset is recorded at fair value and the gain or loss is recognized; without commercial substance, the exchange is recorded at book value.</w:t>
      </w:r>
    </w:p>
    <w:p>
      <w:pPr>
        <w:spacing w:before="20" w:after="20"/>
        <w:ind w:left="240" w:hanging="240"/>
      </w:pPr>
      <w:r>
        <w:rPr>
          <w:b/>
          <w:bCs/>
          <w:color w:val="353A7C"/>
          <w:sz w:val="15"/>
          <w:szCs w:val="15"/>
        </w:rPr>
        <w:t xml:space="preserve">Summary 3   </w:t>
      </w:r>
      <w:r>
        <w:rPr>
          <w:color w:val="6B7280"/>
          <w:sz w:val="15"/>
          <w:szCs w:val="15"/>
        </w:rPr>
        <w:t xml:space="preserve">Record depreciation up to the sale date before you compute the gain or loss. Compare proceeds with the carrying amount, not with the original cost.</w:t>
      </w:r>
    </w:p>
    <w:p>
      <w:pPr>
        <w:sectPr>
          <w:headerReference w:type="default" r:id="rIdHdr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Impairment of long-lived assets, intangibles and goodwill</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An impairment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a company cannot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 asset's carrying amount. </w:t>
      </w:r>
      <w:r>
        <w:rPr>
          <w:sz w:val="19"/>
          <w:szCs w:val="19"/>
        </w:rPr>
        <w:t xml:space="preserve">U.S. GAAP uses different tests for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company tests an asset group (the lowest level with its own cash flows) only when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suggest a problem, such as a sharp fall in market price, physical damage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losses. </w:t>
      </w:r>
      <w:r>
        <w:rPr>
          <w:sz w:val="19"/>
          <w:szCs w:val="19"/>
        </w:rPr>
        <w:t xml:space="preserve">The test has two steps. </w:t>
      </w:r>
      <w:r>
        <w:rPr>
          <w:sz w:val="19"/>
          <w:szCs w:val="19"/>
        </w:rPr>
        <w:t xml:space="preserve">In the recoverability test, the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carrying amount with the sum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future cash flows. </w:t>
      </w:r>
      <w:r>
        <w:rPr>
          <w:sz w:val="19"/>
          <w:szCs w:val="19"/>
        </w:rPr>
        <w:t xml:space="preserve">If the carrying amount is not higher, there is no impairment, even if fair value is lower. </w:t>
      </w:r>
      <w:r>
        <w:rPr>
          <w:sz w:val="19"/>
          <w:szCs w:val="19"/>
        </w:rPr>
        <w:t xml:space="preserve">If it is higher,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loss as carrying amount minus fair value.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becomes the new cost basis and is depreciated over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life. </w:t>
      </w:r>
      <w:r>
        <w:rPr>
          <w:sz w:val="19"/>
          <w:szCs w:val="19"/>
        </w:rPr>
        <w:t xml:space="preserve">The loss is never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An asset is held for sale when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has committed to a plan to sell it, it is available for immediate sale, and the sale is expected within one year. </w:t>
      </w:r>
      <w:r>
        <w:rPr>
          <w:sz w:val="19"/>
          <w:szCs w:val="19"/>
        </w:rPr>
        <w:t xml:space="preserve">It is measured at the lower of its carrying amount and fair value less cost to sell, and it is no longer depreciated.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continuing   ·   assets   ·   recover   ·   occurs   ·   reversed   ·   indicators   ·   remaining   ·   reduced   ·   measures   ·   management   ·   undiscounted   ·   compares   ·   physical</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If fair value less cost to sell rises later, the company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gain, but only up to the losses it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before.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intangibles, such as patents, are subject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over their useful lives and follow the PP&amp;E test. </w:t>
      </w:r>
      <w:r>
        <w:rPr>
          <w:sz w:val="19"/>
          <w:szCs w:val="19"/>
        </w:rPr>
        <w:t xml:space="preserve">An indefinite-lived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asset, such as a brand with no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end, is not amortized. </w:t>
      </w:r>
      <w:r>
        <w:rPr>
          <w:sz w:val="19"/>
          <w:szCs w:val="19"/>
        </w:rPr>
        <w:t xml:space="preserve">It is tested at least every year in one step: carrying amount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fair value.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is not amortized by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companies. </w:t>
      </w:r>
      <w:r>
        <w:rPr>
          <w:sz w:val="19"/>
          <w:szCs w:val="19"/>
        </w:rPr>
        <w:t xml:space="preserve">It is tested at least every year at the level of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unit. </w:t>
      </w:r>
      <w:r>
        <w:rPr>
          <w:sz w:val="19"/>
          <w:szCs w:val="19"/>
        </w:rPr>
        <w:t xml:space="preserve">A company may first make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assessment; if it is not more likely than not that the unit's fair value is below its carrying amount, no further test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expected   ·   capitalizing   ·   recognized   ·   intangible   ·   Goodwill   ·   amortization   ·   Finite-lived   ·   against   ·   qualitative   ·   public   ·   records   ·   reporting</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24–34</w:t>
      </w:r>
    </w:p>
    <w:p>
      <w:pPr>
        <w:spacing w:before="20" w:after="20" w:line="360" w:lineRule="auto"/>
        <w:ind w:left="200"/>
      </w:pPr>
      <w:r>
        <w:rPr>
          <w:sz w:val="19"/>
          <w:szCs w:val="19"/>
        </w:rPr>
        <w:t xml:space="preserve">Otherwise it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 single step: the loss is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carrying amount minus its fair value, but never more than the goodwill. </w:t>
      </w:r>
      <w:r>
        <w:rPr>
          <w:sz w:val="19"/>
          <w:szCs w:val="19"/>
        </w:rPr>
        <w:t xml:space="preserve">ASU 2025-06 changes when companies start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internal-use software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for annual periods beginning after December 15, 2027). </w:t>
      </w:r>
      <w:r>
        <w:rPr>
          <w:sz w:val="19"/>
          <w:szCs w:val="19"/>
        </w:rPr>
        <w:t xml:space="preserve">ASU 2025-10 adds guidance on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grants for assets. </w:t>
      </w:r>
      <w:r>
        <w:rPr>
          <w:sz w:val="19"/>
          <w:szCs w:val="19"/>
        </w:rPr>
        <w:t xml:space="preserve">Under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rule, neither is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yet. </w:t>
      </w:r>
      <w:r>
        <w:rPr>
          <w:sz w:val="19"/>
          <w:szCs w:val="19"/>
        </w:rPr>
        <w:t xml:space="preserve">IAS 36 uses one step: compare the carrying amount with the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amount, which is the higher of fair value less costs of disposal and value in use (a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amount). </w:t>
      </w:r>
      <w:r>
        <w:rPr>
          <w:sz w:val="19"/>
          <w:szCs w:val="19"/>
        </w:rPr>
        <w:t xml:space="preserve">IFRS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the reversal of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losses on assets other than goodwill. </w:t>
      </w:r>
      <w:r>
        <w:rPr>
          <w:sz w:val="19"/>
          <w:szCs w:val="19"/>
        </w:rPr>
        <w:t xml:space="preserve">IAS 38 requires development costs to be capitalized when six criteria are met. </w:t>
      </w:r>
      <w:r>
        <w:rPr>
          <w:sz w:val="19"/>
          <w:szCs w:val="19"/>
        </w:rPr>
        <w:t xml:space="preserve">These are the classic IFRS habits that cost marks on the U.S. GAAP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government   ·   impairment   ·   allows   ·   tested   ·   subject   ·   one-year   ·   applies   ·   unit's   ·   recoverable   ·   discounted   ·   capitalizing   ·   effective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traps</w:t>
            </w:r>
          </w:p>
        </w:tc>
      </w:tr>
    </w:tbl>
    <w:p/>
    <w:p>
      <w:pPr>
        <w:spacing w:before="44" w:after="14"/>
      </w:pPr>
      <w:r>
        <w:rPr>
          <w:b/>
          <w:bCs/>
          <w:color w:val="353A7C"/>
          <w:sz w:val="18"/>
          <w:szCs w:val="18"/>
        </w:rPr>
        <w:t xml:space="preserve">Summary 4</w:t>
      </w:r>
      <w:r>
        <w:rPr>
          <w:color w:val="6B7280"/>
          <w:sz w:val="16"/>
          <w:szCs w:val="16"/>
        </w:rPr>
        <w:t xml:space="preserve">      gaps 35–39</w:t>
      </w:r>
    </w:p>
    <w:p>
      <w:pPr>
        <w:spacing w:before="20" w:after="20" w:line="360" w:lineRule="auto"/>
        <w:ind w:left="200"/>
      </w:pPr>
      <w:r>
        <w:rPr>
          <w:sz w:val="19"/>
          <w:szCs w:val="19"/>
        </w:rPr>
        <w:t xml:space="preserve">Step 1 uses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cash flows. </w:t>
      </w:r>
      <w:r>
        <w:rPr>
          <w:sz w:val="19"/>
          <w:szCs w:val="19"/>
        </w:rPr>
        <w:t xml:space="preserve">Step 2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the loss against FAIR VALUE. </w:t>
      </w:r>
      <w:r>
        <w:rPr>
          <w:sz w:val="19"/>
          <w:szCs w:val="19"/>
        </w:rPr>
        <w:t xml:space="preserve">Goodwill: one step, and the loss is capped at the goodwill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r>
        <w:rPr>
          <w:sz w:val="19"/>
          <w:szCs w:val="19"/>
        </w:rPr>
        <w:t xml:space="preserve">No reversals for assets held and used,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intangibles or goodwill. </w:t>
      </w:r>
      <w:r>
        <w:rPr>
          <w:sz w:val="19"/>
          <w:szCs w:val="19"/>
        </w:rPr>
        <w:t xml:space="preserve">Held for sale: gains only up to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losses. </w:t>
      </w:r>
      <w:r>
        <w:rPr>
          <w:sz w:val="19"/>
          <w:szCs w:val="19"/>
        </w:rPr>
        <w:t xml:space="preserve">Stop depreciating an asset once it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patents   ·   indefinite-lived   ·   UNDISCOUNTED   ·   balance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in three languages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15"/>
        <w:gridCol w:w="3048"/>
        <w:gridCol w:w="33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Impairment in three languages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1588"/>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743"/>
            <w:shd w:fill="353A7C" w:val="clear"/>
            <w:tcMar>
              <w:top w:type="dxa" w:w="50"/>
              <w:left w:type="dxa" w:w="110"/>
              <w:bottom w:type="dxa" w:w="50"/>
              <w:right w:type="dxa" w:w="110"/>
            </w:tcMar>
          </w:tcPr>
          <w:p>
            <w:pPr>
              <w:spacing w:before="30" w:after="30"/>
            </w:pPr>
            <w:r>
              <w:rPr>
                <w:b/>
                <w:bCs/>
                <w:color w:val="FFFFFF"/>
                <w:sz w:val="15"/>
                <w:szCs w:val="15"/>
              </w:rPr>
              <w:t xml:space="preserve">Amounts (USD 000)</w:t>
            </w:r>
          </w:p>
        </w:tc>
      </w:tr>
      <w:tr>
        <w:tc>
          <w:tcPr>
            <w:tcW w:type="pct" w:w="568"/>
            <w:tcMar>
              <w:top w:type="dxa" w:w="50"/>
              <w:left w:type="dxa" w:w="110"/>
              <w:bottom w:type="dxa" w:w="50"/>
              <w:right w:type="dxa" w:w="110"/>
            </w:tcMar>
          </w:tcPr>
          <w:p>
            <w:pPr>
              <w:spacing w:before="28" w:after="28"/>
            </w:pPr>
            <w:r>
              <w:rPr>
                <w:sz w:val="15"/>
                <w:szCs w:val="15"/>
              </w:rPr>
              <w:t xml:space="preserve">P</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(40)</w:t>
            </w:r>
          </w:p>
        </w:tc>
        <w:tc>
          <w:tcPr>
            <w:tcW w:type="pct" w:w="1588"/>
            <w:tcMar>
              <w:top w:type="dxa" w:w="50"/>
              <w:left w:type="dxa" w:w="110"/>
              <w:bottom w:type="dxa" w:w="50"/>
              <w:right w:type="dxa" w:w="110"/>
            </w:tcMar>
          </w:tcPr>
          <w:p>
            <w:pPr>
              <w:spacing w:before="28" w:after="28"/>
            </w:pPr>
            <w:r>
              <w:rPr>
                <w:sz w:val="15"/>
                <w:szCs w:val="15"/>
              </w:rPr>
              <w:t xml:space="preserve">Demand for the product fell sharply in 2025.</w:t>
            </w:r>
          </w:p>
        </w:tc>
        <w:tc>
          <w:tcPr>
            <w:tcW w:type="pct" w:w="1743"/>
            <w:tcMar>
              <w:top w:type="dxa" w:w="50"/>
              <w:left w:type="dxa" w:w="110"/>
              <w:bottom w:type="dxa" w:w="50"/>
              <w:right w:type="dxa" w:w="110"/>
            </w:tcMar>
          </w:tcPr>
          <w:p>
            <w:pPr>
              <w:spacing w:before="28" w:after="28"/>
            </w:pPr>
            <w:r>
              <w:rPr>
                <w:sz w:val="15"/>
                <w:szCs w:val="15"/>
              </w:rPr>
              <w:t xml:space="preserve">carrying 500; undiscounted cash flows 450; fair value 380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W</w:t>
            </w:r>
          </w:p>
        </w:tc>
        <w:tc>
          <w:tcPr>
            <w:tcW w:type="pct" w:w="1102"/>
            <w:shd w:fill="FBFAF6" w:val="clear"/>
            <w:tcMar>
              <w:top w:type="dxa" w:w="50"/>
              <w:left w:type="dxa" w:w="110"/>
              <w:bottom w:type="dxa" w:w="50"/>
              <w:right w:type="dxa" w:w="110"/>
            </w:tcMar>
          </w:tcPr>
          <w:p>
            <w:pPr>
              <w:spacing w:before="28" w:after="28"/>
            </w:pPr>
            <w:r>
              <w:rPr>
                <w:sz w:val="15"/>
                <w:szCs w:val="15"/>
              </w:rPr>
              <w:t xml:space="preserve">Warehouse, Amman</w:t>
            </w:r>
          </w:p>
        </w:tc>
        <w:tc>
          <w:tcPr>
            <w:tcW w:type="pct" w:w="1588"/>
            <w:shd w:fill="FBFAF6" w:val="clear"/>
            <w:tcMar>
              <w:top w:type="dxa" w:w="50"/>
              <w:left w:type="dxa" w:w="110"/>
              <w:bottom w:type="dxa" w:w="50"/>
              <w:right w:type="dxa" w:w="110"/>
            </w:tcMar>
          </w:tcPr>
          <w:p>
            <w:pPr>
              <w:spacing w:before="28" w:after="28"/>
            </w:pPr>
            <w:r>
              <w:rPr>
                <w:sz w:val="15"/>
                <w:szCs w:val="15"/>
              </w:rPr>
              <w:t xml:space="preserve">Local property prices fell.</w:t>
            </w:r>
          </w:p>
        </w:tc>
        <w:tc>
          <w:tcPr>
            <w:tcW w:type="pct" w:w="1743"/>
            <w:shd w:fill="FBFAF6" w:val="clear"/>
            <w:tcMar>
              <w:top w:type="dxa" w:w="50"/>
              <w:left w:type="dxa" w:w="110"/>
              <w:bottom w:type="dxa" w:w="50"/>
              <w:right w:type="dxa" w:w="110"/>
            </w:tcMar>
          </w:tcPr>
          <w:p>
            <w:pPr>
              <w:spacing w:before="28" w:after="28"/>
            </w:pPr>
            <w:r>
              <w:rPr>
                <w:sz w:val="15"/>
                <w:szCs w:val="15"/>
              </w:rPr>
              <w:t xml:space="preserve">carrying 1,000; </w:t>
            </w:r>
            <w:r>
              <w:rPr>
                <w:b/>
                <w:bCs/>
                <w:color w:val="8186EF"/>
                <w:sz w:val="14"/>
                <w:szCs w:val="14"/>
              </w:rPr>
              <w:t xml:space="preserve"> (41) </w:t>
            </w:r>
            <w:r>
              <w:rPr>
                <w:u w:val="single"/>
                <w:sz w:val="15"/>
                <w:szCs w:val="15"/>
              </w:rPr>
              <w:t xml:space="preserve">              </w:t>
            </w:r>
            <w:r>
              <w:rPr>
                <w:sz w:val="15"/>
                <w:szCs w:val="15"/>
              </w:rPr>
              <w:t xml:space="preserve"> </w:t>
            </w:r>
            <w:r>
              <w:rPr>
                <w:sz w:val="15"/>
                <w:szCs w:val="15"/>
              </w:rPr>
              <w:t xml:space="preserve"> cash flows 1,300; fair value 900</w:t>
            </w:r>
          </w:p>
        </w:tc>
      </w:tr>
      <w:tr>
        <w:tc>
          <w:tcPr>
            <w:tcW w:type="pct" w:w="568"/>
            <w:tcMar>
              <w:top w:type="dxa" w:w="50"/>
              <w:left w:type="dxa" w:w="110"/>
              <w:bottom w:type="dxa" w:w="50"/>
              <w:right w:type="dxa" w:w="110"/>
            </w:tcMar>
          </w:tcPr>
          <w:p>
            <w:pPr>
              <w:spacing w:before="28" w:after="28"/>
            </w:pPr>
            <w:r>
              <w:rPr>
                <w:sz w:val="15"/>
                <w:szCs w:val="15"/>
              </w:rPr>
              <w:t xml:space="preserve">B</w:t>
            </w:r>
          </w:p>
        </w:tc>
        <w:tc>
          <w:tcPr>
            <w:tcW w:type="pct" w:w="1102"/>
            <w:tcMar>
              <w:top w:type="dxa" w:w="50"/>
              <w:left w:type="dxa" w:w="110"/>
              <w:bottom w:type="dxa" w:w="50"/>
              <w:right w:type="dxa" w:w="110"/>
            </w:tcMar>
          </w:tcPr>
          <w:p>
            <w:pPr>
              <w:spacing w:before="28" w:after="28"/>
            </w:pPr>
            <w:r>
              <w:rPr>
                <w:sz w:val="15"/>
                <w:szCs w:val="15"/>
              </w:rPr>
              <w:t xml:space="preserve">Brand 'Orontes Gold' (indefinite life)</w:t>
            </w:r>
          </w:p>
        </w:tc>
        <w:tc>
          <w:tcPr>
            <w:tcW w:type="pct" w:w="1588"/>
            <w:shd w:fill="FFFFFF" w:val="clear"/>
            <w:tcMar>
              <w:top w:type="dxa" w:w="50"/>
              <w:left w:type="dxa" w:w="110"/>
              <w:bottom w:type="dxa" w:w="50"/>
              <w:right w:type="dxa" w:w="110"/>
            </w:tcMar>
          </w:tcPr>
          <w:p>
            <w:pPr>
              <w:spacing w:before="46" w:after="46"/>
            </w:pPr>
            <w:r>
              <w:rPr>
                <w:b/>
                <w:bCs/>
                <w:color w:val="8186EF"/>
                <w:sz w:val="14"/>
                <w:szCs w:val="14"/>
              </w:rPr>
              <w:t xml:space="preserve">(42)</w:t>
            </w:r>
          </w:p>
        </w:tc>
        <w:tc>
          <w:tcPr>
            <w:tcW w:type="pct" w:w="1743"/>
            <w:tcMar>
              <w:top w:type="dxa" w:w="50"/>
              <w:left w:type="dxa" w:w="110"/>
              <w:bottom w:type="dxa" w:w="50"/>
              <w:right w:type="dxa" w:w="110"/>
            </w:tcMar>
          </w:tcPr>
          <w:p>
            <w:pPr>
              <w:spacing w:before="28" w:after="28"/>
            </w:pPr>
            <w:r>
              <w:rPr>
                <w:sz w:val="15"/>
                <w:szCs w:val="15"/>
              </w:rPr>
              <w:t xml:space="preserve">carrying 300; fair value 260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G</w:t>
            </w:r>
          </w:p>
        </w:tc>
        <w:tc>
          <w:tcPr>
            <w:tcW w:type="pct" w:w="1102"/>
            <w:shd w:fill="FBFAF6" w:val="clear"/>
            <w:tcMar>
              <w:top w:type="dxa" w:w="50"/>
              <w:left w:type="dxa" w:w="110"/>
              <w:bottom w:type="dxa" w:w="50"/>
              <w:right w:type="dxa" w:w="110"/>
            </w:tcMar>
          </w:tcPr>
          <w:p>
            <w:pPr>
              <w:spacing w:before="28" w:after="28"/>
            </w:pPr>
            <w:r>
              <w:rPr>
                <w:sz w:val="15"/>
                <w:szCs w:val="15"/>
              </w:rPr>
              <w:t xml:space="preserve">Goodwill, Gulf beverages reporting unit</w:t>
            </w:r>
          </w:p>
        </w:tc>
        <w:tc>
          <w:tcPr>
            <w:tcW w:type="pct" w:w="1588"/>
            <w:shd w:fill="FBFAF6" w:val="clear"/>
            <w:tcMar>
              <w:top w:type="dxa" w:w="50"/>
              <w:left w:type="dxa" w:w="110"/>
              <w:bottom w:type="dxa" w:w="50"/>
              <w:right w:type="dxa" w:w="110"/>
            </w:tcMar>
          </w:tcPr>
          <w:p>
            <w:pPr>
              <w:spacing w:before="28" w:after="28"/>
            </w:pPr>
            <w:r>
              <w:rPr>
                <w:sz w:val="15"/>
                <w:szCs w:val="15"/>
              </w:rPr>
              <w:t xml:space="preserve">Unit carrying amount includes the goodwill.</w:t>
            </w:r>
          </w:p>
        </w:tc>
        <w:tc>
          <w:tcPr>
            <w:tcW w:type="pct" w:w="1743"/>
            <w:shd w:fill="FFFFFF" w:val="clear"/>
            <w:tcMar>
              <w:top w:type="dxa" w:w="50"/>
              <w:left w:type="dxa" w:w="110"/>
              <w:bottom w:type="dxa" w:w="50"/>
              <w:right w:type="dxa" w:w="110"/>
            </w:tcMar>
          </w:tcPr>
          <w:p>
            <w:pPr>
              <w:spacing w:before="46" w:after="46"/>
            </w:pPr>
            <w:r>
              <w:rPr>
                <w:b/>
                <w:bCs/>
                <w:color w:val="8186EF"/>
                <w:sz w:val="14"/>
                <w:szCs w:val="14"/>
              </w:rPr>
              <w:t xml:space="preserve">(43)</w:t>
            </w:r>
          </w:p>
        </w:tc>
      </w:tr>
      <w:tr>
        <w:tc>
          <w:tcPr>
            <w:tcW w:type="pct" w:w="568"/>
            <w:tcMar>
              <w:top w:type="dxa" w:w="50"/>
              <w:left w:type="dxa" w:w="110"/>
              <w:bottom w:type="dxa" w:w="50"/>
              <w:right w:type="dxa" w:w="110"/>
            </w:tcMar>
          </w:tcPr>
          <w:p>
            <w:pPr>
              <w:spacing w:before="28" w:after="28"/>
            </w:pPr>
            <w:r>
              <w:rPr>
                <w:sz w:val="15"/>
                <w:szCs w:val="15"/>
              </w:rPr>
              <w:t xml:space="preserve">V</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(44)</w:t>
            </w:r>
          </w:p>
        </w:tc>
        <w:tc>
          <w:tcPr>
            <w:tcW w:type="pct" w:w="1588"/>
            <w:tcMar>
              <w:top w:type="dxa" w:w="50"/>
              <w:left w:type="dxa" w:w="110"/>
              <w:bottom w:type="dxa" w:w="50"/>
              <w:right w:type="dxa" w:w="110"/>
            </w:tcMar>
          </w:tcPr>
          <w:p>
            <w:pPr>
              <w:spacing w:before="28" w:after="28"/>
            </w:pPr>
            <w:r>
              <w:rPr>
                <w:sz w:val="15"/>
                <w:szCs w:val="15"/>
              </w:rPr>
              <w:t xml:space="preserve">Management has committed to sell it within one year.</w:t>
            </w:r>
          </w:p>
        </w:tc>
        <w:tc>
          <w:tcPr>
            <w:tcW w:type="pct" w:w="1743"/>
            <w:tcMar>
              <w:top w:type="dxa" w:w="50"/>
              <w:left w:type="dxa" w:w="110"/>
              <w:bottom w:type="dxa" w:w="50"/>
              <w:right w:type="dxa" w:w="110"/>
            </w:tcMar>
          </w:tcPr>
          <w:p>
            <w:pPr>
              <w:spacing w:before="28" w:after="28"/>
            </w:pPr>
            <w:r>
              <w:rPr>
                <w:sz w:val="15"/>
                <w:szCs w:val="15"/>
              </w:rPr>
              <w:t xml:space="preserve">carrying 60; fair value 50; cost to sell 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undiscounted   ·   carrying 2,000; goodwill included 150; fair value 1,700   ·   Local property prices fell.   ·   Pastry line, Dubai   ·   Annual test.   ·   Delivery van (held for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Year 2</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Year 3</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400"/>
            <w:tcMar>
              <w:top w:type="dxa" w:w="50"/>
              <w:left w:type="dxa" w:w="110"/>
              <w:bottom w:type="dxa" w:w="50"/>
              <w:right w:type="dxa" w:w="110"/>
            </w:tcMar>
          </w:tcPr>
          <w:p>
            <w:pPr>
              <w:spacing w:before="28" w:after="28"/>
            </w:pPr>
            <w:r>
              <w:rPr>
                <w:sz w:val="15"/>
                <w:szCs w:val="15"/>
              </w:rPr>
              <w:t xml:space="preserve">Year 4</w:t>
            </w:r>
          </w:p>
        </w:tc>
        <w:tc>
          <w:tcPr>
            <w:tcW w:type="pct" w:w="2600"/>
            <w:tcMar>
              <w:top w:type="dxa" w:w="50"/>
              <w:left w:type="dxa" w:w="110"/>
              <w:bottom w:type="dxa" w:w="50"/>
              <w:right w:type="dxa" w:w="110"/>
            </w:tcMar>
          </w:tcPr>
          <w:p>
            <w:pPr>
              <w:spacing w:before="28" w:after="28"/>
            </w:pPr>
            <w:r>
              <w:rPr>
                <w:sz w:val="15"/>
                <w:szCs w:val="15"/>
              </w:rPr>
              <w:t xml:space="preserve">The rate would give more than is left above salvage, so depreciation is 11,250 − 10,000 = 1,250; ending book value 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1,000; undiscounted cash flows 1,300; fair value 900   ·   50% × 45,000 = 22,500; ending book value 22,500   ·   50% × 22,500 = 11,250; ending book value 11,250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Asset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w:t>
            </w:r>
          </w:p>
        </w:tc>
        <w:tc>
          <w:tcPr>
            <w:tcW w:type="pct" w:w="2600"/>
            <w:tcMar>
              <w:top w:type="dxa" w:w="50"/>
              <w:left w:type="dxa" w:w="110"/>
              <w:bottom w:type="dxa" w:w="50"/>
              <w:right w:type="dxa" w:w="110"/>
            </w:tcMar>
          </w:tcPr>
          <w:p>
            <w:pPr>
              <w:spacing w:before="28" w:after="28"/>
            </w:pPr>
            <w:r>
              <w:rPr>
                <w:sz w:val="15"/>
                <w:szCs w:val="15"/>
              </w:rPr>
              <w:t xml:space="preserve">Two steps: recoverability, then fair value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(47) </w:t>
            </w:r>
            <w:r>
              <w:rPr>
                <w:u w:val="single"/>
                <w:sz w:val="15"/>
                <w:szCs w:val="15"/>
              </w:rPr>
              <w:t xml:space="preserve">              </w:t>
            </w:r>
            <w:r>
              <w:rPr>
                <w:sz w:val="15"/>
                <w:szCs w:val="15"/>
              </w:rPr>
              <w:t xml:space="preserve"> </w:t>
            </w:r>
            <w:r>
              <w:rPr>
                <w:sz w:val="15"/>
                <w:szCs w:val="15"/>
              </w:rPr>
              <w:t xml:space="preserve">: recoverability, then fair value</w:t>
            </w:r>
          </w:p>
        </w:tc>
      </w:tr>
      <w:tr>
        <w:tc>
          <w:tcPr>
            <w:tcW w:type="pct" w:w="2400"/>
            <w:tcMar>
              <w:top w:type="dxa" w:w="50"/>
              <w:left w:type="dxa" w:w="110"/>
              <w:bottom w:type="dxa" w:w="50"/>
              <w:right w:type="dxa" w:w="110"/>
            </w:tcMar>
          </w:tcPr>
          <w:p>
            <w:pPr>
              <w:spacing w:before="28" w:after="28"/>
            </w:pPr>
            <w:r>
              <w:rPr>
                <w:sz w:val="15"/>
                <w:szCs w:val="15"/>
              </w:rPr>
              <w:t xml:space="preserve">B</w:t>
            </w:r>
          </w:p>
        </w:tc>
        <w:tc>
          <w:tcPr>
            <w:tcW w:type="pct" w:w="2600"/>
            <w:tcMar>
              <w:top w:type="dxa" w:w="50"/>
              <w:left w:type="dxa" w:w="110"/>
              <w:bottom w:type="dxa" w:w="50"/>
              <w:right w:type="dxa" w:w="110"/>
            </w:tcMar>
          </w:tcPr>
          <w:p>
            <w:pPr>
              <w:spacing w:before="28" w:after="28"/>
            </w:pPr>
            <w:r>
              <w:rPr>
                <w:sz w:val="15"/>
                <w:szCs w:val="15"/>
              </w:rPr>
              <w:t xml:space="preserve">One step: carrying amount vs fair value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2400"/>
            <w:tcMar>
              <w:top w:type="dxa" w:w="50"/>
              <w:left w:type="dxa" w:w="110"/>
              <w:bottom w:type="dxa" w:w="50"/>
              <w:right w:type="dxa" w:w="110"/>
            </w:tcMar>
          </w:tcPr>
          <w:p>
            <w:pPr>
              <w:spacing w:before="28" w:after="28"/>
            </w:pPr>
            <w:r>
              <w:rPr>
                <w:sz w:val="15"/>
                <w:szCs w:val="15"/>
              </w:rPr>
              <w:t xml:space="preserve">V</w:t>
            </w:r>
          </w:p>
        </w:tc>
        <w:tc>
          <w:tcPr>
            <w:tcW w:type="pct" w:w="2600"/>
            <w:tcMar>
              <w:top w:type="dxa" w:w="50"/>
              <w:left w:type="dxa" w:w="110"/>
              <w:bottom w:type="dxa" w:w="50"/>
              <w:right w:type="dxa" w:w="110"/>
            </w:tcMar>
          </w:tcPr>
          <w:p>
            <w:pPr>
              <w:spacing w:before="28" w:after="28"/>
            </w:pPr>
            <w:r>
              <w:rPr>
                <w:sz w:val="15"/>
                <w:szCs w:val="15"/>
              </w:rPr>
              <w:t xml:space="preserve">Lower of </w:t>
            </w:r>
            <w:r>
              <w:rPr>
                <w:b/>
                <w:bCs/>
                <w:color w:val="8186EF"/>
                <w:sz w:val="14"/>
                <w:szCs w:val="14"/>
              </w:rPr>
              <w:t xml:space="preserve"> (49) </w:t>
            </w:r>
            <w:r>
              <w:rPr>
                <w:u w:val="single"/>
                <w:sz w:val="15"/>
                <w:szCs w:val="15"/>
              </w:rPr>
              <w:t xml:space="preserve">              </w:t>
            </w:r>
            <w:r>
              <w:rPr>
                <w:sz w:val="15"/>
                <w:szCs w:val="15"/>
              </w:rPr>
              <w:t xml:space="preserve"> </w:t>
            </w:r>
            <w:r>
              <w:rPr>
                <w:sz w:val="15"/>
                <w:szCs w:val="15"/>
              </w:rPr>
              <w:t xml:space="preserve"> and fair value less cost to sell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Single-step goodwill test   ·   carrying amount   ·   Two steps   ·   Year 2</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   sum-of-the-years'-digits method   ·   reporting unit   ·   recoverability test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9"/>
        <w:gridCol w:w="47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1"/>
            <w:tcMar>
              <w:top w:type="dxa" w:w="50"/>
              <w:left w:type="dxa" w:w="110"/>
              <w:bottom w:type="dxa" w:w="50"/>
              <w:right w:type="dxa" w:w="110"/>
            </w:tcMar>
          </w:tcPr>
          <w:p>
            <w:pPr>
              <w:spacing w:before="26" w:after="26"/>
            </w:pPr>
            <w:r>
              <w:rPr>
                <w:color w:val="232733"/>
                <w:sz w:val="16"/>
                <w:szCs w:val="16"/>
              </w:rPr>
              <w:t xml:space="preserve">impairment</w:t>
            </w:r>
          </w:p>
        </w:tc>
        <w:tc>
          <w:tcPr>
            <w:tcW w:type="pct" w:w="2469"/>
            <w:tcMar>
              <w:top w:type="dxa" w:w="50"/>
              <w:left w:type="dxa" w:w="110"/>
              <w:bottom w:type="dxa" w:w="50"/>
              <w:right w:type="dxa" w:w="110"/>
            </w:tcMar>
          </w:tcPr>
          <w:p>
            <w:pPr>
              <w:spacing w:before="26" w:after="26"/>
            </w:pPr>
            <w:r>
              <w:rPr>
                <w:color w:val="232733"/>
                <w:sz w:val="16"/>
                <w:szCs w:val="16"/>
              </w:rPr>
              <w:t xml:space="preserve">الهبوط في القيمة (انخفاض القيمة)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r>
        <w:tc>
          <w:tcPr>
            <w:tcW w:type="pct" w:w="2531"/>
            <w:tcMar>
              <w:top w:type="dxa" w:w="50"/>
              <w:left w:type="dxa" w:w="110"/>
              <w:bottom w:type="dxa" w:w="50"/>
              <w:right w:type="dxa" w:w="110"/>
            </w:tcMar>
          </w:tcPr>
          <w:p>
            <w:pPr>
              <w:spacing w:before="26" w:after="26"/>
            </w:pPr>
            <w:r>
              <w:rPr>
                <w:color w:val="232733"/>
                <w:sz w:val="16"/>
                <w:szCs w:val="16"/>
              </w:rPr>
              <w:t xml:space="preserve">held for sale</w:t>
            </w:r>
          </w:p>
        </w:tc>
        <w:tc>
          <w:tcPr>
            <w:tcW w:type="pct" w:w="2469"/>
            <w:tcMar>
              <w:top w:type="dxa" w:w="50"/>
              <w:left w:type="dxa" w:w="110"/>
              <w:bottom w:type="dxa" w:w="50"/>
              <w:right w:type="dxa" w:w="110"/>
            </w:tcMar>
          </w:tcPr>
          <w:p>
            <w:pPr>
              <w:spacing w:before="26" w:after="26"/>
            </w:pPr>
            <w:r>
              <w:rPr>
                <w:color w:val="232733"/>
                <w:sz w:val="16"/>
                <w:szCs w:val="16"/>
              </w:rPr>
              <w:t xml:space="preserve">محتفظ بها للبيع</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asset group</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مجموعة أصول</w:t>
            </w:r>
          </w:p>
        </w:tc>
      </w:tr>
      <w:tr>
        <w:tc>
          <w:tcPr>
            <w:tcW w:type="pct" w:w="2531"/>
            <w:tcMar>
              <w:top w:type="dxa" w:w="50"/>
              <w:left w:type="dxa" w:w="110"/>
              <w:bottom w:type="dxa" w:w="50"/>
              <w:right w:type="dxa" w:w="110"/>
            </w:tcMar>
          </w:tcPr>
          <w:p>
            <w:pPr>
              <w:spacing w:before="26" w:after="26"/>
            </w:pPr>
            <w:r>
              <w:rPr>
                <w:color w:val="232733"/>
                <w:sz w:val="16"/>
                <w:szCs w:val="16"/>
              </w:rPr>
              <w:t xml:space="preserve">goodwill</w:t>
            </w:r>
          </w:p>
        </w:tc>
        <w:tc>
          <w:tcPr>
            <w:tcW w:type="pct" w:w="2469"/>
            <w:tcMar>
              <w:top w:type="dxa" w:w="50"/>
              <w:left w:type="dxa" w:w="110"/>
              <w:bottom w:type="dxa" w:w="50"/>
              <w:right w:type="dxa" w:w="110"/>
            </w:tcMar>
          </w:tcPr>
          <w:p>
            <w:pPr>
              <w:spacing w:before="26" w:after="26"/>
            </w:pPr>
            <w:r>
              <w:rPr>
                <w:color w:val="232733"/>
                <w:sz w:val="16"/>
                <w:szCs w:val="16"/>
              </w:rPr>
              <w:t xml:space="preserve">الشهرة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reporting unit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وحدة إعداد التقارير</w:t>
            </w:r>
          </w:p>
        </w:tc>
      </w:tr>
      <w:tr>
        <w:tc>
          <w:tcPr>
            <w:tcW w:type="pct" w:w="2531"/>
            <w:tcMar>
              <w:top w:type="dxa" w:w="50"/>
              <w:left w:type="dxa" w:w="110"/>
              <w:bottom w:type="dxa" w:w="50"/>
              <w:right w:type="dxa" w:w="110"/>
            </w:tcMar>
          </w:tcPr>
          <w:p>
            <w:pPr>
              <w:spacing w:before="26" w:after="26"/>
            </w:pPr>
            <w:r>
              <w:rPr>
                <w:color w:val="232733"/>
                <w:sz w:val="16"/>
                <w:szCs w:val="16"/>
              </w:rPr>
              <w:t xml:space="preserve">indefinite-lived intangible asset</w:t>
            </w:r>
          </w:p>
        </w:tc>
        <w:tc>
          <w:tcPr>
            <w:tcW w:type="pct" w:w="2469"/>
            <w:tcMar>
              <w:top w:type="dxa" w:w="50"/>
              <w:left w:type="dxa" w:w="110"/>
              <w:bottom w:type="dxa" w:w="50"/>
              <w:right w:type="dxa" w:w="110"/>
            </w:tcMar>
          </w:tcPr>
          <w:p>
            <w:pPr>
              <w:spacing w:before="26" w:after="26"/>
            </w:pPr>
            <w:r>
              <w:rPr>
                <w:color w:val="232733"/>
                <w:sz w:val="16"/>
                <w:szCs w:val="16"/>
              </w:rPr>
              <w:t xml:space="preserve">أصل غير ملموس غير محدد العمر</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amortization</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الإطفاء</w:t>
            </w:r>
          </w:p>
        </w:tc>
      </w:tr>
      <w:tr>
        <w:tc>
          <w:tcPr>
            <w:tcW w:type="pct" w:w="2531"/>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69"/>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Impairment of long-lived assets, intangibles and goodwill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occurs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indicators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tested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recoverable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undiscounted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allows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reduced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remaining</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reversed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Pastry line, Dubai</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Finite-lived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Annual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intangible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carrying 2,000; goodwill included 150; fair value 1,700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Delivery van (held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50% × 45,000 = 22,500; ending book value 22,500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50% × 22,500 = 11,250; ending book value 11,250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Two steps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Single-step goodwill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qualitative</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carrying 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unit's</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recoverability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capitalizing</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reporting unit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impairment occurs when a company cannot recover an asset's carrying amount. U.S. GAAP uses different tests for different assets. The company tests an asset group (the lowest level with its own cash flows) only when indicators suggest a problem, such as a sharp fall in market price, physical damage or continuing losses. The test has two steps. In the recoverability test, the company compares the carrying amount with the sum of the undiscounted future cash flows. If the carrying amount is not higher, there is no impairment, even if fair value is lower. If it is higher, the company measures the loss as carrying amount minus fair value. The reduced amount becomes the new cost basis and is depreciated over the remaining life. The loss is never reversed under U.S. GAAP. An asset is held for sale when management has committed to a plan to sell it, it is available for immediate sale, and the sale is expected within one year. It is measured at the lower of its carrying amount and fair value less cost to sell, and it is no longer depreciated.</w:t>
      </w:r>
    </w:p>
    <w:p>
      <w:pPr>
        <w:spacing w:before="20" w:after="20"/>
        <w:ind w:left="240" w:hanging="240"/>
      </w:pPr>
      <w:r>
        <w:rPr>
          <w:b/>
          <w:bCs/>
          <w:color w:val="353A7C"/>
          <w:sz w:val="15"/>
          <w:szCs w:val="15"/>
        </w:rPr>
        <w:t xml:space="preserve">Summary 2   </w:t>
      </w:r>
      <w:r>
        <w:rPr>
          <w:color w:val="6B7280"/>
          <w:sz w:val="15"/>
          <w:szCs w:val="15"/>
        </w:rPr>
        <w:t xml:space="preserve">If fair value less cost to sell rises later, the company records a gain, but only up to the losses it recognized before. Finite-lived intangibles, such as patents, are subject to amortization over their useful lives and follow the PP&amp;E test. An indefinite-lived intangible asset, such as a brand with no expected end, is not amortized. It is tested at least every year in one step: carrying amount against fair value. Goodwill is not amortized by public companies. It is tested at least every year at the level of the reporting unit. A company may first make a qualitative assessment; if it is not more likely than not that the unit's fair value is below its carrying amount, no further test is needed.</w:t>
      </w:r>
    </w:p>
    <w:p>
      <w:pPr>
        <w:spacing w:before="20" w:after="20"/>
        <w:ind w:left="240" w:hanging="240"/>
      </w:pPr>
      <w:r>
        <w:rPr>
          <w:b/>
          <w:bCs/>
          <w:color w:val="353A7C"/>
          <w:sz w:val="15"/>
          <w:szCs w:val="15"/>
        </w:rPr>
        <w:t xml:space="preserve">Summary 3   </w:t>
      </w:r>
      <w:r>
        <w:rPr>
          <w:color w:val="6B7280"/>
          <w:sz w:val="15"/>
          <w:szCs w:val="15"/>
        </w:rPr>
        <w:t xml:space="preserve">Otherwise it applies a single step: the loss is the unit's carrying amount minus its fair value, but never more than the goodwill. ASU 2025-06 changes when companies start capitalizing internal-use software (effective for annual periods beginning after December 15, 2027). ASU 2025-10 adds guidance on government grants for assets. Under the one-year rule, neither is tested yet. IAS 36 uses one step: compare the carrying amount with the recoverable amount, which is the higher of fair value less costs of disposal and value in use (a discounted amount). IFRS allows the reversal of impairment losses on assets other than goodwill. IAS 38 requires development costs to be capitalized when six criteria are met. These are the classic IFRS habits that cost marks on the U.S. GAAP exam.</w:t>
      </w:r>
    </w:p>
    <w:p>
      <w:pPr>
        <w:spacing w:before="20" w:after="20"/>
        <w:ind w:left="240" w:hanging="240"/>
      </w:pPr>
      <w:r>
        <w:rPr>
          <w:b/>
          <w:bCs/>
          <w:color w:val="353A7C"/>
          <w:sz w:val="15"/>
          <w:szCs w:val="15"/>
        </w:rPr>
        <w:t xml:space="preserve">Summary 4   </w:t>
      </w:r>
      <w:r>
        <w:rPr>
          <w:color w:val="6B7280"/>
          <w:sz w:val="15"/>
          <w:szCs w:val="15"/>
        </w:rPr>
        <w:t xml:space="preserve">Step 1 uses UNDISCOUNTED cash flows. Step 2 measures the loss against FAIR VALUE. Goodwill: one step, and the loss is capped at the goodwill balance. No reversals for assets held and used, indefinite-lived intangibles or goodwill. Held for sale: gains only up to earlier losses. Stop depreciating an asset once it is held for sale.</w:t>
      </w:r>
    </w:p>
    <w:p>
      <w:pPr>
        <w:sectPr>
          <w:headerReference w:type="default" r:id="rIdHdr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Revenue and the core principle</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Steps 3 and 4: the transaction price and its a   ·   Step 5: recognizing revenue over time or at a    ·   Steps 1 and 2: the contract and its performanc   ·   Matching, contract costs and IFRS differences</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Revenue is the inflow from a company's main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selling goods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services. </w:t>
      </w:r>
      <w:r>
        <w:rPr>
          <w:sz w:val="19"/>
          <w:szCs w:val="19"/>
        </w:rPr>
        <w:t xml:space="preserve">Under ASC 606, a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revenue when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control of promised goods or services to a customer. </w:t>
      </w:r>
      <w:r>
        <w:rPr>
          <w:sz w:val="19"/>
          <w:szCs w:val="19"/>
        </w:rPr>
        <w:t xml:space="preserve">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at the amount it expects to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in exchange. </w:t>
      </w:r>
      <w:r>
        <w:rPr>
          <w:sz w:val="19"/>
          <w:szCs w:val="19"/>
        </w:rPr>
        <w:t xml:space="preserve">Control means the customer can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use of the asset and obtain almost all of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key question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when the company is paid, but when the customer gains control. </w:t>
      </w:r>
      <w:r>
        <w:rPr>
          <w:sz w:val="19"/>
          <w:szCs w:val="19"/>
        </w:rPr>
        <w:t xml:space="preserve">Cash can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at or after that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ASC 606 applies one model to all contracts with customers: goods, services, construction and software. </w:t>
      </w:r>
      <w:r>
        <w:rPr>
          <w:sz w:val="19"/>
          <w:szCs w:val="19"/>
        </w:rPr>
        <w:t xml:space="preserve">The model has five steps. </w:t>
      </w:r>
      <w:r>
        <w:rPr>
          <w:sz w:val="19"/>
          <w:szCs w:val="19"/>
        </w:rPr>
        <w:t xml:space="preserve">Each step answers one question, and each uses the answer to the step before.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agent   ·   transfers   ·   therefore   ·   moment   ·   recognizes   ·   entitled   ·   direct   ·   activities   ·   arrive   ·   measures   ·   providing   ·   benefits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bl>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Revenue and the core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Steps 1 and 2: the contract and its performanc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 5: recognizing revenue over time or at a </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entitled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Matching, contract costs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providing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arrive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Revenue is the inflow from a company's main activities, such as selling goods or providing services. Under ASC 606, a company recognizes revenue when it transfers control of promised goods or services to a customer. It measures revenue at the amount it expects to be entitled to in exchange. Control means the customer can direct the use of the asset and obtain almost all of its benefits. The key question is therefore not when the company is paid, but when the customer gains control. Cash can arrive before, at or after that moment. ASC 606 applies one model to all contracts with customers: goods, services, construction and software. The model has five steps. Each step answers one question, and each uses the answer to the step before.</w:t>
      </w:r>
    </w:p>
    <w:p>
      <w:pPr>
        <w:sectPr>
          <w:headerReference w:type="default" r:id="rIdHdr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Steps 1 and 2: the contract and its performance obligations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1: identify the contract. </w:t>
      </w:r>
      <w:r>
        <w:rPr>
          <w:sz w:val="19"/>
          <w:szCs w:val="19"/>
        </w:rPr>
        <w:t xml:space="preserve">A contract exists only if the parties have approved it and are committed to it, each party's rights and the payment terms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contract has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substance. </w:t>
      </w:r>
      <w:r>
        <w:rPr>
          <w:sz w:val="19"/>
          <w:szCs w:val="19"/>
        </w:rPr>
        <w:t xml:space="preserve">Finally, it must be probable that the company will collect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If these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not met, cash received from the customer is a liability,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U.S. GAAP, probable means likely: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level than the IFRS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more likely than not. </w:t>
      </w:r>
      <w:r>
        <w:rPr>
          <w:sz w:val="19"/>
          <w:szCs w:val="19"/>
        </w:rPr>
        <w:t xml:space="preserve">Step 2: identify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obligations. </w:t>
      </w:r>
      <w:r>
        <w:rPr>
          <w:sz w:val="19"/>
          <w:szCs w:val="19"/>
        </w:rPr>
        <w:t xml:space="preserve">Each promise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distinct good or service is a separate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good or service is distinct if the customer can benefit from it on its own and it is separately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the contract, not highly dependent on other promises.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obligation   ·   higher   ·   identifiable   ·   performance   ·   substantially   ·   question   ·   criteria   ·   meaning   ·   consideration   ·   commercial   ·   revenue   ·   transfer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the five steps applied to the Orontes–GreenBasket contract, October 1, 2026</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Step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Orontes's analysis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 (whole USD)</w:t>
            </w:r>
          </w:p>
        </w:tc>
      </w:tr>
      <w:tr>
        <w:tc>
          <w:tcPr>
            <w:tcW w:type="pct" w:w="2042"/>
            <w:tcMar>
              <w:top w:type="dxa" w:w="50"/>
              <w:left w:type="dxa" w:w="110"/>
              <w:bottom w:type="dxa" w:w="50"/>
              <w:right w:type="dxa" w:w="110"/>
            </w:tcMar>
          </w:tcPr>
          <w:p>
            <w:pPr>
              <w:spacing w:before="28" w:after="28"/>
            </w:pPr>
            <w:r>
              <w:rPr>
                <w:sz w:val="15"/>
                <w:szCs w:val="15"/>
              </w:rPr>
              <w:t xml:space="preserve">1. Identify the contract</w:t>
            </w:r>
          </w:p>
        </w:tc>
        <w:tc>
          <w:tcPr>
            <w:tcW w:type="pct" w:w="2200"/>
            <w:tcMar>
              <w:top w:type="dxa" w:w="50"/>
              <w:left w:type="dxa" w:w="110"/>
              <w:bottom w:type="dxa" w:w="50"/>
              <w:right w:type="dxa" w:w="110"/>
            </w:tcMar>
          </w:tcPr>
          <w:p>
            <w:pPr>
              <w:spacing w:before="28" w:after="28"/>
            </w:pPr>
            <w:r>
              <w:rPr>
                <w:sz w:val="15"/>
                <w:szCs w:val="15"/>
              </w:rPr>
              <w:t xml:space="preserve">A signed agreement for olive oil, a dispenser and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payment terms clear; collection probable.</w:t>
            </w:r>
          </w:p>
        </w:tc>
        <w:tc>
          <w:tcPr>
            <w:tcW w:type="pct" w:w="758"/>
            <w:tcMar>
              <w:top w:type="dxa" w:w="50"/>
              <w:left w:type="dxa" w:w="110"/>
              <w:bottom w:type="dxa" w:w="50"/>
              <w:right w:type="dxa" w:w="110"/>
            </w:tcMar>
          </w:tcPr>
          <w:p>
            <w:pPr>
              <w:spacing w:before="28" w:after="28"/>
            </w:pPr>
            <w:r>
              <w:rPr>
                <w:sz w:val="15"/>
                <w:szCs w:val="15"/>
              </w:rPr>
              <w:t xml:space="preserve">Contract exists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2. Identify the performance obligations</w:t>
            </w:r>
          </w:p>
        </w:tc>
        <w:tc>
          <w:tcPr>
            <w:tcW w:type="pct" w:w="2200"/>
            <w:shd w:fill="FBFAF6" w:val="clear"/>
            <w:tcMar>
              <w:top w:type="dxa" w:w="50"/>
              <w:left w:type="dxa" w:w="110"/>
              <w:bottom w:type="dxa" w:w="50"/>
              <w:right w:type="dxa" w:w="110"/>
            </w:tcMar>
          </w:tcPr>
          <w:p>
            <w:pPr>
              <w:spacing w:before="28" w:after="28"/>
            </w:pPr>
            <w:r>
              <w:rPr>
                <w:sz w:val="15"/>
                <w:szCs w:val="15"/>
              </w:rPr>
              <w:t xml:space="preserve">Olive oil, the dispenser and maintenance can each be bought separately and are not highly interdependent.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42"/>
            <w:tcMar>
              <w:top w:type="dxa" w:w="50"/>
              <w:left w:type="dxa" w:w="110"/>
              <w:bottom w:type="dxa" w:w="50"/>
              <w:right w:type="dxa" w:w="110"/>
            </w:tcMar>
          </w:tcPr>
          <w:p>
            <w:pPr>
              <w:spacing w:before="28" w:after="28"/>
            </w:pPr>
            <w:r>
              <w:rPr>
                <w:sz w:val="15"/>
                <w:szCs w:val="15"/>
              </w:rPr>
              <w:t xml:space="preserve">3. Determine the transaction price</w:t>
            </w:r>
          </w:p>
        </w:tc>
        <w:tc>
          <w:tcPr>
            <w:tcW w:type="pct" w:w="2200"/>
            <w:tcMar>
              <w:top w:type="dxa" w:w="50"/>
              <w:left w:type="dxa" w:w="110"/>
              <w:bottom w:type="dxa" w:w="50"/>
              <w:right w:type="dxa" w:w="110"/>
            </w:tcMar>
          </w:tcPr>
          <w:p>
            <w:pPr>
              <w:spacing w:before="28" w:after="28"/>
            </w:pPr>
            <w:r>
              <w:rPr>
                <w:sz w:val="15"/>
                <w:szCs w:val="15"/>
              </w:rPr>
              <w:t xml:space="preserve">Fixed price; no variable amounts, no financing component, no payments to GreenBasket.</w:t>
            </w:r>
          </w:p>
        </w:tc>
        <w:tc>
          <w:tcPr>
            <w:tcW w:type="pct" w:w="758"/>
            <w:tcMar>
              <w:top w:type="dxa" w:w="50"/>
              <w:left w:type="dxa" w:w="110"/>
              <w:bottom w:type="dxa" w:w="50"/>
              <w:right w:type="dxa" w:w="110"/>
            </w:tcMar>
          </w:tcPr>
          <w:p>
            <w:pPr>
              <w:spacing w:before="28" w:after="28"/>
            </w:pPr>
            <w:r>
              <w:rPr>
                <w:sz w:val="15"/>
                <w:szCs w:val="15"/>
              </w:rPr>
              <w:t xml:space="preserve">1,080,000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4. Allocate the price</w:t>
            </w:r>
          </w:p>
        </w:tc>
        <w:tc>
          <w:tcPr>
            <w:tcW w:type="pct" w:w="2200"/>
            <w:shd w:fill="FBFAF6" w:val="clear"/>
            <w:tcMar>
              <w:top w:type="dxa" w:w="50"/>
              <w:left w:type="dxa" w:w="110"/>
              <w:bottom w:type="dxa" w:w="50"/>
              <w:right w:type="dxa" w:w="110"/>
            </w:tcMar>
          </w:tcPr>
          <w:p>
            <w:pPr>
              <w:spacing w:before="28" w:after="28"/>
            </w:pPr>
            <w:r>
              <w:rPr>
                <w:sz w:val="15"/>
                <w:szCs w:val="15"/>
              </w:rPr>
              <w:t xml:space="preserve">Relative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selling prices totalling 1,200,000; each obligation gets 90%.</w:t>
            </w:r>
          </w:p>
        </w:tc>
        <w:tc>
          <w:tcPr>
            <w:tcW w:type="pct" w:w="758"/>
            <w:shd w:fill="FBFAF6" w:val="clear"/>
            <w:tcMar>
              <w:top w:type="dxa" w:w="50"/>
              <w:left w:type="dxa" w:w="110"/>
              <w:bottom w:type="dxa" w:w="50"/>
              <w:right w:type="dxa" w:w="110"/>
            </w:tcMar>
          </w:tcPr>
          <w:p>
            <w:pPr>
              <w:spacing w:before="28" w:after="28"/>
            </w:pPr>
            <w:r>
              <w:rPr>
                <w:sz w:val="15"/>
                <w:szCs w:val="15"/>
              </w:rPr>
              <w:t xml:space="preserve">810,000 / 180,000 / 90,000</w:t>
            </w:r>
          </w:p>
        </w:tc>
      </w:tr>
      <w:tr>
        <w:tc>
          <w:tcPr>
            <w:tcW w:type="pct" w:w="2042"/>
            <w:tcMar>
              <w:top w:type="dxa" w:w="50"/>
              <w:left w:type="dxa" w:w="110"/>
              <w:bottom w:type="dxa" w:w="50"/>
              <w:right w:type="dxa" w:w="110"/>
            </w:tcMar>
          </w:tcPr>
          <w:p>
            <w:pPr>
              <w:spacing w:before="28" w:after="28"/>
            </w:pPr>
            <w:r>
              <w:rPr>
                <w:sz w:val="15"/>
                <w:szCs w:val="15"/>
              </w:rPr>
              <w:t xml:space="preserve">5. Recognize revenue</w:t>
            </w:r>
          </w:p>
        </w:tc>
        <w:tc>
          <w:tcPr>
            <w:tcW w:type="pct" w:w="2200"/>
            <w:tcMar>
              <w:top w:type="dxa" w:w="50"/>
              <w:left w:type="dxa" w:w="110"/>
              <w:bottom w:type="dxa" w:w="50"/>
              <w:right w:type="dxa" w:w="110"/>
            </w:tcMar>
          </w:tcPr>
          <w:p>
            <w:pPr>
              <w:spacing w:before="28" w:after="28"/>
            </w:pPr>
            <w:r>
              <w:rPr>
                <w:sz w:val="15"/>
                <w:szCs w:val="15"/>
              </w:rPr>
              <w:t xml:space="preserve">Oil and dispenser: at delivery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Maintenance: over 24 months (over time).</w:t>
            </w:r>
          </w:p>
        </w:tc>
        <w:tc>
          <w:tcPr>
            <w:tcW w:type="pct" w:w="758"/>
            <w:tcMar>
              <w:top w:type="dxa" w:w="50"/>
              <w:left w:type="dxa" w:w="110"/>
              <w:bottom w:type="dxa" w:w="50"/>
              <w:right w:type="dxa" w:w="110"/>
            </w:tcMar>
          </w:tcPr>
          <w:p>
            <w:pPr>
              <w:spacing w:before="28" w:after="28"/>
            </w:pPr>
            <w:r>
              <w:rPr>
                <w:sz w:val="15"/>
                <w:szCs w:val="15"/>
              </w:rPr>
              <w:t xml:space="preserve">2026: 515,250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refund liability   ·   point in time   ·   Three obligations   ·   maintenance   ·   standalone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Probable is not 50%</w:t>
            </w:r>
          </w:p>
        </w:tc>
      </w:tr>
    </w:tbl>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In U.S. GAAP, probable means likely to occur: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about 75% or more. </w:t>
      </w:r>
      <w:r>
        <w:rPr>
          <w:sz w:val="19"/>
          <w:szCs w:val="19"/>
        </w:rPr>
        <w:t xml:space="preserve">IFRS 15 uses probable to mean more likely than not. </w:t>
      </w:r>
      <w:r>
        <w:rPr>
          <w:sz w:val="19"/>
          <w:szCs w:val="19"/>
        </w:rPr>
        <w:t xml:space="preserve">A question that says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only a little more likely than not fails the U.S.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   ·   variable   ·   contract   ·   practice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التزام الأداء   ·   over time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performance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الأداء</w:t>
            </w:r>
          </w:p>
        </w:tc>
      </w:tr>
    </w:tbl>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Steps 1 and 2: the contract and its performance obligations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identifiable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Three 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consideration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criteria</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meaning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transfer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obligation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1: identify the contract. A contract exists only if the parties have approved it and are committed to it, each party's rights and the payment terms can be identified, and the contract has commercial substance. Finally, it must be probable that the company will collect substantially all of the consideration. If these criteria are not met, cash received from the customer is a liability, not revenue. In U.S. GAAP, probable means likely: a higher level than the IFRS meaning of more likely than not. Step 2: identify the performance obligations. Each promise to transfer a distinct good or service is a separate obligation. A good or service is distinct if the customer can benefit from it on its own and it is separately identifiable in the contract, not highly dependent on other promises.</w:t>
      </w:r>
    </w:p>
    <w:p>
      <w:pPr>
        <w:spacing w:before="20" w:after="20"/>
        <w:ind w:left="240" w:hanging="240"/>
      </w:pPr>
      <w:r>
        <w:rPr>
          <w:b/>
          <w:bCs/>
          <w:color w:val="353A7C"/>
          <w:sz w:val="15"/>
          <w:szCs w:val="15"/>
        </w:rPr>
        <w:t xml:space="preserve">Summary 2   </w:t>
      </w:r>
      <w:r>
        <w:rPr>
          <w:color w:val="6B7280"/>
          <w:sz w:val="15"/>
          <w:szCs w:val="15"/>
        </w:rPr>
        <w:t xml:space="preserve">In U.S. GAAP, probable means likely to occur: in practice, about 75% or more. IFRS 15 uses probable to mean more likely than not. A question that says collection is only a little more likely than not fails the U.S. contract test.</w:t>
      </w:r>
    </w:p>
    <w:p>
      <w:pPr>
        <w:sectPr>
          <w:headerReference w:type="default" r:id="rIdHdr1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Steps 3 and 4: the transaction price and its allocation</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3: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transaction price, the amount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receive.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variable consideration, such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bonuses. </w:t>
      </w:r>
      <w:r>
        <w:rPr>
          <w:sz w:val="19"/>
          <w:szCs w:val="19"/>
        </w:rPr>
        <w:t xml:space="preserve">The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using the expected value, for many possible outcomes, or the most likely amount, for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outcome. </w:t>
      </w:r>
      <w:r>
        <w:rPr>
          <w:sz w:val="19"/>
          <w:szCs w:val="19"/>
        </w:rPr>
        <w:t xml:space="preserve">Variable amounts are included only to the extent that a significant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revenue is 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later. </w:t>
      </w:r>
      <w:r>
        <w:rPr>
          <w:sz w:val="19"/>
          <w:szCs w:val="19"/>
        </w:rPr>
        <w:t xml:space="preserve">This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variable consideration. </w:t>
      </w:r>
      <w:r>
        <w:rPr>
          <w:sz w:val="19"/>
          <w:szCs w:val="19"/>
        </w:rPr>
        <w:t xml:space="preserve">Three other items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transaction price. </w:t>
      </w:r>
      <w:r>
        <w:rPr>
          <w:sz w:val="19"/>
          <w:szCs w:val="19"/>
        </w:rPr>
        <w:t xml:space="preserve">A significant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component is removed when payment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far apart; if they are within one year, the company may ignore it. </w:t>
      </w:r>
      <w:r>
        <w:rPr>
          <w:sz w:val="19"/>
          <w:szCs w:val="19"/>
        </w:rPr>
        <w:t xml:space="preserve">Consideration payable to a customer, such as a slotting fee paid to a supermarket for shelf space, reduces revenue. </w:t>
      </w:r>
      <w:r>
        <w:rPr>
          <w:sz w:val="19"/>
          <w:szCs w:val="19"/>
        </w:rPr>
        <w:t xml:space="preserve">Sales taxes and VAT collected may be excluded from revenue by policy. </w:t>
      </w:r>
      <w:r>
        <w:rPr>
          <w:sz w:val="19"/>
          <w:szCs w:val="19"/>
        </w:rPr>
        <w:t xml:space="preserve">Step 4: allocate the transaction price to the performance obligations in proportion to their standalone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expects   ·   constraint   ·   all-or-nothing   ·   determine   ·   delivery   ·   probable   ·   includes   ·   estimates   ·   financing   ·   rebates   ·   change   ·   reversal</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When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price is not available, the company estimates it, for example from market prices or expected cost plus a margin. </w:t>
      </w:r>
      <w:r>
        <w:rPr>
          <w:sz w:val="19"/>
          <w:szCs w:val="19"/>
        </w:rPr>
        <w:t xml:space="preserve">The residual approach is allowed only when a price is highly variable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discount is normally shared by all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Each obligation therefore receives 90% of its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   standalone   ·   observable   ·   obligations   ·   consideration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Price and allocation traps</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Revenue for each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its allocated price, not its standalone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price. </w:t>
      </w:r>
      <w:r>
        <w:rPr>
          <w:sz w:val="19"/>
          <w:szCs w:val="19"/>
        </w:rPr>
        <w:t xml:space="preserve">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fee paid to a customer reduces revenue; it is not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expense unless Orontes receives a distinct service. </w:t>
      </w:r>
      <w:r>
        <w:rPr>
          <w:sz w:val="19"/>
          <w:szCs w:val="19"/>
        </w:rPr>
        <w:t xml:space="preserve">Do not use the residual approach when standalone prices can be observed.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slotting   ·   probable   ·   obligation   ·   selling   ·   marketing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521"/>
        <w:gridCol w:w="4224"/>
        <w:gridCol w:w="18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Variable consideration: most likely amount or expected value</w:t>
            </w:r>
          </w:p>
        </w:tc>
      </w:tr>
      <w:tr>
        <w:tc>
          <w:tcPr>
            <w:tcW w:type="pct" w:w="1834"/>
            <w:shd w:fill="353A7C" w:val="clear"/>
            <w:tcMar>
              <w:top w:type="dxa" w:w="50"/>
              <w:left w:type="dxa" w:w="110"/>
              <w:bottom w:type="dxa" w:w="50"/>
              <w:right w:type="dxa" w:w="110"/>
            </w:tcMar>
          </w:tcPr>
          <w:p>
            <w:pPr>
              <w:spacing w:before="30" w:after="30"/>
            </w:pPr>
            <w:r>
              <w:rPr>
                <w:b/>
                <w:bCs/>
                <w:color w:val="FFFFFF"/>
                <w:sz w:val="15"/>
                <w:szCs w:val="15"/>
              </w:rPr>
              <w:t xml:space="preserve">Suppose: sales of 2,400,000 with a 3% volume reb</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966"/>
            <w:shd w:fill="353A7C" w:val="clear"/>
            <w:tcMar>
              <w:top w:type="dxa" w:w="50"/>
              <w:left w:type="dxa" w:w="110"/>
              <w:bottom w:type="dxa" w:w="50"/>
              <w:right w:type="dxa" w:w="110"/>
            </w:tcMar>
          </w:tcPr>
          <w:p>
            <w:pPr>
              <w:spacing w:before="30" w:after="30"/>
            </w:pPr>
            <w:r>
              <w:rPr>
                <w:b/>
                <w:bCs/>
                <w:color w:val="FFFFFF"/>
                <w:sz w:val="15"/>
                <w:szCs w:val="15"/>
              </w:rPr>
              <w:t xml:space="preserve">Revenue (whole USD)</w:t>
            </w:r>
          </w:p>
        </w:tc>
      </w:tr>
      <w:tr>
        <w:tc>
          <w:tcPr>
            <w:tcW w:type="pct" w:w="1834"/>
            <w:tcMar>
              <w:top w:type="dxa" w:w="50"/>
              <w:left w:type="dxa" w:w="110"/>
              <w:bottom w:type="dxa" w:w="50"/>
              <w:right w:type="dxa" w:w="110"/>
            </w:tcMar>
          </w:tcPr>
          <w:p>
            <w:pPr>
              <w:spacing w:before="28" w:after="28"/>
            </w:pPr>
            <w:r>
              <w:rPr>
                <w:sz w:val="15"/>
                <w:szCs w:val="15"/>
              </w:rPr>
              <w:t xml:space="preserve">Most likely amount</w:t>
            </w:r>
          </w:p>
        </w:tc>
        <w:tc>
          <w:tcPr>
            <w:tcW w:type="pct" w:w="2200"/>
            <w:tcMar>
              <w:top w:type="dxa" w:w="50"/>
              <w:left w:type="dxa" w:w="110"/>
              <w:bottom w:type="dxa" w:w="50"/>
              <w:right w:type="dxa" w:w="110"/>
            </w:tcMar>
          </w:tcPr>
          <w:p>
            <w:pPr>
              <w:spacing w:before="28" w:after="28"/>
            </w:pPr>
            <w:r>
              <w:rPr>
                <w:sz w:val="15"/>
                <w:szCs w:val="15"/>
              </w:rPr>
              <w:t xml:space="preserve">The rebate is all or nothing, so use the single most likely outcome: the rebate is earned (70% likely).</w:t>
            </w:r>
          </w:p>
        </w:tc>
        <w:tc>
          <w:tcPr>
            <w:tcW w:type="pct" w:w="966"/>
            <w:tcMar>
              <w:top w:type="dxa" w:w="50"/>
              <w:left w:type="dxa" w:w="110"/>
              <w:bottom w:type="dxa" w:w="50"/>
              <w:right w:type="dxa" w:w="110"/>
            </w:tcMar>
          </w:tcPr>
          <w:p>
            <w:pPr>
              <w:spacing w:before="28" w:after="28"/>
            </w:pPr>
            <w:r>
              <w:rPr>
                <w:sz w:val="15"/>
                <w:szCs w:val="15"/>
              </w:rPr>
              <w:t xml:space="preserve">2,328,000</w:t>
            </w:r>
          </w:p>
        </w:tc>
      </w:tr>
      <w:tr>
        <w:tc>
          <w:tcPr>
            <w:tcW w:type="pct" w:w="1834"/>
            <w:shd w:fill="FBFAF6" w:val="clear"/>
            <w:tcMar>
              <w:top w:type="dxa" w:w="50"/>
              <w:left w:type="dxa" w:w="110"/>
              <w:bottom w:type="dxa" w:w="50"/>
              <w:right w:type="dxa" w:w="110"/>
            </w:tcMar>
          </w:tcPr>
          <w:p>
            <w:pPr>
              <w:spacing w:before="28" w:after="28"/>
            </w:pPr>
            <w:r>
              <w:rPr>
                <w:sz w:val="15"/>
                <w:szCs w:val="15"/>
              </w:rPr>
              <w:t xml:space="preserve">Expected value</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70% × 72,000 = 50,400 rebate. Best when there are many possible outcomes.</w:t>
            </w:r>
          </w:p>
        </w:tc>
        <w:tc>
          <w:tcPr>
            <w:tcW w:type="pct" w:w="966"/>
            <w:shd w:fill="FBFAF6" w:val="clear"/>
            <w:tcMar>
              <w:top w:type="dxa" w:w="50"/>
              <w:left w:type="dxa" w:w="110"/>
              <w:bottom w:type="dxa" w:w="50"/>
              <w:right w:type="dxa" w:w="110"/>
            </w:tcMar>
          </w:tcPr>
          <w:p>
            <w:pPr>
              <w:spacing w:before="28" w:after="28"/>
            </w:pPr>
            <w:r>
              <w:rPr>
                <w:sz w:val="15"/>
                <w:szCs w:val="15"/>
              </w:rPr>
              <w:t xml:space="preserve">2,349,600</w:t>
            </w:r>
          </w:p>
        </w:tc>
      </w:tr>
      <w:tr>
        <w:tc>
          <w:tcPr>
            <w:tcW w:type="pct" w:w="1834"/>
            <w:tcMar>
              <w:top w:type="dxa" w:w="50"/>
              <w:left w:type="dxa" w:w="110"/>
              <w:bottom w:type="dxa" w:w="50"/>
              <w:right w:type="dxa" w:w="110"/>
            </w:tcMar>
          </w:tcPr>
          <w:p>
            <w:pPr>
              <w:spacing w:before="28" w:after="28"/>
            </w:pPr>
            <w:r>
              <w:rPr>
                <w:sz w:val="15"/>
                <w:szCs w:val="15"/>
              </w:rPr>
              <w:t xml:space="preserve">Constraint</w:t>
            </w:r>
          </w:p>
        </w:tc>
        <w:tc>
          <w:tcPr>
            <w:tcW w:type="pct" w:w="2200"/>
            <w:tcMar>
              <w:top w:type="dxa" w:w="50"/>
              <w:left w:type="dxa" w:w="110"/>
              <w:bottom w:type="dxa" w:w="50"/>
              <w:right w:type="dxa" w:w="110"/>
            </w:tcMar>
          </w:tcPr>
          <w:p>
            <w:pPr>
              <w:spacing w:before="28" w:after="28"/>
            </w:pPr>
            <w:r>
              <w:rPr>
                <w:sz w:val="15"/>
                <w:szCs w:val="15"/>
              </w:rPr>
              <w:t xml:space="preserve">Include variable amounts only if a significant reversal of revenue is not probable later.</w:t>
            </w:r>
          </w:p>
        </w:tc>
        <w:tc>
          <w:tcPr>
            <w:tcW w:type="pct" w:w="966"/>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Probability-weighted   ·   Applies to both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9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3991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price   ·   variable consideration   ·   standalone selling price   ·   سعر المعاملة</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transaction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المعاملة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standalone selling price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سعر البيع المستقل</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consideration</w:t>
            </w:r>
          </w:p>
        </w:tc>
        <w:tc>
          <w:tcPr>
            <w:tcW w:type="pct" w:w="2400"/>
            <w:tcMar>
              <w:top w:type="dxa" w:w="50"/>
              <w:left w:type="dxa" w:w="110"/>
              <w:bottom w:type="dxa" w:w="50"/>
              <w:right w:type="dxa" w:w="110"/>
            </w:tcMar>
          </w:tcPr>
          <w:p>
            <w:pPr>
              <w:spacing w:before="26" w:after="26"/>
            </w:pPr>
            <w:r>
              <w:rPr>
                <w:color w:val="232733"/>
                <w:sz w:val="16"/>
                <w:szCs w:val="16"/>
              </w:rPr>
              <w:t xml:space="preserve">العوض المتغير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constraint on variable consideration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قيد العوض المتغير</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financing component</w:t>
            </w:r>
          </w:p>
        </w:tc>
        <w:tc>
          <w:tcPr>
            <w:tcW w:type="pct" w:w="2400"/>
            <w:tcMar>
              <w:top w:type="dxa" w:w="50"/>
              <w:left w:type="dxa" w:w="110"/>
              <w:bottom w:type="dxa" w:w="50"/>
              <w:right w:type="dxa" w:w="110"/>
            </w:tcMar>
          </w:tcPr>
          <w:p>
            <w:pPr>
              <w:spacing w:before="26" w:after="26"/>
            </w:pPr>
            <w:r>
              <w:rPr>
                <w:color w:val="232733"/>
                <w:sz w:val="16"/>
                <w:szCs w:val="16"/>
              </w:rPr>
              <w:t xml:space="preserve">مكوِّن تمويلي 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consideration payable to a customer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العوض المستحق الدفع للعميل</w:t>
            </w:r>
          </w:p>
        </w:tc>
      </w:tr>
    </w:tbl>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Steps 3 and 4: the transaction price and its allocation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determine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uncertain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all-or-nothing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slotting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reversal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Probability-weighted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constraint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Applies to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transaction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standalone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observable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3: determine the transaction price, the amount the company expects to receive. It includes variable consideration, such as rebates and bonuses. The company estimates it using the expected value, for many possible outcomes, or the most likely amount, for an all-or-nothing outcome. Variable amounts are included only to the extent that a significant reversal of revenue is not probable later. This is the constraint on variable consideration. Three other items change the transaction price. A significant financing component is removed when payment and delivery are far apart; if they are within one year, the company may ignore it. Consideration payable to a customer, such as a slotting fee paid to a supermarket for shelf space, reduces revenue. Sales taxes and VAT collected may be excluded from revenue by policy. Step 4: allocate the transaction price to the performance obligations in proportion to their standalone selling prices.</w:t>
      </w:r>
    </w:p>
    <w:p>
      <w:pPr>
        <w:spacing w:before="20" w:after="20"/>
        <w:ind w:left="240" w:hanging="240"/>
      </w:pPr>
      <w:r>
        <w:rPr>
          <w:b/>
          <w:bCs/>
          <w:color w:val="353A7C"/>
          <w:sz w:val="15"/>
          <w:szCs w:val="15"/>
        </w:rPr>
        <w:t xml:space="preserve">Summary 2   </w:t>
      </w:r>
      <w:r>
        <w:rPr>
          <w:color w:val="6B7280"/>
          <w:sz w:val="15"/>
          <w:szCs w:val="15"/>
        </w:rPr>
        <w:t xml:space="preserve">When an observable price is not available, the company estimates it, for example from market prices or expected cost plus a margin. The residual approach is allowed only when a price is highly variable or uncertain. A discount is normally shared by all obligations. Each obligation therefore receives 90% of its standalone price.</w:t>
      </w:r>
    </w:p>
    <w:p>
      <w:pPr>
        <w:spacing w:before="20" w:after="20"/>
        <w:ind w:left="240" w:hanging="240"/>
      </w:pPr>
      <w:r>
        <w:rPr>
          <w:b/>
          <w:bCs/>
          <w:color w:val="353A7C"/>
          <w:sz w:val="15"/>
          <w:szCs w:val="15"/>
        </w:rPr>
        <w:t xml:space="preserve">Summary 3   </w:t>
      </w:r>
      <w:r>
        <w:rPr>
          <w:color w:val="6B7280"/>
          <w:sz w:val="15"/>
          <w:szCs w:val="15"/>
        </w:rPr>
        <w:t xml:space="preserve">Revenue for each obligation is its allocated price, not its standalone selling price. A slotting fee paid to a customer reduces revenue; it is not a marketing expense unless Orontes receives a distinct service. Do not use the residual approach when standalone prices can be observed.</w:t>
      </w:r>
    </w:p>
    <w:p>
      <w:pPr>
        <w:sectPr>
          <w:headerReference w:type="default" r:id="rIdHdr1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Step 5: recognizing revenue over time or at a point in time</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Step 5: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revenue when, or as, each obligation is satisfied. </w:t>
      </w:r>
      <w:r>
        <w:rPr>
          <w:sz w:val="19"/>
          <w:szCs w:val="19"/>
        </w:rPr>
        <w:t xml:space="preserve">An obligation is satisfied over time if the customer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benefit as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if the company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asset the customer controls, or if the asset has no other use and the company has a right to payment for work done so far.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time is measured by an output method, such as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or an input method, such as costs incurred. </w:t>
      </w:r>
      <w:r>
        <w:rPr>
          <w:sz w:val="19"/>
          <w:szCs w:val="19"/>
        </w:rPr>
        <w:t xml:space="preserve">If no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criterion is met, revenue is recognized at a point in time: when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passes.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performs   ·   benefit   ·   control   ·   delivered   ·   over-time   ·   Progress   ·   receives   ·   improves   ·   recognize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GreenBasket revenue for 2026</w:t>
            </w:r>
          </w:p>
        </w:tc>
      </w:tr>
    </w:tbl>
    <w:p/>
    <w:p>
      <w:pPr>
        <w:spacing w:before="44" w:after="14"/>
      </w:pPr>
      <w:r>
        <w:rPr>
          <w:b/>
          <w:bCs/>
          <w:color w:val="353A7C"/>
          <w:sz w:val="18"/>
          <w:szCs w:val="18"/>
        </w:rPr>
        <w:t xml:space="preserve">Summary 2</w:t>
      </w:r>
      <w:r>
        <w:rPr>
          <w:color w:val="6B7280"/>
          <w:sz w:val="16"/>
          <w:szCs w:val="16"/>
        </w:rPr>
        <w:t xml:space="preserve">      gaps 9–13</w:t>
      </w:r>
    </w:p>
    <w:p>
      <w:pPr>
        <w:spacing w:before="20" w:after="20" w:line="360" w:lineRule="auto"/>
        <w:ind w:left="200"/>
      </w:pPr>
      <w:r>
        <w:rPr>
          <w:sz w:val="19"/>
          <w:szCs w:val="19"/>
        </w:rPr>
        <w:t xml:space="preserve">Olive oil is recognized at 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By December 31, Orontes has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8,000 cases at $40 each of allocated price: $324,000. </w:t>
      </w:r>
      <w:r>
        <w:rPr>
          <w:sz w:val="19"/>
          <w:szCs w:val="19"/>
        </w:rPr>
        <w:t xml:space="preserve">The dispenser was installed on October 1, when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gained control: $180,000.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over time: 3 months of 24 at $3,750 per month, $11,250. </w:t>
      </w:r>
      <w:r>
        <w:rPr>
          <w:sz w:val="19"/>
          <w:szCs w:val="19"/>
        </w:rPr>
        <w:t xml:space="preserve">Total 2026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$515,250. </w:t>
      </w:r>
      <w:r>
        <w:rPr>
          <w:sz w:val="19"/>
          <w:szCs w:val="19"/>
        </w:rPr>
        <w:t xml:space="preserve">The remaining $564,750 will be recognized in later periods.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performs   ·   delivery   ·   delivered   ·   revenue   ·   GreenBasket</w:t>
            </w:r>
          </w:p>
        </w:tc>
      </w:tr>
    </w:tbl>
    <w:p/>
    <w:p>
      <w:pPr>
        <w:spacing w:before="44" w:after="10"/>
      </w:pPr>
      <w:r>
        <w:rPr>
          <w:b/>
          <w:bCs/>
          <w:color w:val="353A7C"/>
          <w:sz w:val="18"/>
          <w:szCs w:val="18"/>
        </w:rPr>
        <w:t xml:space="preserve">Suppose: GreenBasket revenue schedule for 2026</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breakage   ·   Maintenance</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Payments rarely match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A contract asset arises when the company has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but its right to payment still depends on something other than time. </w:t>
      </w:r>
      <w:r>
        <w:rPr>
          <w:sz w:val="19"/>
          <w:szCs w:val="19"/>
        </w:rPr>
        <w:t xml:space="preserve">A contract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arises when the customer pays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revenue   ·   depends   ·   performed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performance obligation   ·   contract asset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 time</w:t>
            </w:r>
          </w:p>
        </w:tc>
        <w:tc>
          <w:tcPr>
            <w:tcW w:type="pct" w:w="2600"/>
            <w:tcMar>
              <w:top w:type="dxa" w:w="50"/>
              <w:left w:type="dxa" w:w="110"/>
              <w:bottom w:type="dxa" w:w="50"/>
              <w:right w:type="dxa" w:w="110"/>
            </w:tcMar>
          </w:tcPr>
          <w:p>
            <w:pPr>
              <w:spacing w:before="26" w:after="26"/>
            </w:pPr>
            <w:r>
              <w:rPr>
                <w:color w:val="232733"/>
                <w:sz w:val="16"/>
                <w:szCs w:val="16"/>
              </w:rPr>
              <w:t xml:space="preserve">على مدى زمني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point in time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عند نقطة من الزمن</w:t>
            </w:r>
          </w:p>
        </w:tc>
      </w:tr>
      <w:tr>
        <w:tc>
          <w:tcPr>
            <w:tcW w:type="pct" w:w="2400"/>
            <w:tcMar>
              <w:top w:type="dxa" w:w="50"/>
              <w:left w:type="dxa" w:w="110"/>
              <w:bottom w:type="dxa" w:w="50"/>
              <w:right w:type="dxa" w:w="110"/>
            </w:tcMar>
          </w:tcPr>
          <w:p>
            <w:pPr>
              <w:spacing w:before="26" w:after="26"/>
            </w:pPr>
            <w:r>
              <w:rPr>
                <w:color w:val="232733"/>
                <w:sz w:val="16"/>
                <w:szCs w:val="16"/>
              </w:rPr>
              <w:t xml:space="preserve">output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المخرجات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input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المدخلات</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bl>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Step 5: recognizing revenue over time or at a point in time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GreenBasket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improves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performed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over-time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5: recognize revenue when, or as, each obligation is satisfied. An obligation is satisfied over time if the customer receives the benefit as the company performs, if the company improves an asset the customer controls, or if the asset has no other use and the company has a right to payment for work done so far. Progress over time is measured by an output method, such as units delivered, or an input method, such as costs incurred. If no over-time criterion is met, revenue is recognized at a point in time: when control passes.</w:t>
      </w:r>
    </w:p>
    <w:p>
      <w:pPr>
        <w:spacing w:before="20" w:after="20"/>
        <w:ind w:left="240" w:hanging="240"/>
      </w:pPr>
      <w:r>
        <w:rPr>
          <w:b/>
          <w:bCs/>
          <w:color w:val="353A7C"/>
          <w:sz w:val="15"/>
          <w:szCs w:val="15"/>
        </w:rPr>
        <w:t xml:space="preserve">Summary 2   </w:t>
      </w:r>
      <w:r>
        <w:rPr>
          <w:color w:val="6B7280"/>
          <w:sz w:val="15"/>
          <w:szCs w:val="15"/>
        </w:rPr>
        <w:t xml:space="preserve">Olive oil is recognized at each delivery. By December 31, Orontes has delivered 8,000 cases at $40 each of allocated price: $324,000. The dispenser was installed on October 1, when GreenBasket gained control: $180,000. Maintenance is over time: 3 months of 24 at $3,750 per month, $11,250. Total 2026 revenue is $515,250. The remaining $564,750 will be recognized in later periods.</w:t>
      </w:r>
    </w:p>
    <w:p>
      <w:pPr>
        <w:spacing w:before="20" w:after="20"/>
        <w:ind w:left="240" w:hanging="240"/>
      </w:pPr>
      <w:r>
        <w:rPr>
          <w:b/>
          <w:bCs/>
          <w:color w:val="353A7C"/>
          <w:sz w:val="15"/>
          <w:szCs w:val="15"/>
        </w:rPr>
        <w:t xml:space="preserve">Summary 3   </w:t>
      </w:r>
      <w:r>
        <w:rPr>
          <w:color w:val="6B7280"/>
          <w:sz w:val="15"/>
          <w:szCs w:val="15"/>
        </w:rPr>
        <w:t xml:space="preserve">Payments rarely match revenue. A contract asset arises when the company has performed but its right to payment still depends on something other than time. A contract liability arises when the customer pays first.</w:t>
      </w:r>
    </w:p>
    <w:p>
      <w:pPr>
        <w:sectPr>
          <w:headerReference w:type="default" r:id="rIdHdr1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Special situations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another party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must decide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is a principal or an agent. </w:t>
      </w:r>
      <w:r>
        <w:rPr>
          <w:sz w:val="19"/>
          <w:szCs w:val="19"/>
        </w:rPr>
        <w:t xml:space="preserve">A principal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 or service before 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reports revenue gross. </w:t>
      </w:r>
      <w:r>
        <w:rPr>
          <w:sz w:val="19"/>
          <w:szCs w:val="19"/>
        </w:rPr>
        <w:t xml:space="preserve">An agent only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sale and reports its fee 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as revenue. </w:t>
      </w:r>
      <w:r>
        <w:rPr>
          <w:sz w:val="19"/>
          <w:szCs w:val="19"/>
        </w:rPr>
        <w:t xml:space="preserve">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return goods,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only for goods it does not expect to be returned. </w:t>
      </w:r>
      <w:r>
        <w:rPr>
          <w:sz w:val="19"/>
          <w:szCs w:val="19"/>
        </w:rPr>
        <w:t xml:space="preserve">It records a refund liability for expected refunds and a separate asset for its right to recover the returned goods. </w:t>
      </w:r>
      <w:r>
        <w:rPr>
          <w:sz w:val="19"/>
          <w:szCs w:val="19"/>
        </w:rPr>
        <w:t xml:space="preserve">The asset and the liability are not netted.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recognizes   ·   arranges   ·   controls   ·   whether   ·   transferred   ·   commission   ·   inventory   ·   involved   ·   customers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sale with a right of return</w:t>
            </w:r>
          </w:p>
        </w:tc>
      </w:tr>
    </w:tbl>
    <w:p/>
    <w:p>
      <w:pPr>
        <w:spacing w:before="44" w:after="14"/>
      </w:pPr>
      <w:r>
        <w:rPr>
          <w:b/>
          <w:bCs/>
          <w:color w:val="353A7C"/>
          <w:sz w:val="18"/>
          <w:szCs w:val="18"/>
        </w:rPr>
        <w:t xml:space="preserve">Summary 2</w:t>
      </w:r>
      <w:r>
        <w:rPr>
          <w:color w:val="6B7280"/>
          <w:sz w:val="16"/>
          <w:szCs w:val="16"/>
        </w:rPr>
        <w:t xml:space="preserve">      gaps 9–17</w:t>
      </w:r>
    </w:p>
    <w:p>
      <w:pPr>
        <w:spacing w:before="20" w:after="20" w:line="360" w:lineRule="auto"/>
        <w:ind w:left="200"/>
      </w:pPr>
      <w:r>
        <w:rPr>
          <w:sz w:val="19"/>
          <w:szCs w:val="19"/>
        </w:rPr>
        <w:t xml:space="preserve">Control is also the test in other cases. </w:t>
      </w:r>
      <w:r>
        <w:rPr>
          <w:sz w:val="19"/>
          <w:szCs w:val="19"/>
        </w:rPr>
        <w:t xml:space="preserve">Goods sent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sold until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sells them. </w:t>
      </w:r>
      <w:r>
        <w:rPr>
          <w:sz w:val="19"/>
          <w:szCs w:val="19"/>
        </w:rPr>
        <w:t xml:space="preserve">In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arrangement,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recognized only if the goods are identified, ready and cannot be used for other customers, and the customer asked for the arrangement. </w:t>
      </w: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buy the goods back usually means no sale has taken place. </w:t>
      </w:r>
      <w:r>
        <w:rPr>
          <w:sz w:val="19"/>
          <w:szCs w:val="19"/>
        </w:rPr>
        <w:t xml:space="preserve">Customer options can create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right, such as loyalty points, which is a separate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For gift cards, the company recognizes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part customers are not expected to use,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to the cards that are used. </w:t>
      </w:r>
      <w:r>
        <w:rPr>
          <w:sz w:val="19"/>
          <w:szCs w:val="19"/>
        </w:rPr>
        <w:t xml:space="preserve">Nonrefundable upfront fees are usually deferred.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   promise   ·   revenue   ·   bill-and-hold   ·   consignment   ·   proportion   ·   separately   ·   consignee   ·   breakage   ·   obligation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Special-situation traps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An agent's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its commission, not the full price the customer pays. </w:t>
      </w:r>
      <w:r>
        <w:rPr>
          <w:sz w:val="19"/>
          <w:szCs w:val="19"/>
        </w:rPr>
        <w:t xml:space="preserve">Present the refund liability and the return asset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Goods on consignment stay in the consignor's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whether   ·   revenue</w:t>
            </w:r>
          </w:p>
        </w:tc>
      </w:tr>
    </w:tbl>
    <w:p/>
    <w:p>
      <w:pPr>
        <w:pageBreakBefore w:val="true"/>
        <w:spacing w:after="0"/>
      </w:pPr>
      <w:r>
        <w:rPr>
          <w:sz w:val="2"/>
        </w:rPr>
        <w:t xml:space="preserve"> </w:t>
      </w:r>
    </w:p>
    <w:p>
      <w:pPr>
        <w:spacing w:before="44" w:after="10"/>
      </w:pPr>
      <w:r>
        <w:rPr>
          <w:b/>
          <w:bCs/>
          <w:color w:val="353A7C"/>
          <w:sz w:val="18"/>
          <w:szCs w:val="18"/>
        </w:rPr>
        <w:t xml:space="preserve">Suppose: Barada's sale with a right of return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bill-and-hold arrangement   ·   Cost of goods sold   ·   Refund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الأصيل   ·   breakage   ·   agent   ·   principal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principal</w:t>
            </w:r>
          </w:p>
        </w:tc>
        <w:tc>
          <w:tcPr>
            <w:tcW w:type="pct" w:w="2600"/>
            <w:tcMar>
              <w:top w:type="dxa" w:w="50"/>
              <w:left w:type="dxa" w:w="110"/>
              <w:bottom w:type="dxa" w:w="50"/>
              <w:right w:type="dxa" w:w="110"/>
            </w:tcMar>
          </w:tcPr>
          <w:p>
            <w:pPr>
              <w:spacing w:before="26" w:after="26"/>
            </w:pPr>
            <w:r>
              <w:rPr>
                <w:color w:val="232733"/>
                <w:sz w:val="16"/>
                <w:szCs w:val="16"/>
              </w:rPr>
              <w:t xml:space="preserve">الأصيل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الوكيل</w:t>
            </w:r>
          </w:p>
        </w:tc>
      </w:tr>
      <w:tr>
        <w:tc>
          <w:tcPr>
            <w:tcW w:type="pct" w:w="2400"/>
            <w:tcMar>
              <w:top w:type="dxa" w:w="50"/>
              <w:left w:type="dxa" w:w="110"/>
              <w:bottom w:type="dxa" w:w="50"/>
              <w:right w:type="dxa" w:w="110"/>
            </w:tcMar>
          </w:tcPr>
          <w:p>
            <w:pPr>
              <w:spacing w:before="26" w:after="26"/>
            </w:pPr>
            <w:r>
              <w:rPr>
                <w:color w:val="232733"/>
                <w:sz w:val="16"/>
                <w:szCs w:val="16"/>
              </w:rPr>
              <w:t xml:space="preserve">refund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الاسترداد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bill-and-hold arrangement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ترتيب الفوترة والاحتفاظ</w:t>
            </w:r>
          </w:p>
        </w:tc>
      </w:tr>
      <w:tr>
        <w:tc>
          <w:tcPr>
            <w:tcW w:type="pct" w:w="2400"/>
            <w:tcMar>
              <w:top w:type="dxa" w:w="50"/>
              <w:left w:type="dxa" w:w="110"/>
              <w:bottom w:type="dxa" w:w="50"/>
              <w:right w:type="dxa" w:w="110"/>
            </w:tcMar>
          </w:tcPr>
          <w:p>
            <w:pPr>
              <w:spacing w:before="26" w:after="26"/>
            </w:pPr>
            <w:r>
              <w:rPr>
                <w:color w:val="232733"/>
                <w:sz w:val="16"/>
                <w:szCs w:val="16"/>
              </w:rPr>
              <w:t xml:space="preserve">material right</w:t>
            </w:r>
          </w:p>
        </w:tc>
        <w:tc>
          <w:tcPr>
            <w:tcW w:type="pct" w:w="2600"/>
            <w:tcMar>
              <w:top w:type="dxa" w:w="50"/>
              <w:left w:type="dxa" w:w="110"/>
              <w:bottom w:type="dxa" w:w="50"/>
              <w:right w:type="dxa" w:w="110"/>
            </w:tcMar>
          </w:tcPr>
          <w:p>
            <w:pPr>
              <w:spacing w:before="26" w:after="26"/>
            </w:pPr>
            <w:r>
              <w:rPr>
                <w:color w:val="232733"/>
                <w:sz w:val="16"/>
                <w:szCs w:val="16"/>
              </w:rPr>
              <w:t xml:space="preserve">حق جوهري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breakage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الحقوق غير المستخدمة (الكسر)</w:t>
            </w:r>
          </w:p>
        </w:tc>
      </w:tr>
    </w:tbl>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Special situations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involved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transferred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breakage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arranges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commission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Refund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consignment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principal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bill-and-hold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breakage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another party is involved, the company must decide whether it is a principal or an agent. A principal controls the good or service before it is transferred and reports revenue gross. An agent only arranges the sale and reports its fee or commission as revenue. When customers may return goods, the company recognizes revenue only for goods it does not expect to be returned. It records a refund liability for expected refunds and a separate asset for its right to recover the returned goods. The asset and the liability are not netted.</w:t>
      </w:r>
    </w:p>
    <w:p>
      <w:pPr>
        <w:spacing w:before="20" w:after="20"/>
        <w:ind w:left="240" w:hanging="240"/>
      </w:pPr>
      <w:r>
        <w:rPr>
          <w:b/>
          <w:bCs/>
          <w:color w:val="353A7C"/>
          <w:sz w:val="15"/>
          <w:szCs w:val="15"/>
        </w:rPr>
        <w:t xml:space="preserve">Summary 2   </w:t>
      </w:r>
      <w:r>
        <w:rPr>
          <w:color w:val="6B7280"/>
          <w:sz w:val="15"/>
          <w:szCs w:val="15"/>
        </w:rPr>
        <w:t xml:space="preserve">Control is also the test in other cases. Goods sent on consignment are not sold until the consignee sells them. In a bill-and-hold arrangement, revenue is recognized only if the goods are identified, ready and cannot be used for other customers, and the customer asked for the arrangement. A promise to buy the goods back usually means no sale has taken place. Customer options can create a material right, such as loyalty points, which is a separate obligation. For gift cards, the company recognizes breakage, the part customers are not expected to use, in proportion to the cards that are used. Nonrefundable upfront fees are usually deferred.</w:t>
      </w:r>
    </w:p>
    <w:p>
      <w:pPr>
        <w:spacing w:before="20" w:after="20"/>
        <w:ind w:left="240" w:hanging="240"/>
      </w:pPr>
      <w:r>
        <w:rPr>
          <w:b/>
          <w:bCs/>
          <w:color w:val="353A7C"/>
          <w:sz w:val="15"/>
          <w:szCs w:val="15"/>
        </w:rPr>
        <w:t xml:space="preserve">Summary 3   </w:t>
      </w:r>
      <w:r>
        <w:rPr>
          <w:color w:val="6B7280"/>
          <w:sz w:val="15"/>
          <w:szCs w:val="15"/>
        </w:rPr>
        <w:t xml:space="preserve">An agent's revenue is its commission, not the full price the customer pays. Present the refund liability and the return asset separately. Goods on consignment stay in the consignor's inventory.</w:t>
      </w:r>
    </w:p>
    <w:p>
      <w:pPr>
        <w:sectPr>
          <w:headerReference w:type="default" r:id="rIdHdr1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Matching, contract costs and IFRS differences</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matching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says that expenses are recognized in the same period as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they help to earn. </w:t>
      </w:r>
      <w:r>
        <w:rPr>
          <w:sz w:val="19"/>
          <w:szCs w:val="19"/>
        </w:rPr>
        <w:t xml:space="preserve">Cost of goods sold is recognized when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 is recognized. </w:t>
      </w:r>
      <w:r>
        <w:rPr>
          <w:sz w:val="19"/>
          <w:szCs w:val="19"/>
        </w:rPr>
        <w:t xml:space="preserve">Costs with no future benefit, such as most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expensed at once, and long-lived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the periods they serve. </w:t>
      </w:r>
      <w:r>
        <w:rPr>
          <w:sz w:val="19"/>
          <w:szCs w:val="19"/>
        </w:rPr>
        <w:t xml:space="preserve">Contract costs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same idea.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of obtaining a contract, such as sales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capitalized if the company expects to recover them. </w:t>
      </w:r>
      <w:r>
        <w:rPr>
          <w:sz w:val="19"/>
          <w:szCs w:val="19"/>
        </w:rPr>
        <w:t xml:space="preserve">Orontes pays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3% commission, $32,400, 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contract.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this amount and expenses it as 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goods and services. </w:t>
      </w:r>
      <w:r>
        <w:rPr>
          <w:sz w:val="19"/>
          <w:szCs w:val="19"/>
        </w:rPr>
        <w:t xml:space="preserve">If the amortization period is one year or less, the company may expense such costs immediately. </w:t>
      </w:r>
      <w:r>
        <w:rPr>
          <w:sz w:val="19"/>
          <w:szCs w:val="19"/>
        </w:rPr>
        <w:t xml:space="preserve">Costs to fulfill a contract are capitalized only if they relate directly to it and create a resource that will be used. </w:t>
      </w:r>
      <w:r>
        <w:rPr>
          <w:sz w:val="19"/>
          <w:szCs w:val="19"/>
        </w:rPr>
        <w:t xml:space="preserve">Under U.S. GAAP, an impairment of these assets is never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   capitalizes   ·   related   ·   salesperson   ·   principle   ·   follow   ·   depreciated   ·   GreenBasket   ·   advertising   ·   transfers   ·   correct   ·   commissions   ·   revenues</w:t>
            </w:r>
          </w:p>
        </w:tc>
      </w:tr>
    </w:tbl>
    <w:p/>
    <w:p>
      <w:pPr>
        <w:spacing w:before="44" w:after="10"/>
      </w:pPr>
      <w:r>
        <w:rPr>
          <w:b/>
          <w:bCs/>
          <w:color w:val="353A7C"/>
          <w:sz w:val="18"/>
          <w:szCs w:val="18"/>
        </w:rPr>
        <w:t xml:space="preserve">ASC 606 and IFRS 15: the main differences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May elect to treat as a fulfillment cost   ·   Revenue when the renewal period begins   ·   Never reversed   ·   May elect to exclude all   ·   Onerous contracts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17–22</w:t>
      </w:r>
    </w:p>
    <w:p>
      <w:pPr>
        <w:spacing w:before="20" w:after="20" w:line="360" w:lineRule="auto"/>
        <w:ind w:left="200"/>
      </w:pPr>
      <w:r>
        <w:rPr>
          <w:sz w:val="19"/>
          <w:szCs w:val="19"/>
        </w:rPr>
        <w:t xml:space="preserve">ASU 2025-07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how to account for shares that a customer pays as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from 2027 and is not testable before about January 2028. </w:t>
      </w:r>
      <w:r>
        <w:rPr>
          <w:sz w:val="19"/>
          <w:szCs w:val="19"/>
        </w:rPr>
        <w:t xml:space="preserve">ASU 2025-05 adds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expedient for credit losses on current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contract assets; it is not testable before about January 2027. </w:t>
      </w:r>
      <w:r>
        <w:rPr>
          <w:sz w:val="19"/>
          <w:szCs w:val="19"/>
        </w:rPr>
        <w:t xml:space="preserve">Under ASC 606 the correct term is contract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it can also arise when payment is due, not only when cash is received.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applies   ·   practical   ·   expensed   ·   consideration   ·   liability   ·   explains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Contract date</w:t>
            </w:r>
          </w:p>
        </w:tc>
        <w:tc>
          <w:tcPr>
            <w:tcW w:type="pct" w:w="2600"/>
            <w:tcMar>
              <w:top w:type="dxa" w:w="50"/>
              <w:left w:type="dxa" w:w="110"/>
              <w:bottom w:type="dxa" w:w="50"/>
              <w:right w:type="dxa" w:w="110"/>
            </w:tcMar>
          </w:tcPr>
          <w:p>
            <w:pPr>
              <w:spacing w:before="28" w:after="28"/>
            </w:pPr>
            <w:r>
              <w:rPr>
                <w:sz w:val="15"/>
                <w:szCs w:val="15"/>
              </w:rPr>
              <w:t xml:space="preserve">September 1, 2026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tcMar>
              <w:top w:type="dxa" w:w="50"/>
              <w:left w:type="dxa" w:w="110"/>
              <w:bottom w:type="dxa" w:w="50"/>
              <w:right w:type="dxa" w:w="110"/>
            </w:tcMar>
          </w:tcPr>
          <w:p>
            <w:pPr>
              <w:spacing w:before="28" w:after="28"/>
            </w:pPr>
            <w:r>
              <w:rPr>
                <w:sz w:val="15"/>
                <w:szCs w:val="15"/>
              </w:rPr>
              <w:t xml:space="preserve">Fixed contract price</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Fruit juices: 12 equal monthly deliveries from September 2026 (standalone selling price)</w:t>
            </w:r>
          </w:p>
        </w:tc>
        <w:tc>
          <w:tcPr>
            <w:tcW w:type="pct" w:w="2600"/>
            <w:shd w:fill="FBFAF6" w:val="clear"/>
            <w:tcMar>
              <w:top w:type="dxa" w:w="50"/>
              <w:left w:type="dxa" w:w="110"/>
              <w:bottom w:type="dxa" w:w="50"/>
              <w:right w:type="dxa" w:w="110"/>
            </w:tcMar>
          </w:tcPr>
          <w:p>
            <w:pPr>
              <w:spacing w:before="28" w:after="28"/>
            </w:pPr>
            <w:r>
              <w:rPr>
                <w:sz w:val="15"/>
                <w:szCs w:val="15"/>
              </w:rPr>
              <w:t xml:space="preserve">540</w:t>
            </w:r>
          </w:p>
        </w:tc>
      </w:tr>
      <w:tr>
        <w:tc>
          <w:tcPr>
            <w:tcW w:type="pct" w:w="2400"/>
            <w:tcMar>
              <w:top w:type="dxa" w:w="50"/>
              <w:left w:type="dxa" w:w="110"/>
              <w:bottom w:type="dxa" w:w="50"/>
              <w:right w:type="dxa" w:w="110"/>
            </w:tcMar>
          </w:tcPr>
          <w:p>
            <w:pPr>
              <w:spacing w:before="28" w:after="28"/>
            </w:pPr>
            <w:r>
              <w:rPr>
                <w:sz w:val="15"/>
                <w:szCs w:val="15"/>
              </w:rPr>
              <w:t xml:space="preserve">Staff training on storing and serving juices, completed in September 2026 (standalone selling price)</w:t>
            </w:r>
          </w:p>
        </w:tc>
        <w:tc>
          <w:tcPr>
            <w:tcW w:type="pct" w:w="2600"/>
            <w:tcMar>
              <w:top w:type="dxa" w:w="50"/>
              <w:left w:type="dxa" w:w="110"/>
              <w:bottom w:type="dxa" w:w="50"/>
              <w:right w:type="dxa" w:w="110"/>
            </w:tcMar>
          </w:tcPr>
          <w:p>
            <w:pPr>
              <w:spacing w:before="28" w:after="28"/>
            </w:pPr>
            <w:r>
              <w:rPr>
                <w:sz w:val="15"/>
                <w:szCs w:val="15"/>
              </w:rPr>
              <w:t xml:space="preserve">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M1</w:t>
            </w:r>
          </w:p>
        </w:tc>
        <w:tc>
          <w:tcPr>
            <w:tcW w:type="pct" w:w="2600"/>
            <w:shd w:fill="FBFAF6" w:val="clear"/>
            <w:tcMar>
              <w:top w:type="dxa" w:w="50"/>
              <w:left w:type="dxa" w:w="110"/>
              <w:bottom w:type="dxa" w:w="50"/>
              <w:right w:type="dxa" w:w="110"/>
            </w:tcMar>
          </w:tcPr>
          <w:p>
            <w:pPr>
              <w:spacing w:before="28" w:after="28"/>
            </w:pPr>
            <w:r>
              <w:rPr>
                <w:sz w:val="15"/>
                <w:szCs w:val="15"/>
              </w:rPr>
              <w:t xml:space="preserve">If Qasr's orders pass a volume target, Qasr pays 30 less. Orontes expects the target to be met, and a reversal is not probable.</w:t>
            </w:r>
          </w:p>
        </w:tc>
      </w:tr>
      <w:tr>
        <w:tc>
          <w:tcPr>
            <w:tcW w:type="pct" w:w="2400"/>
            <w:tcMar>
              <w:top w:type="dxa" w:w="50"/>
              <w:left w:type="dxa" w:w="110"/>
              <w:bottom w:type="dxa" w:w="50"/>
              <w:right w:type="dxa" w:w="110"/>
            </w:tcMar>
          </w:tcPr>
          <w:p>
            <w:pPr>
              <w:spacing w:before="28" w:after="28"/>
            </w:pPr>
            <w:r>
              <w:rPr>
                <w:sz w:val="15"/>
                <w:szCs w:val="15"/>
              </w:rPr>
              <w:t xml:space="preserve">M2</w:t>
            </w:r>
          </w:p>
        </w:tc>
        <w:tc>
          <w:tcPr>
            <w:tcW w:type="pct" w:w="2600"/>
            <w:tcMar>
              <w:top w:type="dxa" w:w="50"/>
              <w:left w:type="dxa" w:w="110"/>
              <w:bottom w:type="dxa" w:w="50"/>
              <w:right w:type="dxa" w:w="110"/>
            </w:tcMar>
          </w:tcPr>
          <w:p>
            <w:pPr>
              <w:spacing w:before="28" w:after="28"/>
            </w:pPr>
            <w:r>
              <w:rPr>
                <w:sz w:val="15"/>
                <w:szCs w:val="15"/>
              </w:rPr>
              <w:t xml:space="preserve">Orontes pays Qasr 10 to list Orontes juices on hotel menus. Orontes </w:t>
            </w:r>
            <w:r>
              <w:rPr>
                <w:b/>
                <w:bCs/>
                <w:color w:val="8186EF"/>
                <w:sz w:val="14"/>
                <w:szCs w:val="14"/>
              </w:rPr>
              <w:t xml:space="preserve"> (24) </w:t>
            </w:r>
            <w:r>
              <w:rPr>
                <w:u w:val="single"/>
                <w:sz w:val="15"/>
                <w:szCs w:val="15"/>
              </w:rPr>
              <w:t xml:space="preserve">              </w:t>
            </w:r>
            <w:r>
              <w:rPr>
                <w:sz w:val="15"/>
                <w:szCs w:val="15"/>
              </w:rPr>
              <w:t xml:space="preserve"> </w:t>
            </w:r>
            <w:r>
              <w:rPr>
                <w:sz w:val="15"/>
                <w:szCs w:val="15"/>
              </w:rPr>
              <w:t xml:space="preserve"> no distinct service.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M3</w:t>
            </w:r>
          </w:p>
        </w:tc>
        <w:tc>
          <w:tcPr>
            <w:tcW w:type="pct" w:w="2600"/>
            <w:shd w:fill="FBFAF6" w:val="clear"/>
            <w:tcMar>
              <w:top w:type="dxa" w:w="50"/>
              <w:left w:type="dxa" w:w="110"/>
              <w:bottom w:type="dxa" w:w="50"/>
              <w:right w:type="dxa" w:w="110"/>
            </w:tcMar>
          </w:tcPr>
          <w:p>
            <w:pPr>
              <w:spacing w:before="28" w:after="28"/>
            </w:pPr>
            <w:r>
              <w:rPr>
                <w:sz w:val="15"/>
                <w:szCs w:val="15"/>
              </w:rPr>
              <w:t xml:space="preserve">Orontes delivers by its own trucks; control passes when the juices arrive. Orontes treats shipping as a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cost.</w:t>
            </w:r>
          </w:p>
        </w:tc>
      </w:tr>
      <w:tr>
        <w:tc>
          <w:tcPr>
            <w:tcW w:type="pct" w:w="2400"/>
            <w:tcMar>
              <w:top w:type="dxa" w:w="50"/>
              <w:left w:type="dxa" w:w="110"/>
              <w:bottom w:type="dxa" w:w="50"/>
              <w:right w:type="dxa" w:w="110"/>
            </w:tcMar>
          </w:tcPr>
          <w:p>
            <w:pPr>
              <w:spacing w:before="28" w:after="28"/>
            </w:pPr>
            <w:r>
              <w:rPr>
                <w:sz w:val="15"/>
                <w:szCs w:val="15"/>
              </w:rPr>
              <w:t xml:space="preserve">M4</w:t>
            </w:r>
          </w:p>
        </w:tc>
        <w:tc>
          <w:tcPr>
            <w:tcW w:type="pct" w:w="2600"/>
            <w:tcMar>
              <w:top w:type="dxa" w:w="50"/>
              <w:left w:type="dxa" w:w="110"/>
              <w:bottom w:type="dxa" w:w="50"/>
              <w:right w:type="dxa" w:w="110"/>
            </w:tcMar>
          </w:tcPr>
          <w:p>
            <w:pPr>
              <w:spacing w:before="28" w:after="28"/>
            </w:pPr>
            <w:r>
              <w:rPr>
                <w:sz w:val="15"/>
                <w:szCs w:val="15"/>
              </w:rPr>
              <w:t xml:space="preserve">By December 31, 2026, Qasr has paid 250. Four monthly deliveries have been made.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Qasr Hotels, a hotel chain in Amman   ·   Performance obligation   ·   fulfillment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Revenue recognized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tcMar>
              <w:top w:type="dxa" w:w="50"/>
              <w:left w:type="dxa" w:w="110"/>
              <w:bottom w:type="dxa" w:w="50"/>
              <w:right w:type="dxa" w:w="110"/>
            </w:tcMar>
          </w:tcPr>
          <w:p>
            <w:pPr>
              <w:spacing w:before="28" w:after="28"/>
            </w:pPr>
            <w:r>
              <w:rPr>
                <w:sz w:val="15"/>
                <w:szCs w:val="15"/>
              </w:rPr>
              <w:t xml:space="preserve">Asset: right to recover products</w:t>
            </w:r>
          </w:p>
        </w:tc>
        <w:tc>
          <w:tcPr>
            <w:tcW w:type="pct" w:w="2600"/>
            <w:tcMar>
              <w:top w:type="dxa" w:w="50"/>
              <w:left w:type="dxa" w:w="110"/>
              <w:bottom w:type="dxa" w:w="50"/>
              <w:right w:type="dxa" w:w="110"/>
            </w:tcMar>
          </w:tcPr>
          <w:p>
            <w:pPr>
              <w:spacing w:before="28" w:after="28"/>
            </w:pPr>
            <w:r>
              <w:rPr>
                <w:sz w:val="15"/>
                <w:szCs w:val="15"/>
              </w:rPr>
              <w:t xml:space="preserve">50 × $12 = 600, shown separately from the refund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(1,000 − 50) × $12 = 11,400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when the renewal period begins   ·   (1,000 − 50) × $20 = 19,000   ·   50 × $20 = 1,000</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 rebate (M1)   ·   standalone selling price   ·   Monthly juice deliveries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costs of obtaining a contract   ·   agent   ·   مبدأ مقابلة الإيرادات بالمصروفات</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costs of obtaining a contract</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الإضافية للحصول على العقد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bl>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Matching, contract costs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practical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Qasr Hotels, a hotel chain in Amman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salesperson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fulfillment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(1,000 − 50) × $20 = 19,000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50 × $20 = 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Monthly juice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May elect to treat as a fulfillment cost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Volume rebate (M1)</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May elect to exclude all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Never reversed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incremental costs of obtaining a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Revenue when the renewal period begins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matching principle says that expenses are recognized in the same period as the revenues they help to earn. Cost of goods sold is recognized when the related sale is recognized. Costs with no future benefit, such as most advertising, are expensed at once, and long-lived assets are depreciated over the periods they serve. Contract costs follow the same idea. Incremental costs of obtaining a contract, such as sales commissions, are capitalized if the company expects to recover them. Orontes pays its salesperson a 3% commission, $32,400, on the GreenBasket contract. It capitalizes this amount and expenses it as it transfers the goods and services. If the amortization period is one year or less, the company may expense such costs immediately. Costs to fulfill a contract are capitalized only if they relate directly to it and create a resource that will be used. Under U.S. GAAP, an impairment of these assets is never reversed.</w:t>
      </w:r>
    </w:p>
    <w:p>
      <w:pPr>
        <w:spacing w:before="20" w:after="20"/>
        <w:ind w:left="240" w:hanging="240"/>
      </w:pPr>
      <w:r>
        <w:rPr>
          <w:b/>
          <w:bCs/>
          <w:color w:val="353A7C"/>
          <w:sz w:val="15"/>
          <w:szCs w:val="15"/>
        </w:rPr>
        <w:t xml:space="preserve">Summary 2   </w:t>
      </w:r>
      <w:r>
        <w:rPr>
          <w:color w:val="6B7280"/>
          <w:sz w:val="15"/>
          <w:szCs w:val="15"/>
        </w:rPr>
        <w:t xml:space="preserve">ASU 2025-07 explains how to account for shares that a customer pays as consideration. It applies from 2027 and is not testable before about January 2028. ASU 2025-05 adds a practical expedient for credit losses on current receivables and contract assets; it is not testable before about January 2027. Under ASC 606 the correct term is contract liability, and it can also arise when payment is due, not only when cash is received.</w:t>
      </w:r>
    </w:p>
    <w:p>
      <w:pPr>
        <w:sectPr>
          <w:headerReference w:type="default" r:id="rIdHdr1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What makes a liability current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debt expected to be refinanced   ·   Payroll, taxes collected and compensated absen   ·   What makes a liability current</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Current liabilities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a company expects to settle by using current assets or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current liabilities, normally within one year. </w:t>
      </w:r>
      <w:r>
        <w:rPr>
          <w:sz w:val="19"/>
          <w:szCs w:val="19"/>
        </w:rPr>
        <w:t xml:space="preserve">They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amount to be paid. </w:t>
      </w:r>
      <w:r>
        <w:rPr>
          <w:sz w:val="19"/>
          <w:szCs w:val="19"/>
        </w:rPr>
        <w:t xml:space="preserve">Because the time is short,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present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obligations   ·   distributable   ·   measured   ·   discounted   ·   creating</w:t>
            </w:r>
          </w:p>
        </w:tc>
      </w:tr>
    </w:tbl>
    <w:p/>
    <w:p>
      <w:pPr>
        <w:spacing w:before="44" w:after="10"/>
      </w:pPr>
      <w:r>
        <w:rPr>
          <w:b/>
          <w:bCs/>
          <w:color w:val="353A7C"/>
          <w:sz w:val="18"/>
          <w:szCs w:val="18"/>
        </w:rPr>
        <w:t xml:space="preserve">Orontes's current liabilities at December 31, 2025</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72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2723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payable   ·   warranty liability   ·   Income taxes payable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Customer deposits are contract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they become revenue when Orontes delivers. </w:t>
      </w:r>
      <w:r>
        <w:rPr>
          <w:sz w:val="19"/>
          <w:szCs w:val="19"/>
        </w:rPr>
        <w:t xml:space="preserve">Cash dividends become a liability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date. </w:t>
      </w:r>
      <w:r>
        <w:rPr>
          <w:sz w:val="19"/>
          <w:szCs w:val="19"/>
        </w:rPr>
        <w:t xml:space="preserve">A stock dividend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not a liability, because no assets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distributable   ·   declaration   ·   expects</w:t>
            </w:r>
          </w:p>
        </w:tc>
      </w:tr>
    </w:tbl>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What makes a liability current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makes a liability current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Short-term debt expected to be refinanced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declaration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distributable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liabilities are obligations that a company expects to settle by using current assets or by creating other current liabilities, normally within one year. They are measured at the amount to be paid. Because the time is short, they are not discounted to present value.</w:t>
      </w:r>
    </w:p>
    <w:p>
      <w:pPr>
        <w:spacing w:before="20" w:after="20"/>
        <w:ind w:left="240" w:hanging="240"/>
      </w:pPr>
      <w:r>
        <w:rPr>
          <w:b/>
          <w:bCs/>
          <w:color w:val="353A7C"/>
          <w:sz w:val="15"/>
          <w:szCs w:val="15"/>
        </w:rPr>
        <w:t xml:space="preserve">Summary 2   </w:t>
      </w:r>
      <w:r>
        <w:rPr>
          <w:color w:val="6B7280"/>
          <w:sz w:val="15"/>
          <w:szCs w:val="15"/>
        </w:rPr>
        <w:t xml:space="preserve">Customer deposits are contract liabilities: they become revenue when Orontes delivers. Cash dividends become a liability on the declaration date. A stock dividend distributable is not a liability, because no assets will be paid.</w:t>
      </w:r>
    </w:p>
    <w:p>
      <w:pPr>
        <w:sectPr>
          <w:headerReference w:type="default" r:id="rIdHdr1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Payroll, taxes collected and compensated absences</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Payroll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several liabilities. </w:t>
      </w:r>
      <w:r>
        <w:rPr>
          <w:sz w:val="19"/>
          <w:szCs w:val="19"/>
        </w:rPr>
        <w:t xml:space="preserve">The employer deducts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income tax and the employees' share of social security, from gross wages.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belong to the government, so they are liabilities, not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own payroll taxes, such as its share of social security, are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expense.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Barada's gross wages for a month are $40,000. </w:t>
      </w:r>
      <w:r>
        <w:rPr>
          <w:sz w:val="19"/>
          <w:szCs w:val="19"/>
        </w:rPr>
        <w:t xml:space="preserve">It withholds $4,000 of income tax and $2,800 of social security, so employees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$33,200. </w:t>
      </w:r>
      <w:r>
        <w:rPr>
          <w:sz w:val="19"/>
          <w:szCs w:val="19"/>
        </w:rPr>
        <w:t xml:space="preserve">Barada's total payroll cost is the gross wages plus its own social security. </w:t>
      </w:r>
      <w:r>
        <w:rPr>
          <w:sz w:val="19"/>
          <w:szCs w:val="19"/>
        </w:rPr>
        <w:t xml:space="preserve">Sales tax and VAT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customers are also owed to the government. </w:t>
      </w:r>
      <w:r>
        <w:rPr>
          <w:sz w:val="19"/>
          <w:szCs w:val="19"/>
        </w:rPr>
        <w:t xml:space="preserve">They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sales tax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not as revenue.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absences, such as earned vacation, are accrued when employees have already worked for them, the rights vest or accumulate, and payment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additional   ·   several   ·   Compensated   ·   employer's   ·   amounts   ·   Suppose   ·   creates   ·   payable   ·   recorded   ·   receive   ·   collected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payroll and sales tax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Barada's payroll and sales tax for one month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Barada, one month in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00"/>
            <w:tcMar>
              <w:top w:type="dxa" w:w="50"/>
              <w:left w:type="dxa" w:w="110"/>
              <w:bottom w:type="dxa" w:w="50"/>
              <w:right w:type="dxa" w:w="110"/>
            </w:tcMar>
          </w:tcPr>
          <w:p>
            <w:pPr>
              <w:spacing w:before="28" w:after="28"/>
            </w:pPr>
            <w:r>
              <w:rPr>
                <w:sz w:val="15"/>
                <w:szCs w:val="15"/>
              </w:rPr>
              <w:t xml:space="preserve">Employees' social security withheld (7%)</w:t>
            </w:r>
          </w:p>
        </w:tc>
        <w:tc>
          <w:tcPr>
            <w:tcW w:type="pct" w:w="2400"/>
            <w:tcMar>
              <w:top w:type="dxa" w:w="50"/>
              <w:left w:type="dxa" w:w="110"/>
              <w:bottom w:type="dxa" w:w="50"/>
              <w:right w:type="dxa" w:w="110"/>
            </w:tcMar>
          </w:tcPr>
          <w:p>
            <w:pPr>
              <w:spacing w:before="28" w:after="28"/>
            </w:pPr>
            <w:r>
              <w:rPr>
                <w:sz w:val="15"/>
                <w:szCs w:val="15"/>
              </w:rPr>
              <w:t xml:space="preserve">2,800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pay to employees</w:t>
            </w:r>
          </w:p>
        </w:tc>
        <w:tc>
          <w:tcPr>
            <w:tcW w:type="pct" w:w="2400"/>
            <w:shd w:fill="FBFAF6" w:val="clear"/>
            <w:tcMar>
              <w:top w:type="dxa" w:w="50"/>
              <w:left w:type="dxa" w:w="110"/>
              <w:bottom w:type="dxa" w:w="50"/>
              <w:right w:type="dxa" w:w="110"/>
            </w:tcMar>
          </w:tcPr>
          <w:p>
            <w:pPr>
              <w:spacing w:before="28" w:after="28"/>
            </w:pPr>
            <w:r>
              <w:rPr>
                <w:sz w:val="15"/>
                <w:szCs w:val="15"/>
              </w:rPr>
              <w:t xml:space="preserve">33,200</w:t>
            </w:r>
          </w:p>
        </w:tc>
      </w:tr>
      <w:tr>
        <w:tc>
          <w:tcPr>
            <w:tcW w:type="pct" w:w="2600"/>
            <w:tcMar>
              <w:top w:type="dxa" w:w="50"/>
              <w:left w:type="dxa" w:w="110"/>
              <w:bottom w:type="dxa" w:w="50"/>
              <w:right w:type="dxa" w:w="110"/>
            </w:tcMar>
          </w:tcPr>
          <w:p>
            <w:pPr>
              <w:spacing w:before="28" w:after="28"/>
            </w:pPr>
            <w:r>
              <w:rPr>
                <w:sz w:val="15"/>
                <w:szCs w:val="15"/>
              </w:rPr>
              <w:t xml:space="preserve">Employer's social security (payroll tax expense, 7%)</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Cash register total,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5% sales tax: 21,000. Sales revenue</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 withheld from employees   ·   Gross wages for the month   ·   Sales tax payable   ·   compensated absences   ·   including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compensated absences   ·   payroll taxes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payroll taxes</w:t>
            </w:r>
          </w:p>
        </w:tc>
        <w:tc>
          <w:tcPr>
            <w:tcW w:type="pct" w:w="2600"/>
            <w:tcMar>
              <w:top w:type="dxa" w:w="50"/>
              <w:left w:type="dxa" w:w="110"/>
              <w:bottom w:type="dxa" w:w="50"/>
              <w:right w:type="dxa" w:w="110"/>
            </w:tcMar>
          </w:tcPr>
          <w:p>
            <w:pPr>
              <w:spacing w:before="26" w:after="26"/>
            </w:pPr>
            <w:r>
              <w:rPr>
                <w:color w:val="232733"/>
                <w:sz w:val="16"/>
                <w:szCs w:val="16"/>
              </w:rPr>
              <w:t xml:space="preserve">ضرائب الرواتب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الاستقطاع</w:t>
            </w:r>
          </w:p>
        </w:tc>
      </w:tr>
      <w:tr>
        <w:tc>
          <w:tcPr>
            <w:tcW w:type="pct" w:w="2400"/>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600"/>
            <w:tcMar>
              <w:top w:type="dxa" w:w="50"/>
              <w:left w:type="dxa" w:w="110"/>
              <w:bottom w:type="dxa" w:w="50"/>
              <w:right w:type="dxa" w:w="110"/>
            </w:tcMar>
          </w:tcPr>
          <w:p>
            <w:pPr>
              <w:spacing w:before="26" w:after="26"/>
            </w:pPr>
            <w:r>
              <w:rPr>
                <w:color w:val="232733"/>
                <w:sz w:val="16"/>
                <w:szCs w:val="16"/>
              </w:rPr>
              <w:t xml:space="preserve">الإجازات المدفوعة المستحقة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ضريبة المبيعات المستحقة</w:t>
            </w:r>
          </w:p>
        </w:tc>
      </w:tr>
    </w:tbl>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Payroll, taxes collected and compensated absences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withholding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Compensated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Gross wages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employer's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Income tax withheld from employees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additional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including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Sales tax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payroll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collected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withholding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Payroll creates several liabilities.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 Suppose Barada's gross wages for a month are $40,000. It withholds $4,000 of income tax and $2,800 of social security, so employees receive $33,200. Barada's total payroll cost is the gross wages plus its own social security. Sales tax and VAT collected from customers are also owed to the government. They are recorded as sales tax payable, not as revenue. Compensated absences, such as earned vacation, are accrued when employees have already worked for them, the rights vest or accumulate, and payment is probable.</w:t>
      </w:r>
    </w:p>
    <w:p>
      <w:pPr>
        <w:sectPr>
          <w:headerReference w:type="default" r:id="rIdHdr1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Short-term debt expected to be refinanced</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obligation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current. </w:t>
      </w:r>
      <w:r>
        <w:rPr>
          <w:sz w:val="19"/>
          <w:szCs w:val="19"/>
        </w:rPr>
        <w:t xml:space="preserve">It may be shown as noncurrent only if the company intends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agreement does not expire within one year, cannot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except for an objective violation, has no violation, and the lender can pay. </w:t>
      </w:r>
      <w:r>
        <w:rPr>
          <w:sz w:val="19"/>
          <w:szCs w:val="19"/>
        </w:rPr>
        <w:t xml:space="preserve">An agreement that the lender may cancel for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adverse change' does not qualify, because that clause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noncurrent amount cannot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amount refinanced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Debt repaid with current assets before the new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obtained stays current. </w:t>
      </w:r>
      <w:r>
        <w:rPr>
          <w:sz w:val="19"/>
          <w:szCs w:val="19"/>
        </w:rPr>
        <w:t xml:space="preserve">Refinanced debt moves to noncurrent liabilities, never to equity, even when shares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subjective   ·   exceed   ·   qualifying   ·   cancelled   ·   financing   ·   normally   ·   proceeds   ·   available   ·   refinance   ·   short-term   ·   material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commercial paper</w:t>
            </w:r>
          </w:p>
        </w:tc>
      </w:tr>
    </w:tbl>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18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2180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can actually refinance   ·   short-term   ·   warranty liability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Orontes has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paper of $3,000,000 due March 31, 2027, and intends to refinance it. </w:t>
      </w:r>
      <w:r>
        <w:rPr>
          <w:sz w:val="19"/>
          <w:szCs w:val="19"/>
        </w:rPr>
        <w:t xml:space="preserve">Its 2026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issued on March 1, 2027. </w:t>
      </w:r>
      <w:r>
        <w:rPr>
          <w:sz w:val="19"/>
          <w:szCs w:val="19"/>
        </w:rPr>
        <w:t xml:space="preserve">Scenario A. Bonds issued 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10 replace the paper: the whole $3,000,000 is noncurrent. </w:t>
      </w:r>
      <w:r>
        <w:rPr>
          <w:sz w:val="19"/>
          <w:szCs w:val="19"/>
        </w:rPr>
        <w:t xml:space="preserve">Scenario C.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issued for $2,400,000: that amount is noncurrent and $600,000 stays current.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moves to equity. </w:t>
      </w:r>
      <w:r>
        <w:rPr>
          <w:sz w:val="19"/>
          <w:szCs w:val="19"/>
        </w:rPr>
        <w:t xml:space="preserve">Scenario D.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agreement for 80% of inventory of at least $3,125,000: $2,500,000 noncurrent, $500,000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   Shares   ·   February   ·   refinance   ·   Nothing   ·   qualifying   ·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Refinancing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Repaid first, refinanced later: still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Refinanced with shares: noncurrent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up to the proceeds, not equity. </w:t>
      </w:r>
      <w:r>
        <w:rPr>
          <w:sz w:val="19"/>
          <w:szCs w:val="19"/>
        </w:rPr>
        <w:t xml:space="preserve">A 'material adverse change' clause makes the agreement fail.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February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five refinancing scenarios for Orontes's commercial paper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commercial paper of 3,000,000</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Noncurrent (U.S. GAAP)</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Current (U.S. GAAP)</w:t>
            </w:r>
          </w:p>
        </w:tc>
      </w:tr>
      <w:tr>
        <w:tc>
          <w:tcPr>
            <w:tcW w:type="pct" w:w="2200"/>
            <w:tcMar>
              <w:top w:type="dxa" w:w="50"/>
              <w:left w:type="dxa" w:w="110"/>
              <w:bottom w:type="dxa" w:w="50"/>
              <w:right w:type="dxa" w:w="110"/>
            </w:tcMar>
          </w:tcPr>
          <w:p>
            <w:pPr>
              <w:spacing w:before="28" w:after="28"/>
            </w:pPr>
            <w:r>
              <w:rPr>
                <w:sz w:val="15"/>
                <w:szCs w:val="15"/>
              </w:rPr>
              <w:t xml:space="preserve">A. Issues 5-year bonds on February 10 and uses the cash to repay the paper at maturity</w:t>
            </w:r>
          </w:p>
        </w:tc>
        <w:tc>
          <w:tcPr>
            <w:tcW w:type="pct" w:w="1400"/>
            <w:tcMar>
              <w:top w:type="dxa" w:w="50"/>
              <w:left w:type="dxa" w:w="110"/>
              <w:bottom w:type="dxa" w:w="50"/>
              <w:right w:type="dxa" w:w="110"/>
            </w:tcMar>
          </w:tcPr>
          <w:p>
            <w:pPr>
              <w:spacing w:before="28" w:after="28"/>
            </w:pPr>
            <w:r>
              <w:rPr>
                <w:sz w:val="15"/>
                <w:szCs w:val="15"/>
              </w:rPr>
              <w:t xml:space="preserve">3,000,000</w:t>
            </w:r>
          </w:p>
        </w:tc>
        <w:tc>
          <w:tcPr>
            <w:tcW w:type="pct" w:w="1400"/>
            <w:tcMar>
              <w:top w:type="dxa" w:w="50"/>
              <w:left w:type="dxa" w:w="110"/>
              <w:bottom w:type="dxa" w:w="50"/>
              <w:right w:type="dxa" w:w="110"/>
            </w:tcMar>
          </w:tcPr>
          <w:p>
            <w:pPr>
              <w:spacing w:before="28" w:after="28"/>
            </w:pPr>
            <w:r>
              <w:rPr>
                <w:sz w:val="15"/>
                <w:szCs w:val="15"/>
              </w:rPr>
              <w:t xml:space="preserve">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 Repays the paper with cash on January 15, then issues bonds on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10</w:t>
            </w:r>
          </w:p>
        </w:tc>
        <w:tc>
          <w:tcPr>
            <w:tcW w:type="pct" w:w="1400"/>
            <w:shd w:fill="FBFAF6" w:val="clear"/>
            <w:tcMar>
              <w:top w:type="dxa" w:w="50"/>
              <w:left w:type="dxa" w:w="110"/>
              <w:bottom w:type="dxa" w:w="50"/>
              <w:right w:type="dxa" w:w="110"/>
            </w:tcMar>
          </w:tcPr>
          <w:p>
            <w:pPr>
              <w:spacing w:before="28" w:after="28"/>
            </w:pPr>
            <w:r>
              <w:rPr>
                <w:sz w:val="15"/>
                <w:szCs w:val="15"/>
              </w:rPr>
              <w:t xml:space="preserve">0</w:t>
            </w:r>
          </w:p>
        </w:tc>
        <w:tc>
          <w:tcPr>
            <w:tcW w:type="pct" w:w="140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200"/>
            <w:tcMar>
              <w:top w:type="dxa" w:w="50"/>
              <w:left w:type="dxa" w:w="110"/>
              <w:bottom w:type="dxa" w:w="50"/>
              <w:right w:type="dxa" w:w="110"/>
            </w:tcMar>
          </w:tcPr>
          <w:p>
            <w:pPr>
              <w:spacing w:before="28" w:after="28"/>
            </w:pPr>
            <w:r>
              <w:rPr>
                <w:sz w:val="15"/>
                <w:szCs w:val="15"/>
              </w:rPr>
              <w:t xml:space="preserve">C. Issues shares on February 10 for 2,400,000 to repay the paper</w:t>
            </w:r>
          </w:p>
        </w:tc>
        <w:tc>
          <w:tcPr>
            <w:tcW w:type="pct" w:w="1400"/>
            <w:tcMar>
              <w:top w:type="dxa" w:w="50"/>
              <w:left w:type="dxa" w:w="110"/>
              <w:bottom w:type="dxa" w:w="50"/>
              <w:right w:type="dxa" w:w="110"/>
            </w:tcMar>
          </w:tcPr>
          <w:p>
            <w:pPr>
              <w:spacing w:before="28" w:after="28"/>
            </w:pPr>
            <w:r>
              <w:rPr>
                <w:sz w:val="15"/>
                <w:szCs w:val="15"/>
              </w:rPr>
              <w:t xml:space="preserve">2,400,000</w:t>
            </w:r>
          </w:p>
        </w:tc>
        <w:tc>
          <w:tcPr>
            <w:tcW w:type="pct" w:w="1400"/>
            <w:tcMar>
              <w:top w:type="dxa" w:w="50"/>
              <w:left w:type="dxa" w:w="110"/>
              <w:bottom w:type="dxa" w:w="50"/>
              <w:right w:type="dxa" w:w="110"/>
            </w:tcMar>
          </w:tcPr>
          <w:p>
            <w:pPr>
              <w:spacing w:before="28" w:after="28"/>
            </w:pPr>
            <w:r>
              <w:rPr>
                <w:sz w:val="15"/>
                <w:szCs w:val="15"/>
              </w:rPr>
              <w:t xml:space="preserve">600,000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 Signs a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agreement on February 1 to borrow 80% of inventory; inventory will not fall below 3,125,000</w:t>
            </w:r>
          </w:p>
        </w:tc>
        <w:tc>
          <w:tcPr>
            <w:tcW w:type="pct" w:w="1400"/>
            <w:shd w:fill="FBFAF6" w:val="clear"/>
            <w:tcMar>
              <w:top w:type="dxa" w:w="50"/>
              <w:left w:type="dxa" w:w="110"/>
              <w:bottom w:type="dxa" w:w="50"/>
              <w:right w:type="dxa" w:w="110"/>
            </w:tcMar>
          </w:tcPr>
          <w:p>
            <w:pPr>
              <w:spacing w:before="28" w:after="28"/>
            </w:pPr>
            <w:r>
              <w:rPr>
                <w:sz w:val="15"/>
                <w:szCs w:val="15"/>
              </w:rPr>
              <w:t xml:space="preserve">2,500,000</w:t>
            </w:r>
          </w:p>
        </w:tc>
        <w:tc>
          <w:tcPr>
            <w:tcW w:type="pct" w:w="1400"/>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200"/>
            <w:tcMar>
              <w:top w:type="dxa" w:w="50"/>
              <w:left w:type="dxa" w:w="110"/>
              <w:bottom w:type="dxa" w:w="50"/>
              <w:right w:type="dxa" w:w="110"/>
            </w:tcMar>
          </w:tcPr>
          <w:p>
            <w:pPr>
              <w:spacing w:before="28" w:after="28"/>
            </w:pPr>
            <w:r>
              <w:rPr>
                <w:sz w:val="15"/>
                <w:szCs w:val="15"/>
              </w:rPr>
              <w:t xml:space="preserve">E. Same as D, but the lender may cancel if it sees a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adverse change'</w:t>
            </w:r>
          </w:p>
        </w:tc>
        <w:tc>
          <w:tcPr>
            <w:tcW w:type="pct" w:w="1400"/>
            <w:tcMar>
              <w:top w:type="dxa" w:w="50"/>
              <w:left w:type="dxa" w:w="110"/>
              <w:bottom w:type="dxa" w:w="50"/>
              <w:right w:type="dxa" w:w="110"/>
            </w:tcMar>
          </w:tcPr>
          <w:p>
            <w:pPr>
              <w:spacing w:before="28" w:after="28"/>
            </w:pPr>
            <w:r>
              <w:rPr>
                <w:sz w:val="15"/>
                <w:szCs w:val="15"/>
              </w:rPr>
              <w:t xml:space="preserve">0</w:t>
            </w:r>
          </w:p>
        </w:tc>
        <w:tc>
          <w:tcPr>
            <w:tcW w:type="pct" w:w="1400"/>
            <w:tcMar>
              <w:top w:type="dxa" w:w="50"/>
              <w:left w:type="dxa" w:w="110"/>
              <w:bottom w:type="dxa" w:w="50"/>
              <w:right w:type="dxa" w:w="110"/>
            </w:tcMar>
          </w:tcPr>
          <w:p>
            <w:pPr>
              <w:spacing w:before="28" w:after="28"/>
            </w:pPr>
            <w:r>
              <w:rPr>
                <w:sz w:val="15"/>
                <w:szCs w:val="15"/>
              </w:rPr>
              <w:t xml:space="preserve">3,000,000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   February   ·   material   ·   withholding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financing agreement   ·   اتفاقية تمويل مؤهلة   ·   short-term obligation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قصير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اتفاقية تمويل مؤهلة</w:t>
            </w:r>
          </w:p>
        </w:tc>
      </w:tr>
      <w:tr>
        <w:tc>
          <w:tcPr>
            <w:tcW w:type="pct" w:w="2600"/>
            <w:tcMar>
              <w:top w:type="dxa" w:w="50"/>
              <w:left w:type="dxa" w:w="110"/>
              <w:bottom w:type="dxa" w:w="50"/>
              <w:right w:type="dxa" w:w="110"/>
            </w:tcMar>
          </w:tcPr>
          <w:p>
            <w:pPr>
              <w:spacing w:before="26" w:after="26"/>
            </w:pPr>
            <w:r>
              <w:rPr>
                <w:color w:val="232733"/>
                <w:sz w:val="16"/>
                <w:szCs w:val="16"/>
              </w:rPr>
              <w:t xml:space="preserve">commercial paper</w:t>
            </w:r>
          </w:p>
        </w:tc>
        <w:tc>
          <w:tcPr>
            <w:tcW w:type="pct" w:w="2400"/>
            <w:tcMar>
              <w:top w:type="dxa" w:w="50"/>
              <w:left w:type="dxa" w:w="110"/>
              <w:bottom w:type="dxa" w:w="50"/>
              <w:right w:type="dxa" w:w="110"/>
            </w:tcMar>
          </w:tcPr>
          <w:p>
            <w:pPr>
              <w:spacing w:before="26" w:after="26"/>
            </w:pPr>
            <w:r>
              <w:rPr>
                <w:color w:val="232733"/>
                <w:sz w:val="16"/>
                <w:szCs w:val="16"/>
              </w:rPr>
              <w:t xml:space="preserve">الأوراق التجارية</w:t>
            </w:r>
          </w:p>
        </w:tc>
      </w:tr>
    </w:tbl>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Short-term debt expected to be refinanced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normally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refinance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qualifying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cancelled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subjective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exceed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It can actually refinance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short-term 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qualifying financing agreement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commercial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obligation is normally current. It may be shown as noncurrent only if the company intends to refinance it on a long-term basis and shows that it can. A qualifying agreement does not expire within one year, cannot be cancelled except for an objective violation, has no violation, and the lender can pay. An agreement that the lender may cancel for a 'material adverse change' does not qualify, because that clause is subjective. The noncurrent amount cannot exceed the amount refinanced or available. Debt repaid with current assets before the new financing is obtained stays current. Refinanced debt moves to noncurrent liabilities, never to equity, even when shares are issued.</w:t>
      </w:r>
    </w:p>
    <w:p>
      <w:pPr>
        <w:spacing w:before="20" w:after="20"/>
        <w:ind w:left="240" w:hanging="240"/>
      </w:pPr>
      <w:r>
        <w:rPr>
          <w:b/>
          <w:bCs/>
          <w:color w:val="353A7C"/>
          <w:sz w:val="15"/>
          <w:szCs w:val="15"/>
        </w:rPr>
        <w:t xml:space="preserve">Summary 2   </w:t>
      </w:r>
      <w:r>
        <w:rPr>
          <w:color w:val="6B7280"/>
          <w:sz w:val="15"/>
          <w:szCs w:val="15"/>
        </w:rPr>
        <w:t xml:space="preserve">Suppose Orontes has commercial paper of $3,000,000 due March 31, 2027, and intends to refinance it. Its 2026 statements are issued on March 1, 2027. Scenario A. Bonds issued on February 10 replace the paper: the whole $3,000,000 is noncurrent. Scenario C. Shares issued for $2,400,000: that amount is noncurrent and $600,000 stays current. Nothing moves to equity. Scenario D. A qualifying agreement for 80% of inventory of at least $3,125,000: $2,500,000 noncurrent, $500,000 current.</w:t>
      </w:r>
    </w:p>
    <w:p>
      <w:pPr>
        <w:spacing w:before="20" w:after="20"/>
        <w:ind w:left="240" w:hanging="240"/>
      </w:pPr>
      <w:r>
        <w:rPr>
          <w:b/>
          <w:bCs/>
          <w:color w:val="353A7C"/>
          <w:sz w:val="15"/>
          <w:szCs w:val="15"/>
        </w:rPr>
        <w:t xml:space="preserve">Summary 3   </w:t>
      </w:r>
      <w:r>
        <w:rPr>
          <w:color w:val="6B7280"/>
          <w:sz w:val="15"/>
          <w:szCs w:val="15"/>
        </w:rPr>
        <w:t xml:space="preserve">Repaid first, refinanced later: still current. Refinanced with shares: noncurrent liability up to the proceeds, not equity. A 'material adverse change' clause makes the agreement fail.</w:t>
      </w:r>
    </w:p>
    <w:p>
      <w:pPr>
        <w:sectPr>
          <w:headerReference w:type="default" r:id="rIdHdr1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IFRS and covenants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IAS 1 asks only one question: at the reporting date, does the company have a right to defer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at least twelve months?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agreed after the reporting date does not change the classification, even if it happens before the statements are issued.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C and D above, an IFRS company would show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paper as current. </w:t>
      </w:r>
      <w:r>
        <w:rPr>
          <w:sz w:val="19"/>
          <w:szCs w:val="19"/>
        </w:rPr>
        <w:t xml:space="preserve">Covenants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logic. </w:t>
      </w:r>
      <w:r>
        <w:rPr>
          <w:sz w:val="19"/>
          <w:szCs w:val="19"/>
        </w:rPr>
        <w:t xml:space="preserve">Under IFRS, only covenants that must be met on or before the reporting date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classification; future covenants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settlement   ·   affect   ·   Refinancing   ·   scenarios   ·   commercial   ·   disclosed   ·   follow   ·   January</w:t>
            </w:r>
          </w:p>
        </w:tc>
      </w:tr>
    </w:tbl>
    <w:p/>
    <w:p>
      <w:pPr>
        <w:spacing w:before="44" w:after="10"/>
      </w:pPr>
      <w:r>
        <w:rPr>
          <w:b/>
          <w:bCs/>
          <w:color w:val="353A7C"/>
          <w:sz w:val="18"/>
          <w:szCs w:val="18"/>
        </w:rPr>
        <w:t xml:space="preserve">Classification, covenants and warranty costs: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Consider only violations at the balance sheet date   ·   Noncurrent if the waiver lasts more than one year   ·   Can make the debt noncurrent   ·   Accrue if probable (likely) and estimable</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IAS 1 amendments 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covenants apply from January 1, 2024, and are testable now as IFRS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They confirm that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intention to refinance does not matter; only rights at the reporting date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contrasts   ·   Covenants   ·   classification   ·   management's</w:t>
            </w:r>
          </w:p>
        </w:tc>
      </w:tr>
    </w:tbl>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IFRS and covenants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settlement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Can make the debt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Refinancing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Noncurrent if the waiver lasts more than one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Consider only violations at the balance sheet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disclosed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 asks only one question: at the reporting date, does the company have a right to defer settlement for at least twelve months? Refinancing agreed after the reporting date does not change the classification, even if it happens before the statements are issued. In scenarios A, C and D above, an IFRS company would show the whole commercial paper as current. Covenants follow the same logic. Under IFRS, only covenants that must be met on or before the reporting date affect classification; future covenants are disclosed.</w:t>
      </w:r>
    </w:p>
    <w:p>
      <w:pPr>
        <w:spacing w:before="20" w:after="20"/>
        <w:ind w:left="240" w:hanging="240"/>
      </w:pPr>
      <w:r>
        <w:rPr>
          <w:b/>
          <w:bCs/>
          <w:color w:val="353A7C"/>
          <w:sz w:val="15"/>
          <w:szCs w:val="15"/>
        </w:rPr>
        <w:t xml:space="preserve">Summary 2   </w:t>
      </w:r>
      <w:r>
        <w:rPr>
          <w:color w:val="6B7280"/>
          <w:sz w:val="15"/>
          <w:szCs w:val="15"/>
        </w:rPr>
        <w:t xml:space="preserve">The IAS 1 amendments on classification and covenants apply from January 1, 2024, and are testable now as IFRS contrasts. They confirm that management's intention to refinance does not matter; only rights at the reporting date do.</w:t>
      </w:r>
    </w:p>
    <w:p>
      <w:pPr>
        <w:sectPr>
          <w:headerReference w:type="default" r:id="rIdHdr1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Warranties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warranty only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a product will work as agreed. </w:t>
      </w:r>
      <w:r>
        <w:rPr>
          <w:sz w:val="19"/>
          <w:szCs w:val="19"/>
        </w:rPr>
        <w:t xml:space="preserve">It is not a separate performance obligation. </w:t>
      </w:r>
      <w:r>
        <w:rPr>
          <w:sz w:val="19"/>
          <w:szCs w:val="19"/>
        </w:rPr>
        <w:t xml:space="preserve">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repair cost at the time of sale,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warranty expense and a warranty liability, and reduces the liability as repairs are made. </w:t>
      </w:r>
      <w:r>
        <w:rPr>
          <w:sz w:val="19"/>
          <w:szCs w:val="19"/>
        </w:rPr>
        <w:t xml:space="preserve">A service-type warranty gives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 extra service, such as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cover. </w:t>
      </w:r>
      <w:r>
        <w:rPr>
          <w:sz w:val="19"/>
          <w:szCs w:val="19"/>
        </w:rPr>
        <w:t xml:space="preserve">It is a separate performance obligation: part of the price is recorded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liability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revenue over the coverage period. </w:t>
      </w:r>
      <w:r>
        <w:rPr>
          <w:sz w:val="19"/>
          <w:szCs w:val="19"/>
        </w:rPr>
        <w:t xml:space="preserve">A warranty that customers can buy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always service-type. </w:t>
      </w:r>
      <w:r>
        <w:rPr>
          <w:sz w:val="19"/>
          <w:szCs w:val="19"/>
        </w:rPr>
        <w:t xml:space="preserve">Suppose Orontes sells 2,000 beverage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2026 for $3,000,000, with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assurance warranty. </w:t>
      </w:r>
      <w:r>
        <w:rPr>
          <w:sz w:val="19"/>
          <w:szCs w:val="19"/>
        </w:rPr>
        <w:t xml:space="preserve">It expects repairs to cost 2% of sales. </w:t>
      </w:r>
      <w:r>
        <w:rPr>
          <w:sz w:val="19"/>
          <w:szCs w:val="19"/>
        </w:rPr>
        <w:t xml:space="preserve">It also sells 400 three-year service plans for $120 each.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estimates   ·   dispensers   ·   customer   ·   recognized   ·   assurance-type   ·   performance   ·   separately   ·   promises   ·   extended   ·   records   ·   one-year</w:t>
            </w:r>
          </w:p>
        </w:tc>
      </w:tr>
    </w:tbl>
    <w:p/>
    <w:p>
      <w:pPr>
        <w:spacing w:before="44" w:after="10"/>
      </w:pPr>
      <w:r>
        <w:rPr>
          <w:b/>
          <w:bCs/>
          <w:color w:val="353A7C"/>
          <w:sz w:val="18"/>
          <w:szCs w:val="18"/>
        </w:rPr>
        <w:t xml:space="preserve">Suppose: Orontes's warranty entries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Assurance-type: at each sale   ·   Repairs made in 2026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Warranty traps</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Standard warranty: accrue the cost at the sale; do not defer revenue. </w:t>
      </w:r>
      <w:r>
        <w:rPr>
          <w:sz w:val="19"/>
          <w:szCs w:val="19"/>
        </w:rPr>
        <w:t xml:space="preserve">Extended plan sold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defer revenue; do not accrue a cost.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warranty costs in the year of the sale, not when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paid. </w:t>
      </w:r>
      <w:r>
        <w:rPr>
          <w:sz w:val="19"/>
          <w:szCs w:val="19"/>
        </w:rPr>
        <w:t xml:space="preserve">A liability or an IFRS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use warranty liability here.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warranty   ·   provision   ·   repairs   ·   Expense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Warranty traps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selected liabilities, December</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Accounts payable</w:t>
            </w:r>
          </w:p>
        </w:tc>
        <w:tc>
          <w:tcPr>
            <w:tcW w:type="pct" w:w="2600"/>
            <w:tcMar>
              <w:top w:type="dxa" w:w="50"/>
              <w:left w:type="dxa" w:w="110"/>
              <w:bottom w:type="dxa" w:w="50"/>
              <w:right w:type="dxa" w:w="110"/>
            </w:tcMar>
          </w:tcPr>
          <w:p>
            <w:pPr>
              <w:spacing w:before="28" w:after="28"/>
            </w:pPr>
            <w:r>
              <w:rPr>
                <w:sz w:val="15"/>
                <w:szCs w:val="15"/>
              </w:rPr>
              <w:t xml:space="preserve">450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Bank loan due April 30, 2028</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Note payable due in 2029 (from the Chapter 2 case)</w:t>
            </w:r>
          </w:p>
        </w:tc>
        <w:tc>
          <w:tcPr>
            <w:tcW w:type="pct" w:w="2600"/>
            <w:tcMar>
              <w:top w:type="dxa" w:w="50"/>
              <w:left w:type="dxa" w:w="110"/>
              <w:bottom w:type="dxa" w:w="50"/>
              <w:right w:type="dxa" w:w="110"/>
            </w:tcMar>
          </w:tcPr>
          <w:p>
            <w:pPr>
              <w:spacing w:before="28" w:after="28"/>
            </w:pPr>
            <w:r>
              <w:rPr>
                <w:sz w:val="15"/>
                <w:szCs w:val="15"/>
              </w:rPr>
              <w:t xml:space="preserve">1,500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60</w:t>
            </w:r>
          </w:p>
        </w:tc>
      </w:tr>
      <w:tr>
        <w:tc>
          <w:tcPr>
            <w:tcW w:type="pct" w:w="2400"/>
            <w:tcMar>
              <w:top w:type="dxa" w:w="50"/>
              <w:left w:type="dxa" w:w="110"/>
              <w:bottom w:type="dxa" w:w="50"/>
              <w:right w:type="dxa" w:w="110"/>
            </w:tcMar>
          </w:tcPr>
          <w:p>
            <w:pPr>
              <w:spacing w:before="28" w:after="28"/>
            </w:pPr>
            <w:r>
              <w:rPr>
                <w:sz w:val="15"/>
                <w:szCs w:val="15"/>
              </w:rPr>
              <w:t xml:space="preserve">Customer deposits for orders to be delivered in 2028</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Wages payable / income tax withheld / employer payroll taxes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On February 15, 2028, before the statements were issued on March 1, 2028, Barada signed a non-cancelable three-year agreement. The bank will</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2027 Barada began selling kitchen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with a one-year warranty that the product works as agreed. Sales were 1000; expected repairs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Barada also sold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priced three-year service plans for 36, all starting on January 1,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Deferred tax balances are not shown here; Chapter 13 covers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separately   ·   Warranty liability   ·   25 / 5 / 3</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Employer's social security</w:t>
            </w:r>
          </w:p>
        </w:tc>
        <w:tc>
          <w:tcPr>
            <w:tcW w:type="pct" w:w="2600"/>
            <w:tcMar>
              <w:top w:type="dxa" w:w="50"/>
              <w:left w:type="dxa" w:w="110"/>
              <w:bottom w:type="dxa" w:w="50"/>
              <w:right w:type="dxa" w:w="110"/>
            </w:tcMar>
          </w:tcPr>
          <w:p>
            <w:pPr>
              <w:spacing w:before="28" w:after="28"/>
            </w:pPr>
            <w:r>
              <w:rPr>
                <w:sz w:val="15"/>
                <w:szCs w:val="15"/>
              </w:rPr>
              <w:t xml:space="preserve">7% × 40,000 = 2,800 (payroll tax expense)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0"/>
            <w:tcMar>
              <w:top w:type="dxa" w:w="50"/>
              <w:left w:type="dxa" w:w="110"/>
              <w:bottom w:type="dxa" w:w="50"/>
              <w:right w:type="dxa" w:w="110"/>
            </w:tcMar>
          </w:tcPr>
          <w:p>
            <w:pPr>
              <w:spacing w:before="28" w:after="28"/>
            </w:pPr>
            <w:r>
              <w:rPr>
                <w:sz w:val="15"/>
                <w:szCs w:val="15"/>
              </w:rPr>
              <w:t xml:space="preserve">Sales revenue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Sales tax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21,000 − 20,000 = 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+ 2,800 + 2,800 = 9,600   ·   21,000 ÷ 1.05 = 20,000   ·   21,000 − 20,000 = 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Note payable due 2029</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tcMar>
              <w:top w:type="dxa" w:w="50"/>
              <w:left w:type="dxa" w:w="110"/>
              <w:bottom w:type="dxa" w:w="50"/>
              <w:right w:type="dxa" w:w="110"/>
            </w:tcMar>
          </w:tcPr>
          <w:p>
            <w:pPr>
              <w:spacing w:before="28" w:after="28"/>
            </w:pPr>
            <w:r>
              <w:rPr>
                <w:sz w:val="15"/>
                <w:szCs w:val="15"/>
              </w:rPr>
              <w:t xml:space="preserve">Warranty liability (M2)</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Service plans (M3)</w:t>
            </w:r>
          </w:p>
        </w:tc>
        <w:tc>
          <w:tcPr>
            <w:tcW w:type="pct" w:w="2600"/>
            <w:shd w:fill="FBFAF6" w:val="clear"/>
            <w:tcMar>
              <w:top w:type="dxa" w:w="50"/>
              <w:left w:type="dxa" w:w="110"/>
              <w:bottom w:type="dxa" w:w="50"/>
              <w:right w:type="dxa" w:w="110"/>
            </w:tcMar>
          </w:tcPr>
          <w:p>
            <w:pPr>
              <w:spacing w:before="28" w:after="28"/>
            </w:pPr>
            <w:r>
              <w:rPr>
                <w:sz w:val="15"/>
                <w:szCs w:val="15"/>
              </w:rPr>
              <w:t xml:space="preserve">Split between current and noncurrent</w:t>
            </w:r>
          </w:p>
        </w:tc>
      </w:tr>
      <w:tr>
        <w:tc>
          <w:tcPr>
            <w:tcW w:type="pct" w:w="2400"/>
            <w:tcMar>
              <w:top w:type="dxa" w:w="50"/>
              <w:left w:type="dxa" w:w="110"/>
              <w:bottom w:type="dxa" w:w="50"/>
              <w:right w:type="dxa" w:w="110"/>
            </w:tcMar>
          </w:tcPr>
          <w:p>
            <w:pPr>
              <w:spacing w:before="28" w:after="28"/>
            </w:pPr>
            <w:r>
              <w:rPr>
                <w:sz w:val="15"/>
                <w:szCs w:val="15"/>
              </w:rPr>
              <w:t xml:space="preserve">Customer deposits</w:t>
            </w:r>
          </w:p>
        </w:tc>
        <w:tc>
          <w:tcPr>
            <w:tcW w:type="pct" w:w="2600"/>
            <w:tcMar>
              <w:top w:type="dxa" w:w="50"/>
              <w:left w:type="dxa" w:w="110"/>
              <w:bottom w:type="dxa" w:w="50"/>
              <w:right w:type="dxa" w:w="110"/>
            </w:tcMar>
          </w:tcPr>
          <w:p>
            <w:pPr>
              <w:spacing w:before="28" w:after="28"/>
            </w:pPr>
            <w:r>
              <w:rPr>
                <w:sz w:val="15"/>
                <w:szCs w:val="15"/>
              </w:rPr>
              <w:t xml:space="preserve">Current liability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 between current and noncurrent   ·   21,000 ÷ 1.05 = 20,000   ·   Noncurrent liability   ·   Current liability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warranty liability   ·   assurance-type warranty   ·   service-type warranty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ضمان من نوع التأكيد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من نوع الخدمة</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الضمان</w:t>
            </w:r>
          </w:p>
        </w:tc>
      </w:tr>
    </w:tbl>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Warranties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assurance-type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promises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repairs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25 / 5 / 3</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extended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4,000 + 2,800 + 2,800 = 9,600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21,000 ÷ 1.05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Split between current and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Noncurrent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one-year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Repairs made in 2026</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assurance-type warranty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warranty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assurance-type warranty only promises that a product will work as agreed. It is not a separate performance obligation. The company estimates the repair cost at the time of sale, records warranty expense and a warranty liability, and reduces the liability as repairs are made. A service-type warranty gives the customer an extra service, such as extended cover. It is a separate performance obligation: part of the price is recorded as a contract liability and recognized as revenue over the coverage period. A warranty that customers can buy separately is always service-type. Suppose Orontes sells 2,000 beverage dispensers in 2026 for $3,000,000, with a one-year assurance warranty. It expects repairs to cost 2% of sales. It also sells 400 three-year service plans for $120 each.</w:t>
      </w:r>
    </w:p>
    <w:p>
      <w:pPr>
        <w:spacing w:before="20" w:after="20"/>
        <w:ind w:left="240" w:hanging="240"/>
      </w:pPr>
      <w:r>
        <w:rPr>
          <w:b/>
          <w:bCs/>
          <w:color w:val="353A7C"/>
          <w:sz w:val="15"/>
          <w:szCs w:val="15"/>
        </w:rPr>
        <w:t xml:space="preserve">Summary 2   </w:t>
      </w:r>
      <w:r>
        <w:rPr>
          <w:color w:val="6B7280"/>
          <w:sz w:val="15"/>
          <w:szCs w:val="15"/>
        </w:rPr>
        <w:t xml:space="preserve">Standard warranty: accrue the cost at the sale; do not defer revenue. Extended plan sold separately: defer revenue; do not accrue a cost. Expense warranty costs in the year of the sale, not when repairs are paid. A liability or an IFRS provision; use warranty liability here.</w:t>
      </w:r>
    </w:p>
    <w:p>
      <w:pPr>
        <w:sectPr>
          <w:headerReference w:type="default" r:id="rIdHdr1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Why book income and taxable income differ</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and permanent differences   ·   IFRS differences and disclosures   ·   Rate changes, valuation allowances, losses and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Financial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 U.S. GAAP and are prepared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Tax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tax law and are prepared for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two sets of rules have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goals, so taxable income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not the same as income before income taxes. </w:t>
      </w:r>
      <w:r>
        <w:rPr>
          <w:sz w:val="19"/>
          <w:szCs w:val="19"/>
        </w:rPr>
        <w:t xml:space="preserve">If a company simply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tax it paid, its tax expense would jump around when the rules timed items differently. </w:t>
      </w:r>
      <w:r>
        <w:rPr>
          <w:sz w:val="19"/>
          <w:szCs w:val="19"/>
        </w:rPr>
        <w:t xml:space="preserve">Interperiod tax allocation solves this. </w:t>
      </w:r>
      <w:r>
        <w:rPr>
          <w:sz w:val="19"/>
          <w:szCs w:val="19"/>
        </w:rPr>
        <w:t xml:space="preserve">The company recognizes the tax effects of transactions in the same periods as the transactions themselves, using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reported   ·   government   ·   returns   ·   statements   ·   usually   ·   periods   ·   investors   ·   different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income tax figures for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2025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3,958,800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Income tax expense (25% combined federal and state rate)</w:t>
            </w:r>
          </w:p>
        </w:tc>
        <w:tc>
          <w:tcPr>
            <w:tcW w:type="pct" w:w="2400"/>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889,700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tax expense (25% of the 400,000 increase in net taxable temporary differences)</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tax liability, January 1, 2025</w:t>
            </w:r>
          </w:p>
        </w:tc>
        <w:tc>
          <w:tcPr>
            <w:tcW w:type="pct" w:w="2400"/>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00"/>
            <w:tcMar>
              <w:top w:type="dxa" w:w="50"/>
              <w:left w:type="dxa" w:w="110"/>
              <w:bottom w:type="dxa" w:w="50"/>
              <w:right w:type="dxa" w:w="110"/>
            </w:tcMar>
          </w:tcPr>
          <w:p>
            <w:pPr>
              <w:spacing w:before="28" w:after="28"/>
            </w:pPr>
            <w:r>
              <w:rPr>
                <w:sz w:val="15"/>
                <w:szCs w:val="15"/>
              </w:rPr>
              <w:t xml:space="preserve">Deferred tax liability, December 31, 2025 (after the 375 tax effect of the OCI loss)</w:t>
            </w:r>
          </w:p>
        </w:tc>
        <w:tc>
          <w:tcPr>
            <w:tcW w:type="pct" w:w="2400"/>
            <w:tcMar>
              <w:top w:type="dxa" w:w="50"/>
              <w:left w:type="dxa" w:w="110"/>
              <w:bottom w:type="dxa" w:w="50"/>
              <w:right w:type="dxa" w:w="110"/>
            </w:tcMar>
          </w:tcPr>
          <w:p>
            <w:pPr>
              <w:spacing w:before="28" w:after="28"/>
            </w:pPr>
            <w:r>
              <w:rPr>
                <w:sz w:val="15"/>
                <w:szCs w:val="15"/>
              </w:rPr>
              <w:t xml:space="preserve">999,625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in cash (Chapter 5)   ·   Income before income taxes   ·   Current tax expense (taxes on 2025 taxable income)   ·   Deferred tax liability, January 1, 2025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deferred tax expense   ·   current tax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5"/>
        <w:gridCol w:w="47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taxable income</w:t>
            </w:r>
          </w:p>
        </w:tc>
        <w:tc>
          <w:tcPr>
            <w:tcW w:type="pct" w:w="2476"/>
            <w:tcMar>
              <w:top w:type="dxa" w:w="50"/>
              <w:left w:type="dxa" w:w="110"/>
              <w:bottom w:type="dxa" w:w="50"/>
              <w:right w:type="dxa" w:w="110"/>
            </w:tcMar>
          </w:tcPr>
          <w:p>
            <w:pPr>
              <w:spacing w:before="26" w:after="26"/>
            </w:pPr>
            <w:r>
              <w:rPr>
                <w:color w:val="232733"/>
                <w:sz w:val="16"/>
                <w:szCs w:val="16"/>
              </w:rPr>
              <w:t xml:space="preserve">الدخل الخاضع للضريبة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interperiod tax allocation</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توزيع الضريبة بين الفترات</w:t>
            </w:r>
          </w:p>
        </w:tc>
      </w:tr>
      <w:tr>
        <w:tc>
          <w:tcPr>
            <w:tcW w:type="pct" w:w="2524"/>
            <w:tcMar>
              <w:top w:type="dxa" w:w="50"/>
              <w:left w:type="dxa" w:w="110"/>
              <w:bottom w:type="dxa" w:w="50"/>
              <w:right w:type="dxa" w:w="110"/>
            </w:tcMar>
          </w:tcPr>
          <w:p>
            <w:pPr>
              <w:spacing w:before="26" w:after="26"/>
            </w:pPr>
            <w:r>
              <w:rPr>
                <w:color w:val="232733"/>
                <w:sz w:val="16"/>
                <w:szCs w:val="16"/>
              </w:rPr>
              <w:t xml:space="preserve">current tax expense</w:t>
            </w:r>
          </w:p>
        </w:tc>
        <w:tc>
          <w:tcPr>
            <w:tcW w:type="pct" w:w="2476"/>
            <w:tcMar>
              <w:top w:type="dxa" w:w="50"/>
              <w:left w:type="dxa" w:w="110"/>
              <w:bottom w:type="dxa" w:w="50"/>
              <w:right w:type="dxa" w:w="110"/>
            </w:tcMar>
          </w:tcPr>
          <w:p>
            <w:pPr>
              <w:spacing w:before="26" w:after="26"/>
            </w:pPr>
            <w:r>
              <w:rPr>
                <w:color w:val="232733"/>
                <w:sz w:val="16"/>
                <w:szCs w:val="16"/>
              </w:rPr>
              <w:t xml:space="preserve">مصروف الضريبة الجارية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مصروف الضريبة المؤجلة</w:t>
            </w:r>
          </w:p>
        </w:tc>
      </w:tr>
    </w:tbl>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Why book income and taxable income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Temporary and permanent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usually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Rate changes, valuation allowances, losses and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Current tax expense (taxes on 2025 taxable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 in cash (Chapter 5)</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government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deferred tax expense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Financial statements follow U.S. GAAP and are prepared for investors. Tax returns follow tax law and are prepared for the government. The two sets of rules have different goals, so taxable income is usually not the same as income before income taxes. If a company simply reported the tax it paid, its tax expense would jump around when the rules timed items differently. Interperiod tax allocation solves this. The company recognizes the tax effects of transactions in the same periods as the transactions themselves, using deferred taxes.</w:t>
      </w:r>
    </w:p>
    <w:p>
      <w:pPr>
        <w:sectPr>
          <w:headerReference w:type="default" r:id="rIdHdr1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Temporary and permanent differences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temporary difference arises when the tax basis of an asset 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differs from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amount on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w:t>
      </w:r>
      <w:r>
        <w:rPr>
          <w:sz w:val="19"/>
          <w:szCs w:val="19"/>
        </w:rPr>
        <w:t xml:space="preserve">It reverses in later years. </w:t>
      </w:r>
      <w:r>
        <w:rPr>
          <w:sz w:val="19"/>
          <w:szCs w:val="19"/>
        </w:rPr>
        <w:t xml:space="preserve">A taxable temporary difference will increase future taxable income;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temporary difference will reduce it. </w:t>
      </w:r>
      <w:r>
        <w:rPr>
          <w:sz w:val="19"/>
          <w:szCs w:val="19"/>
        </w:rPr>
        <w:t xml:space="preserve">A permanent difference never reverses. </w:t>
      </w:r>
      <w:r>
        <w:rPr>
          <w:sz w:val="19"/>
          <w:szCs w:val="19"/>
        </w:rPr>
        <w:t xml:space="preserve">The item is in book income but never in taxable income, or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municipal bond interest and fines are common examples. </w:t>
      </w:r>
      <w:r>
        <w:rPr>
          <w:sz w:val="19"/>
          <w:szCs w:val="19"/>
        </w:rPr>
        <w:t xml:space="preserve">Permanent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create no deferred tax; they only change the effective tax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Tax-exempt   ·   carrying   ·   increase   ·   reverse   ·   balance   ·   deductible   ·   differences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55"/>
        <w:gridCol w:w="26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Common temporary and permanent differences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435"/>
            <w:shd w:fill="353A7C" w:val="clear"/>
            <w:tcMar>
              <w:top w:type="dxa" w:w="50"/>
              <w:left w:type="dxa" w:w="110"/>
              <w:bottom w:type="dxa" w:w="50"/>
              <w:right w:type="dxa" w:w="110"/>
            </w:tcMar>
          </w:tcPr>
          <w:p>
            <w:pPr>
              <w:spacing w:before="30" w:after="30"/>
            </w:pPr>
            <w:r>
              <w:rPr>
                <w:b/>
                <w:bCs/>
                <w:color w:val="FFFFFF"/>
                <w:sz w:val="15"/>
                <w:szCs w:val="15"/>
              </w:rPr>
              <w:t xml:space="preserve">Type of difference</w:t>
            </w:r>
          </w:p>
        </w:tc>
        <w:tc>
          <w:tcPr>
            <w:tcW w:type="pct" w:w="1365"/>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00"/>
            <w:tcMar>
              <w:top w:type="dxa" w:w="50"/>
              <w:left w:type="dxa" w:w="110"/>
              <w:bottom w:type="dxa" w:w="50"/>
              <w:right w:type="dxa" w:w="110"/>
            </w:tcMar>
          </w:tcPr>
          <w:p>
            <w:pPr>
              <w:spacing w:before="28" w:after="28"/>
            </w:pPr>
            <w:r>
              <w:rPr>
                <w:sz w:val="15"/>
                <w:szCs w:val="15"/>
              </w:rPr>
              <w:t xml:space="preserve">Tax depreciation faster than book (bonus, MACRS)</w:t>
            </w:r>
          </w:p>
        </w:tc>
        <w:tc>
          <w:tcPr>
            <w:tcW w:type="pct" w:w="1435"/>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365"/>
            <w:tcMar>
              <w:top w:type="dxa" w:w="50"/>
              <w:left w:type="dxa" w:w="110"/>
              <w:bottom w:type="dxa" w:w="50"/>
              <w:right w:type="dxa" w:w="110"/>
            </w:tcMar>
          </w:tcPr>
          <w:p>
            <w:pPr>
              <w:spacing w:before="28" w:after="28"/>
            </w:pPr>
            <w:r>
              <w:rPr>
                <w:sz w:val="15"/>
                <w:szCs w:val="15"/>
              </w:rPr>
              <w:t xml:space="preserve">Deferred tax liability</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Installment sale: revenue now, taxed when cash is collected</w:t>
            </w:r>
          </w:p>
        </w:tc>
        <w:tc>
          <w:tcPr>
            <w:tcW w:type="pct" w:w="1435"/>
            <w:shd w:fill="FBFAF6" w:val="clear"/>
            <w:tcMar>
              <w:top w:type="dxa" w:w="50"/>
              <w:left w:type="dxa" w:w="110"/>
              <w:bottom w:type="dxa" w:w="50"/>
              <w:right w:type="dxa" w:w="110"/>
            </w:tcMar>
          </w:tcPr>
          <w:p>
            <w:pPr>
              <w:spacing w:before="28" w:after="28"/>
            </w:pPr>
            <w:r>
              <w:rPr>
                <w:sz w:val="15"/>
                <w:szCs w:val="15"/>
              </w:rPr>
              <w:t xml:space="preserve">Temporary, taxable</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tcMar>
              <w:top w:type="dxa" w:w="50"/>
              <w:left w:type="dxa" w:w="110"/>
              <w:bottom w:type="dxa" w:w="50"/>
              <w:right w:type="dxa" w:w="110"/>
            </w:tcMar>
          </w:tcPr>
          <w:p>
            <w:pPr>
              <w:spacing w:before="28" w:after="28"/>
            </w:pPr>
            <w:r>
              <w:rPr>
                <w:sz w:val="15"/>
                <w:szCs w:val="15"/>
              </w:rPr>
              <w:t xml:space="preserve">Warranty or litigation accrual, deductible when paid</w:t>
            </w:r>
          </w:p>
        </w:tc>
        <w:tc>
          <w:tcPr>
            <w:tcW w:type="pct" w:w="1435"/>
            <w:tcMar>
              <w:top w:type="dxa" w:w="50"/>
              <w:left w:type="dxa" w:w="110"/>
              <w:bottom w:type="dxa" w:w="50"/>
              <w:right w:type="dxa" w:w="110"/>
            </w:tcMar>
          </w:tcPr>
          <w:p>
            <w:pPr>
              <w:spacing w:before="28" w:after="28"/>
            </w:pPr>
            <w:r>
              <w:rPr>
                <w:sz w:val="15"/>
                <w:szCs w:val="15"/>
              </w:rPr>
              <w:t xml:space="preserve">Temporary, deductible</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43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365"/>
            <w:shd w:fill="FBFAF6" w:val="clear"/>
            <w:tcMar>
              <w:top w:type="dxa" w:w="50"/>
              <w:left w:type="dxa" w:w="110"/>
              <w:bottom w:type="dxa" w:w="50"/>
              <w:right w:type="dxa" w:w="110"/>
            </w:tcMar>
          </w:tcPr>
          <w:p>
            <w:pPr>
              <w:spacing w:before="28" w:after="28"/>
            </w:pPr>
            <w:r>
              <w:rPr>
                <w:sz w:val="15"/>
                <w:szCs w:val="15"/>
              </w:rPr>
              <w:t xml:space="preserve">Deferred tax asset</w:t>
            </w:r>
          </w:p>
        </w:tc>
      </w:tr>
      <w:tr>
        <w:tc>
          <w:tcPr>
            <w:tcW w:type="pct" w:w="2200"/>
            <w:tcMar>
              <w:top w:type="dxa" w:w="50"/>
              <w:left w:type="dxa" w:w="110"/>
              <w:bottom w:type="dxa" w:w="50"/>
              <w:right w:type="dxa" w:w="110"/>
            </w:tcMar>
          </w:tcPr>
          <w:p>
            <w:pPr>
              <w:spacing w:before="28" w:after="28"/>
            </w:pPr>
            <w:r>
              <w:rPr>
                <w:sz w:val="15"/>
                <w:szCs w:val="15"/>
              </w:rPr>
              <w:t xml:space="preserve">Tax-exempt municipal bond interest</w:t>
            </w:r>
          </w:p>
        </w:tc>
        <w:tc>
          <w:tcPr>
            <w:tcW w:type="pct" w:w="1435"/>
            <w:tcMar>
              <w:top w:type="dxa" w:w="50"/>
              <w:left w:type="dxa" w:w="110"/>
              <w:bottom w:type="dxa" w:w="50"/>
              <w:right w:type="dxa" w:w="110"/>
            </w:tcMar>
          </w:tcPr>
          <w:p>
            <w:pPr>
              <w:spacing w:before="28" w:after="28"/>
            </w:pPr>
            <w:r>
              <w:rPr>
                <w:sz w:val="15"/>
                <w:szCs w:val="15"/>
              </w:rPr>
              <w:t xml:space="preserve">Permanent</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Fines and penalties</w:t>
            </w:r>
          </w:p>
        </w:tc>
        <w:tc>
          <w:tcPr>
            <w:tcW w:type="pct" w:w="1435"/>
            <w:shd w:fill="FBFAF6" w:val="clear"/>
            <w:tcMar>
              <w:top w:type="dxa" w:w="50"/>
              <w:left w:type="dxa" w:w="110"/>
              <w:bottom w:type="dxa" w:w="50"/>
              <w:right w:type="dxa" w:w="110"/>
            </w:tcMar>
          </w:tcPr>
          <w:p>
            <w:pPr>
              <w:spacing w:before="28" w:after="28"/>
            </w:pPr>
            <w:r>
              <w:rPr>
                <w:sz w:val="15"/>
                <w:szCs w:val="15"/>
              </w:rPr>
              <w:t xml:space="preserve">Permanent</w:t>
            </w:r>
          </w:p>
        </w:tc>
        <w:tc>
          <w:tcPr>
            <w:tcW w:type="pct" w:w="1365"/>
            <w:shd w:fill="FBFAF6" w:val="clear"/>
            <w:tcMar>
              <w:top w:type="dxa" w:w="50"/>
              <w:left w:type="dxa" w:w="110"/>
              <w:bottom w:type="dxa" w:w="50"/>
              <w:right w:type="dxa" w:w="110"/>
            </w:tcMar>
          </w:tcPr>
          <w:p>
            <w:pPr>
              <w:spacing w:before="28" w:after="28"/>
            </w:pPr>
            <w:r>
              <w:rPr>
                <w:sz w:val="15"/>
                <w:szCs w:val="15"/>
              </w:rPr>
              <w:t xml:space="preserve">None</w:t>
            </w:r>
          </w:p>
        </w:tc>
      </w:tr>
      <w:tr>
        <w:tc>
          <w:tcPr>
            <w:tcW w:type="pct" w:w="2200"/>
            <w:tcMar>
              <w:top w:type="dxa" w:w="50"/>
              <w:left w:type="dxa" w:w="110"/>
              <w:bottom w:type="dxa" w:w="50"/>
              <w:right w:type="dxa" w:w="110"/>
            </w:tcMar>
          </w:tcPr>
          <w:p>
            <w:pPr>
              <w:spacing w:before="28" w:after="28"/>
            </w:pPr>
            <w:r>
              <w:rPr>
                <w:sz w:val="15"/>
                <w:szCs w:val="15"/>
              </w:rPr>
              <w:t xml:space="preserve">Life insurance premiums when the company is the beneficiary</w:t>
            </w:r>
          </w:p>
        </w:tc>
        <w:tc>
          <w:tcPr>
            <w:tcW w:type="pct" w:w="1435"/>
            <w:tcMar>
              <w:top w:type="dxa" w:w="50"/>
              <w:left w:type="dxa" w:w="110"/>
              <w:bottom w:type="dxa" w:w="50"/>
              <w:right w:type="dxa" w:w="110"/>
            </w:tcMar>
          </w:tcPr>
          <w:p>
            <w:pPr>
              <w:spacing w:before="28" w:after="28"/>
            </w:pPr>
            <w:r>
              <w:rPr>
                <w:sz w:val="15"/>
                <w:szCs w:val="15"/>
              </w:rPr>
              <w:t xml:space="preserve">Permanent</w:t>
            </w:r>
          </w:p>
        </w:tc>
        <w:tc>
          <w:tcPr>
            <w:tcW w:type="pct" w:w="1365"/>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Deferred tax liability   ·   enacted tax rate   ·   Deferred tax asset   ·   Temporary, deductible   ·   Temporary, taxable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way does it go?</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Tax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faster than book: less tax now, more later: deferred tax liability. </w:t>
      </w:r>
      <w:r>
        <w:rPr>
          <w:sz w:val="19"/>
          <w:szCs w:val="19"/>
        </w:rPr>
        <w:t xml:space="preserve">Warranty accrued now,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when paid: more tax now, less later: deferred tax asset. </w:t>
      </w:r>
      <w:r>
        <w:rPr>
          <w:sz w:val="19"/>
          <w:szCs w:val="19"/>
        </w:rPr>
        <w:t xml:space="preserve">Fines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interest: permanent, no deferred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   depreciation   ·   deductible   ·   municipal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income   ·   tax basis   ·   deductible temporary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taxable temporary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مؤقت خاضع للضريبة</w:t>
            </w:r>
          </w:p>
        </w:tc>
      </w:tr>
      <w:tr>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 قابل للخصم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دائم</w:t>
            </w:r>
          </w:p>
        </w:tc>
      </w:tr>
      <w:tr>
        <w:tc>
          <w:tcPr>
            <w:tcW w:type="pct" w:w="2600"/>
            <w:tcMar>
              <w:top w:type="dxa" w:w="50"/>
              <w:left w:type="dxa" w:w="110"/>
              <w:bottom w:type="dxa" w:w="50"/>
              <w:right w:type="dxa" w:w="110"/>
            </w:tcMar>
          </w:tcPr>
          <w:p>
            <w:pPr>
              <w:spacing w:before="26" w:after="26"/>
            </w:pPr>
            <w:r>
              <w:rPr>
                <w:color w:val="232733"/>
                <w:sz w:val="16"/>
                <w:szCs w:val="16"/>
              </w:rPr>
              <w:t xml:space="preserve">tax basis</w:t>
            </w:r>
          </w:p>
        </w:tc>
        <w:tc>
          <w:tcPr>
            <w:tcW w:type="pct" w:w="2400"/>
            <w:tcMar>
              <w:top w:type="dxa" w:w="50"/>
              <w:left w:type="dxa" w:w="110"/>
              <w:bottom w:type="dxa" w:w="50"/>
              <w:right w:type="dxa" w:w="110"/>
            </w:tcMar>
          </w:tcPr>
          <w:p>
            <w:pPr>
              <w:spacing w:before="26" w:after="26"/>
            </w:pPr>
            <w:r>
              <w:rPr>
                <w:color w:val="232733"/>
                <w:sz w:val="16"/>
                <w:szCs w:val="16"/>
              </w:rPr>
              <w:t xml:space="preserve">الأساس الضريبي</w:t>
            </w:r>
          </w:p>
        </w:tc>
      </w:tr>
    </w:tbl>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Temporary and permanent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Deferred tax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Temporary, 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reverse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Tax-exempt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municipal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deductible temporary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Temporary, taxable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tax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Deferred tax liability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temporary difference arises when the tax basis of an asset or liability differs from its carrying amount on the balance sheet. It reverses in later years. A taxable temporary difference will increase future taxable income; a deductible temporary difference will reduce it. A permanent difference never reverses. The item is in book income but never in taxable income, or the reverse. Tax-exempt municipal bond interest and fines are common examples. Permanent differences create no deferred tax; they only change the effective tax rate.</w:t>
      </w:r>
    </w:p>
    <w:p>
      <w:pPr>
        <w:spacing w:before="20" w:after="20"/>
        <w:ind w:left="240" w:hanging="240"/>
      </w:pPr>
      <w:r>
        <w:rPr>
          <w:b/>
          <w:bCs/>
          <w:color w:val="353A7C"/>
          <w:sz w:val="15"/>
          <w:szCs w:val="15"/>
        </w:rPr>
        <w:t xml:space="preserve">Summary 2   </w:t>
      </w:r>
      <w:r>
        <w:rPr>
          <w:color w:val="6B7280"/>
          <w:sz w:val="15"/>
          <w:szCs w:val="15"/>
        </w:rPr>
        <w:t xml:space="preserve">Tax depreciation faster than book: less tax now, more later: deferred tax liability. Warranty accrued now, deductible when paid: more tax now, less later: deferred tax asset. Fines and municipal interest: permanent, no deferred tax.</w:t>
      </w:r>
    </w:p>
    <w:p>
      <w:pPr>
        <w:sectPr>
          <w:headerReference w:type="default" r:id="rIdHdr1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Measuring current and deferred taxes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U.S. GAAP uses the balance sheet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tax is taxable income times the tax rate. </w:t>
      </w:r>
      <w:r>
        <w:rPr>
          <w:sz w:val="19"/>
          <w:szCs w:val="19"/>
        </w:rPr>
        <w:t xml:space="preserve">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assets are the temporary differences times the enacted tax rate that will apply when they reverse. </w:t>
      </w:r>
      <w:r>
        <w:rPr>
          <w:sz w:val="19"/>
          <w:szCs w:val="19"/>
        </w:rPr>
        <w:t xml:space="preserve">Deferred tax expense is the change in the net deferred tax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during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liability   ·   approach   ·   because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2026 income tax</w:t>
            </w:r>
          </w:p>
        </w:tc>
      </w:tr>
    </w:tbl>
    <w:p/>
    <w:p>
      <w:pPr>
        <w:spacing w:before="44" w:after="14"/>
      </w:pPr>
      <w:r>
        <w:rPr>
          <w:b/>
          <w:bCs/>
          <w:color w:val="353A7C"/>
          <w:sz w:val="18"/>
          <w:szCs w:val="18"/>
        </w:rPr>
        <w:t xml:space="preserve">Summary 2</w:t>
      </w:r>
      <w:r>
        <w:rPr>
          <w:color w:val="6B7280"/>
          <w:sz w:val="16"/>
          <w:szCs w:val="16"/>
        </w:rPr>
        <w:t xml:space="preserve">      gaps 5–11</w:t>
      </w:r>
    </w:p>
    <w:p>
      <w:pPr>
        <w:spacing w:before="20" w:after="20" w:line="360" w:lineRule="auto"/>
        <w:ind w:left="200"/>
      </w:pPr>
      <w:r>
        <w:rPr>
          <w:sz w:val="19"/>
          <w:szCs w:val="19"/>
        </w:rPr>
        <w:t xml:space="preserve">Suppose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earns $2,000,000 before tax in 2026. </w:t>
      </w:r>
      <w:r>
        <w:rPr>
          <w:sz w:val="19"/>
          <w:szCs w:val="19"/>
        </w:rPr>
        <w:t xml:space="preserve">It removes the permanent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municipal interest of $20,000 and a fine of $10,000. </w:t>
      </w:r>
      <w:r>
        <w:rPr>
          <w:sz w:val="19"/>
          <w:szCs w:val="19"/>
        </w:rPr>
        <w:t xml:space="preserve">New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$900,000. </w:t>
      </w:r>
      <w:r>
        <w:rPr>
          <w:sz w:val="19"/>
          <w:szCs w:val="19"/>
        </w:rPr>
        <w:t xml:space="preserve">Tax law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100% bonus depreciation, but book depreciation is $300,000. </w:t>
      </w:r>
      <w:r>
        <w:rPr>
          <w:sz w:val="19"/>
          <w:szCs w:val="19"/>
        </w:rPr>
        <w:t xml:space="preserve">The difference of $600,000 reduces taxable income now: a taxable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difference.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warranty from,000, but only $22,000 of repairs were paid. </w:t>
      </w:r>
      <w:r>
        <w:rPr>
          <w:sz w:val="19"/>
          <w:szCs w:val="19"/>
        </w:rPr>
        <w:t xml:space="preserve">The $38,000 not yet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increases taxable income now. </w:t>
      </w:r>
      <w:r>
        <w:rPr>
          <w:sz w:val="19"/>
          <w:szCs w:val="19"/>
        </w:rPr>
        <w:t xml:space="preserve">Taxable income is $1,428,000, so current tax is $357,000.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dispenser   ·   permanent   ·   temporary   ·   equipment   ·   differences   ·   deductible   ·   allows   ·   Orontes</w:t>
            </w:r>
          </w:p>
        </w:tc>
      </w:tr>
    </w:tbl>
    <w:p/>
    <w:p>
      <w:pPr>
        <w:spacing w:before="44" w:after="10"/>
      </w:pPr>
      <w:r>
        <w:rPr>
          <w:b/>
          <w:bCs/>
          <w:color w:val="353A7C"/>
          <w:sz w:val="18"/>
          <w:szCs w:val="18"/>
        </w:rPr>
        <w:t xml:space="preserve">Suppose: Orontes's 2026 taxable income and current tax</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before income taxes (book)   ·   Current tax expense at 25%</w:t>
            </w:r>
          </w:p>
        </w:tc>
      </w:tr>
    </w:tbl>
    <w:p/>
    <w:p>
      <w:pPr>
        <w:spacing w:before="44" w:after="14"/>
      </w:pPr>
      <w:r>
        <w:rPr>
          <w:b/>
          <w:bCs/>
          <w:color w:val="353A7C"/>
          <w:sz w:val="18"/>
          <w:szCs w:val="18"/>
        </w:rPr>
        <w:t xml:space="preserve">Summary 3</w:t>
      </w:r>
      <w:r>
        <w:rPr>
          <w:color w:val="6B7280"/>
          <w:sz w:val="16"/>
          <w:szCs w:val="16"/>
        </w:rPr>
        <w:t xml:space="preserve">      gaps 13–17</w:t>
      </w:r>
    </w:p>
    <w:p>
      <w:pPr>
        <w:spacing w:before="20" w:after="20" w:line="360" w:lineRule="auto"/>
        <w:ind w:left="200"/>
      </w:pPr>
      <w:r>
        <w:rPr>
          <w:sz w:val="19"/>
          <w:szCs w:val="19"/>
        </w:rPr>
        <w:t xml:space="preserve">Deferred taxes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same differences.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creates a deferred tax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of $150,000, and the warranty a deferred tax asset of $9,500. </w:t>
      </w:r>
      <w:r>
        <w:rPr>
          <w:sz w:val="19"/>
          <w:szCs w:val="19"/>
        </w:rPr>
        <w:t xml:space="preserve">Deferred tax expense is $140,500, so total income tax expense is $497,500.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tax rate is total tax expense divided by pretax income: 24.875%. </w:t>
      </w:r>
      <w:r>
        <w:rPr>
          <w:sz w:val="19"/>
          <w:szCs w:val="19"/>
        </w:rPr>
        <w:t xml:space="preserve">It differs from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25% only because of the permanent differences.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warranty   ·   effective   ·   equipment   ·   statutory   ·   follow</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2026 income tax expense and rate reconciliation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 of pretax income</w:t>
            </w:r>
          </w:p>
        </w:tc>
      </w:tr>
      <w:tr>
        <w:tc>
          <w:tcPr>
            <w:tcW w:type="pct" w:w="2200"/>
            <w:tcMar>
              <w:top w:type="dxa" w:w="50"/>
              <w:left w:type="dxa" w:w="110"/>
              <w:bottom w:type="dxa" w:w="50"/>
              <w:right w:type="dxa" w:w="110"/>
            </w:tcMar>
          </w:tcPr>
          <w:p>
            <w:pPr>
              <w:spacing w:before="28" w:after="28"/>
            </w:pPr>
            <w:r>
              <w:rPr>
                <w:sz w:val="15"/>
                <w:szCs w:val="15"/>
              </w:rPr>
              <w:t xml:space="preserve">Current tax expense</w:t>
            </w:r>
          </w:p>
        </w:tc>
        <w:tc>
          <w:tcPr>
            <w:tcW w:type="pct" w:w="1400"/>
            <w:tcMar>
              <w:top w:type="dxa" w:w="50"/>
              <w:left w:type="dxa" w:w="110"/>
              <w:bottom w:type="dxa" w:w="50"/>
              <w:right w:type="dxa" w:w="110"/>
            </w:tcMar>
          </w:tcPr>
          <w:p>
            <w:pPr>
              <w:spacing w:before="28" w:after="28"/>
            </w:pPr>
            <w:r>
              <w:rPr>
                <w:sz w:val="15"/>
                <w:szCs w:val="15"/>
              </w:rPr>
              <w:t xml:space="preserve">357,000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25% × 600,000</w:t>
            </w:r>
          </w:p>
        </w:tc>
        <w:tc>
          <w:tcPr>
            <w:tcW w:type="pct" w:w="1400"/>
            <w:shd w:fill="FBFAF6" w:val="clear"/>
            <w:tcMar>
              <w:top w:type="dxa" w:w="50"/>
              <w:left w:type="dxa" w:w="110"/>
              <w:bottom w:type="dxa" w:w="50"/>
              <w:right w:type="dxa" w:w="110"/>
            </w:tcMar>
          </w:tcPr>
          <w:p>
            <w:pPr>
              <w:spacing w:before="28" w:after="28"/>
            </w:pPr>
            <w:r>
              <w:rPr>
                <w:sz w:val="15"/>
                <w:szCs w:val="15"/>
              </w:rPr>
              <w:t xml:space="preserve">150,000</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25% × 38,000</w:t>
            </w:r>
          </w:p>
        </w:tc>
        <w:tc>
          <w:tcPr>
            <w:tcW w:type="pct" w:w="1400"/>
            <w:tcMar>
              <w:top w:type="dxa" w:w="50"/>
              <w:left w:type="dxa" w:w="110"/>
              <w:bottom w:type="dxa" w:w="50"/>
              <w:right w:type="dxa" w:w="110"/>
            </w:tcMar>
          </w:tcPr>
          <w:p>
            <w:pPr>
              <w:spacing w:before="28" w:after="28"/>
            </w:pPr>
            <w:r>
              <w:rPr>
                <w:sz w:val="15"/>
                <w:szCs w:val="15"/>
              </w:rPr>
              <w:t xml:space="preserve">(9,500)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0"/>
            <w:shd w:fill="FBFAF6" w:val="clear"/>
            <w:tcMar>
              <w:top w:type="dxa" w:w="50"/>
              <w:left w:type="dxa" w:w="110"/>
              <w:bottom w:type="dxa" w:w="50"/>
              <w:right w:type="dxa" w:w="110"/>
            </w:tcMar>
          </w:tcPr>
          <w:p>
            <w:pPr>
              <w:spacing w:before="28" w:after="28"/>
            </w:pPr>
            <w:r>
              <w:rPr>
                <w:sz w:val="15"/>
                <w:szCs w:val="15"/>
              </w:rPr>
              <w:t xml:space="preserve">140,500</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0"/>
            <w:tcMar>
              <w:top w:type="dxa" w:w="50"/>
              <w:left w:type="dxa" w:w="110"/>
              <w:bottom w:type="dxa" w:w="50"/>
              <w:right w:type="dxa" w:w="110"/>
            </w:tcMar>
          </w:tcPr>
          <w:p>
            <w:pPr>
              <w:spacing w:before="28" w:after="28"/>
            </w:pPr>
            <w:r>
              <w:rPr>
                <w:sz w:val="15"/>
                <w:szCs w:val="15"/>
              </w:rPr>
              <w:t xml:space="preserve">497,500</w:t>
            </w:r>
          </w:p>
        </w:tc>
        <w:tc>
          <w:tcPr>
            <w:tcW w:type="pct" w:w="1400"/>
            <w:tcMar>
              <w:top w:type="dxa" w:w="50"/>
              <w:left w:type="dxa" w:w="110"/>
              <w:bottom w:type="dxa" w:w="50"/>
              <w:right w:type="dxa" w:w="110"/>
            </w:tcMar>
          </w:tcPr>
          <w:p>
            <w:pPr>
              <w:spacing w:before="28" w:after="28"/>
            </w:pPr>
            <w:r>
              <w:rPr>
                <w:sz w:val="15"/>
                <w:szCs w:val="15"/>
              </w:rPr>
              <w:t xml:space="preserve">24.875%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Rate reconciliation (ASU 2023-09 style)</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Tax at the statutory rate: 25% × 2,000,000</w:t>
            </w:r>
          </w:p>
        </w:tc>
        <w:tc>
          <w:tcPr>
            <w:tcW w:type="pct" w:w="1400"/>
            <w:tcMar>
              <w:top w:type="dxa" w:w="50"/>
              <w:left w:type="dxa" w:w="110"/>
              <w:bottom w:type="dxa" w:w="50"/>
              <w:right w:type="dxa" w:w="110"/>
            </w:tcMar>
          </w:tcPr>
          <w:p>
            <w:pPr>
              <w:spacing w:before="28" w:after="28"/>
            </w:pPr>
            <w:r>
              <w:rPr>
                <w:sz w:val="15"/>
                <w:szCs w:val="15"/>
              </w:rPr>
              <w:t xml:space="preserve">500,000</w:t>
            </w:r>
          </w:p>
        </w:tc>
        <w:tc>
          <w:tcPr>
            <w:tcW w:type="pct" w:w="1400"/>
            <w:tcMar>
              <w:top w:type="dxa" w:w="50"/>
              <w:left w:type="dxa" w:w="110"/>
              <w:bottom w:type="dxa" w:w="50"/>
              <w:right w:type="dxa" w:w="110"/>
            </w:tcMar>
          </w:tcPr>
          <w:p>
            <w:pPr>
              <w:spacing w:before="28" w:after="28"/>
            </w:pPr>
            <w:r>
              <w:rPr>
                <w:sz w:val="15"/>
                <w:szCs w:val="15"/>
              </w:rPr>
              <w:t xml:space="preserve">25.000%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Nontaxable or nondeductible items: municipal interest</w:t>
            </w:r>
          </w:p>
        </w:tc>
        <w:tc>
          <w:tcPr>
            <w:tcW w:type="pct" w:w="1400"/>
            <w:shd w:fill="FBFAF6" w:val="clear"/>
            <w:tcMar>
              <w:top w:type="dxa" w:w="50"/>
              <w:left w:type="dxa" w:w="110"/>
              <w:bottom w:type="dxa" w:w="50"/>
              <w:right w:type="dxa" w:w="110"/>
            </w:tcMar>
          </w:tcPr>
          <w:p>
            <w:pPr>
              <w:spacing w:before="28" w:after="28"/>
            </w:pPr>
            <w:r>
              <w:rPr>
                <w:sz w:val="15"/>
                <w:szCs w:val="15"/>
              </w:rPr>
              <w:t xml:space="preserve">(5,000)</w:t>
            </w:r>
          </w:p>
        </w:tc>
        <w:tc>
          <w:tcPr>
            <w:tcW w:type="pct" w:w="1400"/>
            <w:shd w:fill="FBFAF6" w:val="clear"/>
            <w:tcMar>
              <w:top w:type="dxa" w:w="50"/>
              <w:left w:type="dxa" w:w="110"/>
              <w:bottom w:type="dxa" w:w="50"/>
              <w:right w:type="dxa" w:w="110"/>
            </w:tcMar>
          </w:tcPr>
          <w:p>
            <w:pPr>
              <w:spacing w:before="28" w:after="28"/>
            </w:pPr>
            <w:r>
              <w:rPr>
                <w:sz w:val="15"/>
                <w:szCs w:val="15"/>
              </w:rPr>
              <w:t xml:space="preserve">-0.250%</w:t>
            </w:r>
          </w:p>
        </w:tc>
      </w:tr>
      <w:tr>
        <w:tc>
          <w:tcPr>
            <w:tcW w:type="pct" w:w="2200"/>
            <w:tcMar>
              <w:top w:type="dxa" w:w="50"/>
              <w:left w:type="dxa" w:w="110"/>
              <w:bottom w:type="dxa" w:w="50"/>
              <w:right w:type="dxa" w:w="110"/>
            </w:tcMar>
          </w:tcPr>
          <w:p>
            <w:pPr>
              <w:spacing w:before="28" w:after="28"/>
            </w:pPr>
            <w:r>
              <w:rPr>
                <w:sz w:val="15"/>
                <w:szCs w:val="15"/>
              </w:rPr>
              <w:t xml:space="preserve">Nontaxable or nondeductible items: fine</w:t>
            </w:r>
          </w:p>
        </w:tc>
        <w:tc>
          <w:tcPr>
            <w:tcW w:type="pct" w:w="1400"/>
            <w:tcMar>
              <w:top w:type="dxa" w:w="50"/>
              <w:left w:type="dxa" w:w="110"/>
              <w:bottom w:type="dxa" w:w="50"/>
              <w:right w:type="dxa" w:w="110"/>
            </w:tcMar>
          </w:tcPr>
          <w:p>
            <w:pPr>
              <w:spacing w:before="28" w:after="28"/>
            </w:pPr>
            <w:r>
              <w:rPr>
                <w:sz w:val="15"/>
                <w:szCs w:val="15"/>
              </w:rPr>
              <w:t xml:space="preserve">2,500</w:t>
            </w:r>
          </w:p>
        </w:tc>
        <w:tc>
          <w:tcPr>
            <w:tcW w:type="pct" w:w="1400"/>
            <w:tcMar>
              <w:top w:type="dxa" w:w="50"/>
              <w:left w:type="dxa" w:w="110"/>
              <w:bottom w:type="dxa" w:w="50"/>
              <w:right w:type="dxa" w:w="110"/>
            </w:tcMar>
          </w:tcPr>
          <w:p>
            <w:pPr>
              <w:spacing w:before="28" w:after="28"/>
            </w:pPr>
            <w:r>
              <w:rPr>
                <w:sz w:val="15"/>
                <w:szCs w:val="15"/>
              </w:rPr>
              <w:t xml:space="preserve">0.125%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Income tax expense and effective tax rate</w:t>
            </w:r>
          </w:p>
        </w:tc>
        <w:tc>
          <w:tcPr>
            <w:tcW w:type="pct" w:w="1400"/>
            <w:shd w:fill="FBFAF6" w:val="clear"/>
            <w:tcMar>
              <w:top w:type="dxa" w:w="50"/>
              <w:left w:type="dxa" w:w="110"/>
              <w:bottom w:type="dxa" w:w="50"/>
              <w:right w:type="dxa" w:w="110"/>
            </w:tcMar>
          </w:tcPr>
          <w:p>
            <w:pPr>
              <w:spacing w:before="28" w:after="28"/>
            </w:pPr>
            <w:r>
              <w:rPr>
                <w:sz w:val="15"/>
                <w:szCs w:val="15"/>
              </w:rPr>
              <w:t xml:space="preserve">497,500</w:t>
            </w:r>
          </w:p>
        </w:tc>
        <w:tc>
          <w:tcPr>
            <w:tcW w:type="pct" w:w="1400"/>
            <w:shd w:fill="FBFAF6" w:val="clear"/>
            <w:tcMar>
              <w:top w:type="dxa" w:w="50"/>
              <w:left w:type="dxa" w:w="110"/>
              <w:bottom w:type="dxa" w:w="50"/>
              <w:right w:type="dxa" w:w="110"/>
            </w:tcMar>
          </w:tcPr>
          <w:p>
            <w:pPr>
              <w:spacing w:before="28" w:after="28"/>
            </w:pPr>
            <w:r>
              <w:rPr>
                <w:sz w:val="15"/>
                <w:szCs w:val="15"/>
              </w:rPr>
              <w:t xml:space="preserve">24.875%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expense   ·   Nontaxable or nondeductible items   ·   Deferred tax liability created   ·   Deferred tax asset created   ·   Total income tax expense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the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the differences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00"/>
            <w:tcMar>
              <w:top w:type="dxa" w:w="50"/>
              <w:left w:type="dxa" w:w="110"/>
              <w:bottom w:type="dxa" w:w="50"/>
              <w:right w:type="dxa" w:w="110"/>
            </w:tcMar>
          </w:tcPr>
          <w:p>
            <w:pPr>
              <w:spacing w:before="28" w:after="28"/>
            </w:pPr>
            <w:r>
              <w:rPr>
                <w:sz w:val="15"/>
                <w:szCs w:val="15"/>
              </w:rPr>
              <w:t xml:space="preserve">Tax-exempt municipal bond interest</w:t>
            </w:r>
          </w:p>
        </w:tc>
        <w:tc>
          <w:tcPr>
            <w:tcW w:type="pct" w:w="1400"/>
            <w:tcMar>
              <w:top w:type="dxa" w:w="50"/>
              <w:left w:type="dxa" w:w="110"/>
              <w:bottom w:type="dxa" w:w="50"/>
              <w:right w:type="dxa" w:w="110"/>
            </w:tcMar>
          </w:tcPr>
          <w:p>
            <w:pPr>
              <w:spacing w:before="28" w:after="28"/>
            </w:pPr>
            <w:r>
              <w:rPr>
                <w:sz w:val="15"/>
                <w:szCs w:val="15"/>
              </w:rPr>
              <w:t xml:space="preserve">Permanent</w:t>
            </w:r>
          </w:p>
        </w:tc>
        <w:tc>
          <w:tcPr>
            <w:tcW w:type="pct" w:w="1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Tax depreciation faster than book depreciation</w:t>
            </w:r>
          </w:p>
        </w:tc>
        <w:tc>
          <w:tcPr>
            <w:tcW w:type="pct" w:w="14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400"/>
            <w:shd w:fill="FBFAF6" w:val="clear"/>
            <w:tcMar>
              <w:top w:type="dxa" w:w="50"/>
              <w:left w:type="dxa" w:w="110"/>
              <w:bottom w:type="dxa" w:w="50"/>
              <w:right w:type="dxa" w:w="110"/>
            </w:tcMar>
          </w:tcPr>
          <w:p>
            <w:pPr>
              <w:spacing w:before="28" w:after="28"/>
            </w:pPr>
            <w:r>
              <w:rPr>
                <w:sz w:val="15"/>
                <w:szCs w:val="15"/>
              </w:rPr>
              <w:t xml:space="preserve">DTL</w:t>
            </w:r>
          </w:p>
        </w:tc>
      </w:tr>
      <w:tr>
        <w:tc>
          <w:tcPr>
            <w:tcW w:type="pct" w:w="2200"/>
            <w:tcMar>
              <w:top w:type="dxa" w:w="50"/>
              <w:left w:type="dxa" w:w="110"/>
              <w:bottom w:type="dxa" w:w="50"/>
              <w:right w:type="dxa" w:w="110"/>
            </w:tcMar>
          </w:tcPr>
          <w:p>
            <w:pPr>
              <w:spacing w:before="28" w:after="28"/>
            </w:pPr>
            <w:r>
              <w:rPr>
                <w:sz w:val="15"/>
                <w:szCs w:val="15"/>
              </w:rPr>
              <w:t xml:space="preserve">Warranty expense accrued now, deducted for tax when repairs are paid</w:t>
            </w:r>
          </w:p>
        </w:tc>
        <w:tc>
          <w:tcPr>
            <w:tcW w:type="pct" w:w="1400"/>
            <w:tcMar>
              <w:top w:type="dxa" w:w="50"/>
              <w:left w:type="dxa" w:w="110"/>
              <w:bottom w:type="dxa" w:w="50"/>
              <w:right w:type="dxa" w:w="110"/>
            </w:tcMar>
          </w:tcPr>
          <w:p>
            <w:pPr>
              <w:spacing w:before="28" w:after="28"/>
            </w:pPr>
            <w:r>
              <w:rPr>
                <w:sz w:val="15"/>
                <w:szCs w:val="15"/>
              </w:rPr>
              <w:t xml:space="preserve">________</w:t>
            </w:r>
          </w:p>
        </w:tc>
        <w:tc>
          <w:tcPr>
            <w:tcW w:type="pct" w:w="1400"/>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Fine for breaking an environmental law</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400"/>
            <w:tcMar>
              <w:top w:type="dxa" w:w="50"/>
              <w:left w:type="dxa" w:w="110"/>
              <w:bottom w:type="dxa" w:w="50"/>
              <w:right w:type="dxa" w:w="110"/>
            </w:tcMar>
          </w:tcPr>
          <w:p>
            <w:pPr>
              <w:spacing w:before="28" w:after="28"/>
            </w:pPr>
            <w:r>
              <w:rPr>
                <w:sz w:val="15"/>
                <w:szCs w:val="15"/>
              </w:rPr>
              <w:t xml:space="preserve">________</w:t>
            </w:r>
          </w:p>
        </w:tc>
        <w:tc>
          <w:tcPr>
            <w:tcW w:type="pct" w:w="1400"/>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Equity-method income, taxed only when dividends are received</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Taxable income   ·   Temporary, taxable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tax rate   ·   أصل ضريبي مؤجل   ·   enacted tax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ضريبي مؤجل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deferred tax asset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أصل ضريبي مؤجل</w:t>
            </w:r>
          </w:p>
        </w:tc>
      </w:tr>
      <w:tr>
        <w:tc>
          <w:tcPr>
            <w:tcW w:type="pct" w:w="2400"/>
            <w:tcMar>
              <w:top w:type="dxa" w:w="50"/>
              <w:left w:type="dxa" w:w="110"/>
              <w:bottom w:type="dxa" w:w="50"/>
              <w:right w:type="dxa" w:w="110"/>
            </w:tcMar>
          </w:tcPr>
          <w:p>
            <w:pPr>
              <w:spacing w:before="26" w:after="26"/>
            </w:pPr>
            <w:r>
              <w:rPr>
                <w:color w:val="232733"/>
                <w:sz w:val="16"/>
                <w:szCs w:val="16"/>
              </w:rPr>
              <w:t xml:space="preserve">enacted tax rate</w:t>
            </w:r>
          </w:p>
        </w:tc>
        <w:tc>
          <w:tcPr>
            <w:tcW w:type="pct" w:w="2600"/>
            <w:tcMar>
              <w:top w:type="dxa" w:w="50"/>
              <w:left w:type="dxa" w:w="110"/>
              <w:bottom w:type="dxa" w:w="50"/>
              <w:right w:type="dxa" w:w="110"/>
            </w:tcMar>
          </w:tcPr>
          <w:p>
            <w:pPr>
              <w:spacing w:before="26" w:after="26"/>
            </w:pPr>
            <w:r>
              <w:rPr>
                <w:color w:val="232733"/>
                <w:sz w:val="16"/>
                <w:szCs w:val="16"/>
              </w:rPr>
              <w:t xml:space="preserve">معدل الضريبة المُقر (المسنون)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tax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الضريبة الفعلي</w:t>
            </w:r>
          </w:p>
        </w:tc>
      </w:tr>
    </w:tbl>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Measuring current and deferred taxes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approach</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statutory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Deferred tax liability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Deferred tax asset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Deferred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Total income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temporary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Temporary, 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enacted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Current tax expense at 25%</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effective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follow</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uses the balance sheet approach. Current tax is taxable income times the tax rate. Deferred tax liabilities and assets are the temporary differences times the enacted tax rate that will apply when they reverse. Deferred tax expense is the change in the net deferred tax liability during the year.</w:t>
      </w:r>
    </w:p>
    <w:p>
      <w:pPr>
        <w:spacing w:before="20" w:after="20"/>
        <w:ind w:left="240" w:hanging="240"/>
      </w:pPr>
      <w:r>
        <w:rPr>
          <w:b/>
          <w:bCs/>
          <w:color w:val="353A7C"/>
          <w:sz w:val="15"/>
          <w:szCs w:val="15"/>
        </w:rPr>
        <w:t xml:space="preserve">Summary 2   </w:t>
      </w:r>
      <w:r>
        <w:rPr>
          <w:color w:val="6B7280"/>
          <w:sz w:val="15"/>
          <w:szCs w:val="15"/>
        </w:rPr>
        <w:t xml:space="preserve">Suppose Orontes earns $2,000,000 before tax in 2026. It removes the permanent differences: municipal interest of $20,000 and a fine of $10,000. New equipment costs $900,000. Tax law allows 100% bonus depreciation, but book depreciation is $300,000. The difference of $600,000 reduces taxable income now: a taxable temporary difference. The dispenser warranty from,000, but only $22,000 of repairs were paid. The $38,000 not yet deductible increases taxable income now. Taxable income is $1,428,000, so current tax is $357,000.</w:t>
      </w:r>
    </w:p>
    <w:p>
      <w:pPr>
        <w:spacing w:before="20" w:after="20"/>
        <w:ind w:left="240" w:hanging="240"/>
      </w:pPr>
      <w:r>
        <w:rPr>
          <w:b/>
          <w:bCs/>
          <w:color w:val="353A7C"/>
          <w:sz w:val="15"/>
          <w:szCs w:val="15"/>
        </w:rPr>
        <w:t xml:space="preserve">Summary 3   </w:t>
      </w:r>
      <w:r>
        <w:rPr>
          <w:color w:val="6B7280"/>
          <w:sz w:val="15"/>
          <w:szCs w:val="15"/>
        </w:rPr>
        <w:t xml:space="preserve">Deferred taxes follow from the same differences. The equipment creates a deferred tax liability of $150,000, and the warranty a deferred tax asset of $9,500. Deferred tax expense is $140,500, so total income tax expense is $497,500. The effective tax rate is total tax expense divided by pretax income: 24.875%. It differs from the statutory 25% only because of the permanent differences.</w:t>
      </w:r>
    </w:p>
    <w:p>
      <w:pPr>
        <w:sectPr>
          <w:headerReference w:type="default" r:id="rIdHdr1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Rate changes, valuation allowances, losses and presentation</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new tax law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rate,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deferred taxes at once. </w:t>
      </w:r>
      <w:r>
        <w:rPr>
          <w:sz w:val="19"/>
          <w:szCs w:val="19"/>
        </w:rPr>
        <w:t xml:space="preserve">The whole effect goes to income from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operations in the period that includes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date, even if the original item was in OCI. </w:t>
      </w:r>
      <w:r>
        <w:rPr>
          <w:sz w:val="19"/>
          <w:szCs w:val="19"/>
        </w:rPr>
        <w:t xml:space="preserve">For example, a U.S. tax law signed on July 4, 2025 changed several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rules; companies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effects in the quarter that included that date. </w:t>
      </w:r>
      <w:r>
        <w:rPr>
          <w:sz w:val="19"/>
          <w:szCs w:val="19"/>
        </w:rPr>
        <w:t xml:space="preserve">A deferred tax asset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if the company will have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taxable income to use it. </w:t>
      </w:r>
      <w:r>
        <w:rPr>
          <w:sz w:val="19"/>
          <w:szCs w:val="19"/>
        </w:rPr>
        <w:t xml:space="preserve">If it is more likely than not that some of the asset will not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records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allowance. </w:t>
      </w:r>
      <w:r>
        <w:rPr>
          <w:sz w:val="19"/>
          <w:szCs w:val="19"/>
        </w:rPr>
        <w:t xml:space="preserve">A tax loss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net operating loss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which is a deferred tax asset. </w:t>
      </w:r>
      <w:r>
        <w:rPr>
          <w:sz w:val="19"/>
          <w:szCs w:val="19"/>
        </w:rPr>
        <w:t xml:space="preserve">Under current U.S. federal law, most losses cannot be carried back. </w:t>
      </w:r>
      <w:r>
        <w:rPr>
          <w:sz w:val="19"/>
          <w:szCs w:val="19"/>
        </w:rPr>
        <w:t xml:space="preserve">They can be carried forward without a time limit, but they can reduce only 80% of taxable income in any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valuation   ·   deduction   ·   ignored   ·   remeasures   ·   recorded   ·   carryforward   ·   creates   ·   changes   ·   enough   ·   continuing   ·   useful   ·   enactment   ·   realized</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All deferred tax assets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are noncurrent. </w:t>
      </w:r>
      <w:r>
        <w:rPr>
          <w:sz w:val="19"/>
          <w:szCs w:val="19"/>
        </w:rPr>
        <w:t xml:space="preserve">Within one tax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they are offset and shown as one net amount. </w:t>
      </w:r>
      <w:r>
        <w:rPr>
          <w:sz w:val="19"/>
          <w:szCs w:val="19"/>
        </w:rPr>
        <w:t xml:space="preserve">Tax is also allocated within the period: Orontes's OCI loss was shown net of its $375 tax effect,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carry their own tax. </w:t>
      </w:r>
      <w:r>
        <w:rPr>
          <w:sz w:val="19"/>
          <w:szCs w:val="19"/>
        </w:rPr>
        <w:t xml:space="preserve">This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   includes   ·   liabilities   ·   jurisdiction   ·   discontinued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Rate and allowance traps</w:t>
            </w:r>
          </w:p>
        </w:tc>
      </w:tr>
    </w:tbl>
    <w:p/>
    <w:p>
      <w:pPr>
        <w:spacing w:before="44" w:after="14"/>
      </w:pPr>
      <w:r>
        <w:rPr>
          <w:b/>
          <w:bCs/>
          <w:color w:val="353A7C"/>
          <w:sz w:val="18"/>
          <w:szCs w:val="18"/>
        </w:rPr>
        <w:t xml:space="preserve">Summary 3</w:t>
      </w:r>
      <w:r>
        <w:rPr>
          <w:color w:val="6B7280"/>
          <w:sz w:val="16"/>
          <w:szCs w:val="16"/>
        </w:rPr>
        <w:t xml:space="preserve">      gaps 17–23</w:t>
      </w:r>
    </w:p>
    <w:p>
      <w:pPr>
        <w:spacing w:before="20" w:after="20" w:line="360" w:lineRule="auto"/>
        <w:ind w:left="200"/>
      </w:pPr>
      <w:r>
        <w:rPr>
          <w:sz w:val="19"/>
          <w:szCs w:val="19"/>
        </w:rPr>
        <w:t xml:space="preserve">Use enacted rates only; 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but unsigned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Record the full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a rate change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operations when the law is enacted. </w:t>
      </w:r>
      <w:r>
        <w:rPr>
          <w:sz w:val="19"/>
          <w:szCs w:val="19"/>
        </w:rPr>
        <w:t xml:space="preserve">Record the full DTA, then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allowance: do not record only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part. </w:t>
      </w:r>
      <w:r>
        <w:rPr>
          <w:sz w:val="19"/>
          <w:szCs w:val="19"/>
        </w:rPr>
        <w:t xml:space="preserve">An uncertain tax position 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only if it is more likely than not to be accepted by the tax authority. </w:t>
      </w:r>
      <w:r>
        <w:rPr>
          <w:sz w:val="19"/>
          <w:szCs w:val="19"/>
        </w:rPr>
        <w:t xml:space="preserve">The global minimum tax (Pillar Two) is treated as a current cost in the year it arises, with no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probable   ·   recognized   ·   ignored   ·   effect   ·   valuation   ·   Orontes's   ·   continuing   ·   announced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intraperiod tax allocation   ·   net operating loss carryforward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valuation allowance</w:t>
            </w:r>
          </w:p>
        </w:tc>
        <w:tc>
          <w:tcPr>
            <w:tcW w:type="pct" w:w="2400"/>
            <w:tcMar>
              <w:top w:type="dxa" w:w="50"/>
              <w:left w:type="dxa" w:w="110"/>
              <w:bottom w:type="dxa" w:w="50"/>
              <w:right w:type="dxa" w:w="110"/>
            </w:tcMar>
          </w:tcPr>
          <w:p>
            <w:pPr>
              <w:spacing w:before="26" w:after="26"/>
            </w:pPr>
            <w:r>
              <w:rPr>
                <w:color w:val="232733"/>
                <w:sz w:val="16"/>
                <w:szCs w:val="16"/>
              </w:rPr>
              <w:t xml:space="preserve">مخصص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operating loss carryforward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ترحيل صافي الخسارة التشغيلية</w:t>
            </w:r>
          </w:p>
        </w:tc>
      </w:tr>
      <w:tr>
        <w:tc>
          <w:tcPr>
            <w:tcW w:type="pct" w:w="2600"/>
            <w:tcMar>
              <w:top w:type="dxa" w:w="50"/>
              <w:left w:type="dxa" w:w="110"/>
              <w:bottom w:type="dxa" w:w="50"/>
              <w:right w:type="dxa" w:w="110"/>
            </w:tcMar>
          </w:tcPr>
          <w:p>
            <w:pPr>
              <w:spacing w:before="26" w:after="26"/>
            </w:pPr>
            <w:r>
              <w:rPr>
                <w:color w:val="232733"/>
                <w:sz w:val="16"/>
                <w:szCs w:val="16"/>
              </w:rPr>
              <w:t xml:space="preserve">uncertain tax position</w:t>
            </w:r>
          </w:p>
        </w:tc>
        <w:tc>
          <w:tcPr>
            <w:tcW w:type="pct" w:w="2400"/>
            <w:tcMar>
              <w:top w:type="dxa" w:w="50"/>
              <w:left w:type="dxa" w:w="110"/>
              <w:bottom w:type="dxa" w:w="50"/>
              <w:right w:type="dxa" w:w="110"/>
            </w:tcMar>
          </w:tcPr>
          <w:p>
            <w:pPr>
              <w:spacing w:before="26" w:after="26"/>
            </w:pPr>
            <w:r>
              <w:rPr>
                <w:color w:val="232733"/>
                <w:sz w:val="16"/>
                <w:szCs w:val="16"/>
              </w:rPr>
              <w:t xml:space="preserve">مركز ضريبي غير مؤكد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Rate changes, valuation allowances, losses and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intraperiod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enactment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announced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deduction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ignored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effect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useful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enough</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realized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probable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net operating loss carryforward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carryforward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intraperiod tax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new tax law changes the rate, the company remeasures its deferred taxes at once. The whole effect goes to income from continuing operations in the period that includes the enactment date, even if the original item was in OCI. For example, a U.S. tax law signed on July 4, 2025 changed several deduction rules; companies recorded the effects in the quarter that included that date. A deferred tax asset is useful only if the company will have enough taxable income to use it. If it is more likely than not that some of the asset will not be realized, the company records a valuation allowance. A tax loss creates a net operating loss carryforward, which is a deferred tax asset. Under current U.S. federal law, most losses cannot be carried back. They can be carried forward without a time limit, but they can reduce only 80% of taxable income in any year.</w:t>
      </w:r>
    </w:p>
    <w:p>
      <w:pPr>
        <w:spacing w:before="20" w:after="20"/>
        <w:ind w:left="240" w:hanging="240"/>
      </w:pPr>
      <w:r>
        <w:rPr>
          <w:b/>
          <w:bCs/>
          <w:color w:val="353A7C"/>
          <w:sz w:val="15"/>
          <w:szCs w:val="15"/>
        </w:rPr>
        <w:t xml:space="preserve">Summary 2   </w:t>
      </w:r>
      <w:r>
        <w:rPr>
          <w:color w:val="6B7280"/>
          <w:sz w:val="15"/>
          <w:szCs w:val="15"/>
        </w:rPr>
        <w:t xml:space="preserve">All deferred tax assets and liabilities are noncurrent. Within one tax jurisdiction they are offset and shown as one net amount. Tax is also allocated within the period: Orontes's OCI loss was shown net of its $375 tax effect, and discontinued operations carry their own tax. This is intraperiod tax allocation.</w:t>
      </w:r>
    </w:p>
    <w:p>
      <w:pPr>
        <w:spacing w:before="20" w:after="20"/>
        <w:ind w:left="240" w:hanging="240"/>
      </w:pPr>
      <w:r>
        <w:rPr>
          <w:b/>
          <w:bCs/>
          <w:color w:val="353A7C"/>
          <w:sz w:val="15"/>
          <w:szCs w:val="15"/>
        </w:rPr>
        <w:t xml:space="preserve">Summary 3   </w:t>
      </w:r>
      <w:r>
        <w:rPr>
          <w:color w:val="6B7280"/>
          <w:sz w:val="15"/>
          <w:szCs w:val="15"/>
        </w:rPr>
        <w:t xml:space="preserve">Use enacted rates only; an announced but unsigned rate is ignored. Record the full effect of a rate change in continuing operations when the law is enacted. Record the full DTA, then a valuation allowance: do not record only the probable part. An uncertain tax position is recognized only if it is more likely than not to be accepted by the tax authority. The global minimum tax (Pillar Two) is treated as a current cost in the year it arises, with no deferred taxes.</w:t>
      </w:r>
    </w:p>
    <w:p>
      <w:pPr>
        <w:sectPr>
          <w:headerReference w:type="default" r:id="rIdHdr1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IFRS differences and disclosures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biggest one for the exam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tax asset: IFRS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only the amount it is probable to use, while U.S. GAAP records the full asset and a separate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allowance.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deferred   ·   recognizes   ·   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72"/>
        <w:gridCol w:w="4032"/>
        <w:gridCol w:w="34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taxes: U.S. GAAP (ASC 740) and IFRS (IAS 12)</w:t>
            </w:r>
          </w:p>
        </w:tc>
      </w:tr>
      <w:tr>
        <w:tc>
          <w:tcPr>
            <w:tcW w:type="pct" w:w="1079"/>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100"/>
            <w:shd w:fill="353A7C" w:val="clear"/>
            <w:tcMar>
              <w:top w:type="dxa" w:w="50"/>
              <w:left w:type="dxa" w:w="110"/>
              <w:bottom w:type="dxa" w:w="50"/>
              <w:right w:type="dxa" w:w="110"/>
            </w:tcMar>
          </w:tcPr>
          <w:p>
            <w:pPr>
              <w:spacing w:before="30" w:after="30"/>
            </w:pPr>
            <w:r>
              <w:rPr>
                <w:b/>
                <w:bCs/>
                <w:color w:val="FFFFFF"/>
                <w:sz w:val="15"/>
                <w:szCs w:val="15"/>
              </w:rPr>
              <w:t xml:space="preserve">U.S. GAAP (ASC 740)</w:t>
            </w:r>
          </w:p>
        </w:tc>
        <w:tc>
          <w:tcPr>
            <w:tcW w:type="pct" w:w="1821"/>
            <w:shd w:fill="353A7C" w:val="clear"/>
            <w:tcMar>
              <w:top w:type="dxa" w:w="50"/>
              <w:left w:type="dxa" w:w="110"/>
              <w:bottom w:type="dxa" w:w="50"/>
              <w:right w:type="dxa" w:w="110"/>
            </w:tcMar>
          </w:tcPr>
          <w:p>
            <w:pPr>
              <w:spacing w:before="30" w:after="30"/>
            </w:pPr>
            <w:r>
              <w:rPr>
                <w:b/>
                <w:bCs/>
                <w:color w:val="FFFFFF"/>
                <w:sz w:val="15"/>
                <w:szCs w:val="15"/>
              </w:rPr>
              <w:t xml:space="preserve">IFRS (IAS 12)</w:t>
            </w:r>
          </w:p>
        </w:tc>
      </w:tr>
      <w:tr>
        <w:tc>
          <w:tcPr>
            <w:tcW w:type="pct" w:w="1079"/>
            <w:tcMar>
              <w:top w:type="dxa" w:w="50"/>
              <w:left w:type="dxa" w:w="110"/>
              <w:bottom w:type="dxa" w:w="50"/>
              <w:right w:type="dxa" w:w="110"/>
            </w:tcMar>
          </w:tcPr>
          <w:p>
            <w:pPr>
              <w:spacing w:before="28" w:after="28"/>
            </w:pPr>
            <w:r>
              <w:rPr>
                <w:sz w:val="15"/>
                <w:szCs w:val="15"/>
              </w:rPr>
              <w:t xml:space="preserve">Recognizing deferred tax assets</w:t>
            </w:r>
          </w:p>
        </w:tc>
        <w:tc>
          <w:tcPr>
            <w:tcW w:type="pct" w:w="2100"/>
            <w:tcMar>
              <w:top w:type="dxa" w:w="50"/>
              <w:left w:type="dxa" w:w="110"/>
              <w:bottom w:type="dxa" w:w="50"/>
              <w:right w:type="dxa" w:w="110"/>
            </w:tcMar>
          </w:tcPr>
          <w:p>
            <w:pPr>
              <w:spacing w:before="28" w:after="28"/>
            </w:pPr>
            <w:r>
              <w:rPr>
                <w:sz w:val="15"/>
                <w:szCs w:val="15"/>
              </w:rPr>
              <w:t xml:space="preserve">Record the full DTA, then a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if realization is not more likely than not</w:t>
            </w:r>
          </w:p>
        </w:tc>
        <w:tc>
          <w:tcPr>
            <w:tcW w:type="pct" w:w="1821"/>
            <w:tcMar>
              <w:top w:type="dxa" w:w="50"/>
              <w:left w:type="dxa" w:w="110"/>
              <w:bottom w:type="dxa" w:w="50"/>
              <w:right w:type="dxa" w:w="110"/>
            </w:tcMar>
          </w:tcPr>
          <w:p>
            <w:pPr>
              <w:spacing w:before="28" w:after="28"/>
            </w:pPr>
            <w:r>
              <w:rPr>
                <w:sz w:val="15"/>
                <w:szCs w:val="15"/>
              </w:rPr>
              <w:t xml:space="preserve">Recognize only the amount for which taxable profit is probable</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Tax rate</w:t>
            </w:r>
          </w:p>
        </w:tc>
        <w:tc>
          <w:tcPr>
            <w:tcW w:type="pct" w:w="2100"/>
            <w:shd w:fill="FBFAF6" w:val="clear"/>
            <w:tcMar>
              <w:top w:type="dxa" w:w="50"/>
              <w:left w:type="dxa" w:w="110"/>
              <w:bottom w:type="dxa" w:w="50"/>
              <w:right w:type="dxa" w:w="110"/>
            </w:tcMar>
          </w:tcPr>
          <w:p>
            <w:pPr>
              <w:spacing w:before="28" w:after="28"/>
            </w:pPr>
            <w:r>
              <w:rPr>
                <w:sz w:val="15"/>
                <w:szCs w:val="15"/>
              </w:rPr>
              <w:t xml:space="preserve">Enacted rates only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079"/>
            <w:tcMar>
              <w:top w:type="dxa" w:w="50"/>
              <w:left w:type="dxa" w:w="110"/>
              <w:bottom w:type="dxa" w:w="50"/>
              <w:right w:type="dxa" w:w="110"/>
            </w:tcMar>
          </w:tcPr>
          <w:p>
            <w:pPr>
              <w:spacing w:before="28" w:after="28"/>
            </w:pPr>
            <w:r>
              <w:rPr>
                <w:sz w:val="15"/>
                <w:szCs w:val="15"/>
              </w:rPr>
              <w:t xml:space="preserve">Initial recognition exemption</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821"/>
            <w:tcMar>
              <w:top w:type="dxa" w:w="50"/>
              <w:left w:type="dxa" w:w="110"/>
              <w:bottom w:type="dxa" w:w="50"/>
              <w:right w:type="dxa" w:w="110"/>
            </w:tcMar>
          </w:tcPr>
          <w:p>
            <w:pPr>
              <w:spacing w:before="28" w:after="28"/>
            </w:pPr>
            <w:r>
              <w:rPr>
                <w:sz w:val="15"/>
                <w:szCs w:val="15"/>
              </w:rPr>
              <w:t xml:space="preserve">Yes, outside business combinations (narrowed in 2021)</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Uncertain tax positions</w:t>
            </w:r>
          </w:p>
        </w:tc>
        <w:tc>
          <w:tcPr>
            <w:tcW w:type="pct" w:w="2100"/>
            <w:shd w:fill="FBFAF6" w:val="clear"/>
            <w:tcMar>
              <w:top w:type="dxa" w:w="50"/>
              <w:left w:type="dxa" w:w="110"/>
              <w:bottom w:type="dxa" w:w="50"/>
              <w:right w:type="dxa" w:w="110"/>
            </w:tcMar>
          </w:tcPr>
          <w:p>
            <w:pPr>
              <w:spacing w:before="28" w:after="28"/>
            </w:pPr>
            <w:r>
              <w:rPr>
                <w:sz w:val="15"/>
                <w:szCs w:val="15"/>
              </w:rPr>
              <w:t xml:space="preserve">Two steps: more likely than not, then largest amount over 50% likely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079"/>
            <w:tcMar>
              <w:top w:type="dxa" w:w="50"/>
              <w:left w:type="dxa" w:w="110"/>
              <w:bottom w:type="dxa" w:w="50"/>
              <w:right w:type="dxa" w:w="110"/>
            </w:tcMar>
          </w:tcPr>
          <w:p>
            <w:pPr>
              <w:spacing w:before="28" w:after="28"/>
            </w:pPr>
            <w:r>
              <w:rPr>
                <w:sz w:val="15"/>
                <w:szCs w:val="15"/>
              </w:rPr>
              <w:t xml:space="preserve">Balance sheet classification</w:t>
            </w:r>
          </w:p>
        </w:tc>
        <w:tc>
          <w:tcPr>
            <w:tcW w:type="pct" w:w="2100"/>
            <w:tcMar>
              <w:top w:type="dxa" w:w="50"/>
              <w:left w:type="dxa" w:w="110"/>
              <w:bottom w:type="dxa" w:w="50"/>
              <w:right w:type="dxa" w:w="110"/>
            </w:tcMar>
          </w:tcPr>
          <w:p>
            <w:pPr>
              <w:spacing w:before="28" w:after="28"/>
            </w:pPr>
            <w:r>
              <w:rPr>
                <w:sz w:val="15"/>
                <w:szCs w:val="15"/>
              </w:rPr>
              <w:t xml:space="preserve">Noncurrent</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Pillar Two top-up tax</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821"/>
            <w:shd w:fill="FBFAF6" w:val="clear"/>
            <w:tcMar>
              <w:top w:type="dxa" w:w="50"/>
              <w:left w:type="dxa" w:w="110"/>
              <w:bottom w:type="dxa" w:w="50"/>
              <w:right w:type="dxa" w:w="110"/>
            </w:tcMar>
          </w:tcPr>
          <w:p>
            <w:pPr>
              <w:spacing w:before="28" w:after="28"/>
            </w:pPr>
            <w:r>
              <w:rPr>
                <w:sz w:val="15"/>
                <w:szCs w:val="15"/>
              </w:rPr>
              <w:t xml:space="preserve">Mandatory exception; no deferred tax</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in general   ·   Period cost; no deferred tax   ·   Mandatory exception; no deferred tax   ·   IFRIC 23: most likely amount or expected value   ·   valuation allowance   ·   Non-current   ·   Enacted or substantively enacted rates</w:t>
            </w:r>
          </w:p>
        </w:tc>
      </w:tr>
    </w:tbl>
    <w:p/>
    <w:p>
      <w:pPr>
        <w:spacing w:before="44" w:after="14"/>
      </w:pPr>
      <w:r>
        <w:rPr>
          <w:b/>
          <w:bCs/>
          <w:color w:val="353A7C"/>
          <w:sz w:val="18"/>
          <w:szCs w:val="18"/>
        </w:rPr>
        <w:t xml:space="preserve">Summary 2</w:t>
      </w:r>
      <w:r>
        <w:rPr>
          <w:color w:val="6B7280"/>
          <w:sz w:val="16"/>
          <w:szCs w:val="16"/>
        </w:rPr>
        <w:t xml:space="preserve">      gaps 10–16</w:t>
      </w:r>
    </w:p>
    <w:p>
      <w:pPr>
        <w:spacing w:before="20" w:after="20" w:line="360" w:lineRule="auto"/>
        <w:ind w:left="200"/>
      </w:pPr>
      <w:r>
        <w:rPr>
          <w:sz w:val="19"/>
          <w:szCs w:val="19"/>
        </w:rPr>
        <w:t xml:space="preserve">ASU 2023-09 is testable now for public companies. </w:t>
      </w:r>
      <w:r>
        <w:rPr>
          <w:sz w:val="19"/>
          <w:szCs w:val="19"/>
        </w:rPr>
        <w:t xml:space="preserve">They show a rate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dollars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eight standard categories, and they list separately any item of at least 5% of pretax income times the statutory rate. </w:t>
      </w:r>
      <w:r>
        <w:rPr>
          <w:sz w:val="19"/>
          <w:szCs w:val="19"/>
        </w:rPr>
        <w:t xml:space="preserve">They also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taxes paid by federal, state and foreign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For companies that are not public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entities, ASU 2023-09 applies to annual periods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after December 15, 2025. </w:t>
      </w:r>
      <w:r>
        <w:rPr>
          <w:sz w:val="19"/>
          <w:szCs w:val="19"/>
        </w:rPr>
        <w:t xml:space="preserve">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not testable before about January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entities   ·   version   ·   reconciliation   ·   business   ·   beginning   ·   jurisdictions   ·   disclose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'Provision for income taxes'</w:t>
            </w:r>
          </w:p>
        </w:tc>
      </w:tr>
    </w:tbl>
    <w:p/>
    <w:p>
      <w:pPr>
        <w:spacing w:before="44" w:after="14"/>
      </w:pPr>
      <w:r>
        <w:rPr>
          <w:b/>
          <w:bCs/>
          <w:color w:val="353A7C"/>
          <w:sz w:val="18"/>
          <w:szCs w:val="18"/>
        </w:rPr>
        <w:t xml:space="preserve">Summary 3</w:t>
      </w:r>
      <w:r>
        <w:rPr>
          <w:color w:val="6B7280"/>
          <w:sz w:val="16"/>
          <w:szCs w:val="16"/>
        </w:rPr>
        <w:t xml:space="preserve">      gaps 17–19</w:t>
      </w:r>
    </w:p>
    <w:p>
      <w:pPr>
        <w:spacing w:before="20" w:after="20" w:line="360" w:lineRule="auto"/>
        <w:ind w:left="200"/>
      </w:pPr>
      <w:r>
        <w:rPr>
          <w:sz w:val="19"/>
          <w:szCs w:val="19"/>
        </w:rPr>
        <w:t xml:space="preserve">U.S. companies often call income tax expense the provision for income taxes. </w:t>
      </w:r>
      <w:r>
        <w:rPr>
          <w:sz w:val="19"/>
          <w:szCs w:val="19"/>
        </w:rPr>
        <w:t xml:space="preserve">It is an expense, not an IAS 37 provision and not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allowance is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version   ·   valuation   ·   reserve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6"/>
        <w:gridCol w:w="477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'Provision for income taxes'</w:t>
            </w:r>
          </w:p>
        </w:tc>
      </w:tr>
      <w:tr>
        <w:tc>
          <w:tcPr>
            <w:tcW w:type="pct" w:w="2514"/>
            <w:shd w:fill="353A7C" w:val="clear"/>
            <w:tcMar>
              <w:top w:type="dxa" w:w="50"/>
              <w:left w:type="dxa" w:w="110"/>
              <w:bottom w:type="dxa" w:w="50"/>
              <w:right w:type="dxa" w:w="110"/>
            </w:tcMar>
          </w:tcPr>
          <w:p>
            <w:pPr>
              <w:spacing w:before="30" w:after="30"/>
            </w:pPr>
            <w:r>
              <w:rPr>
                <w:b/>
                <w:bCs/>
                <w:color w:val="FFFFFF"/>
                <w:sz w:val="15"/>
                <w:szCs w:val="15"/>
              </w:rPr>
              <w:t xml:space="preserve">Barada Wholesale, 2027 (whole USD)</w:t>
            </w:r>
          </w:p>
        </w:tc>
        <w:tc>
          <w:tcPr>
            <w:tcW w:type="pct" w:w="2486"/>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514"/>
            <w:tcMar>
              <w:top w:type="dxa" w:w="50"/>
              <w:left w:type="dxa" w:w="110"/>
              <w:bottom w:type="dxa" w:w="50"/>
              <w:right w:type="dxa" w:w="110"/>
            </w:tcMar>
          </w:tcPr>
          <w:p>
            <w:pPr>
              <w:spacing w:before="28" w:after="28"/>
            </w:pPr>
            <w:r>
              <w:rPr>
                <w:sz w:val="15"/>
                <w:szCs w:val="15"/>
              </w:rPr>
              <w:t xml:space="preserve">Income before income taxes, 2027</w:t>
            </w:r>
          </w:p>
        </w:tc>
        <w:tc>
          <w:tcPr>
            <w:tcW w:type="pct" w:w="2486"/>
            <w:tcMar>
              <w:top w:type="dxa" w:w="50"/>
              <w:left w:type="dxa" w:w="110"/>
              <w:bottom w:type="dxa" w:w="50"/>
              <w:right w:type="dxa" w:w="110"/>
            </w:tcMar>
          </w:tcPr>
          <w:p>
            <w:pPr>
              <w:spacing w:before="28" w:after="28"/>
            </w:pPr>
            <w:r>
              <w:rPr>
                <w:sz w:val="15"/>
                <w:szCs w:val="15"/>
              </w:rPr>
              <w:t xml:space="preserve">400,000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Tax-exempt municipal bond interest included in income</w:t>
            </w:r>
          </w:p>
        </w:tc>
        <w:tc>
          <w:tcPr>
            <w:tcW w:type="pct" w:w="2486"/>
            <w:shd w:fill="FBFAF6" w:val="clear"/>
            <w:tcMar>
              <w:top w:type="dxa" w:w="50"/>
              <w:left w:type="dxa" w:w="110"/>
              <w:bottom w:type="dxa" w:w="50"/>
              <w:right w:type="dxa" w:w="110"/>
            </w:tcMar>
          </w:tcPr>
          <w:p>
            <w:pPr>
              <w:spacing w:before="28" w:after="28"/>
            </w:pPr>
            <w:r>
              <w:rPr>
                <w:sz w:val="15"/>
                <w:szCs w:val="15"/>
              </w:rPr>
              <w:t xml:space="preserve">12,000</w:t>
            </w:r>
          </w:p>
        </w:tc>
      </w:tr>
      <w:tr>
        <w:tc>
          <w:tcPr>
            <w:tcW w:type="pct" w:w="2514"/>
            <w:tcMar>
              <w:top w:type="dxa" w:w="50"/>
              <w:left w:type="dxa" w:w="110"/>
              <w:bottom w:type="dxa" w:w="50"/>
              <w:right w:type="dxa" w:w="110"/>
            </w:tcMar>
          </w:tcPr>
          <w:p>
            <w:pPr>
              <w:spacing w:before="28" w:after="28"/>
            </w:pPr>
            <w:r>
              <w:rPr>
                <w:sz w:val="15"/>
                <w:szCs w:val="15"/>
              </w:rPr>
              <w:t xml:space="preserve">Fine for a late customs filing (not deductible)</w:t>
            </w:r>
          </w:p>
        </w:tc>
        <w:tc>
          <w:tcPr>
            <w:tcW w:type="pct" w:w="2486"/>
            <w:tcMar>
              <w:top w:type="dxa" w:w="50"/>
              <w:left w:type="dxa" w:w="110"/>
              <w:bottom w:type="dxa" w:w="50"/>
              <w:right w:type="dxa" w:w="110"/>
            </w:tcMar>
          </w:tcPr>
          <w:p>
            <w:pPr>
              <w:spacing w:before="28" w:after="28"/>
            </w:pPr>
            <w:r>
              <w:rPr>
                <w:sz w:val="15"/>
                <w:szCs w:val="15"/>
              </w:rPr>
              <w:t xml:space="preserve">6,000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 depreciation above book depreciation in 2027</w:t>
            </w:r>
          </w:p>
        </w:tc>
        <w:tc>
          <w:tcPr>
            <w:tcW w:type="pct" w:w="2486"/>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514"/>
            <w:tcMar>
              <w:top w:type="dxa" w:w="50"/>
              <w:left w:type="dxa" w:w="110"/>
              <w:bottom w:type="dxa" w:w="50"/>
              <w:right w:type="dxa" w:w="110"/>
            </w:tcMar>
          </w:tcPr>
          <w:p>
            <w:pPr>
              <w:spacing w:before="28" w:after="28"/>
            </w:pPr>
            <w:r>
              <w:rPr>
                <w:sz w:val="15"/>
                <w:szCs w:val="15"/>
              </w:rPr>
              <w:t xml:space="preserve">Warranty liability at December 31, 2027 (Chapter 12 case); repairs are deductible when paid</w:t>
            </w:r>
          </w:p>
        </w:tc>
        <w:tc>
          <w:tcPr>
            <w:tcW w:type="pct" w:w="2486"/>
            <w:tcMar>
              <w:top w:type="dxa" w:w="50"/>
              <w:left w:type="dxa" w:w="110"/>
              <w:bottom w:type="dxa" w:w="50"/>
              <w:right w:type="dxa" w:w="110"/>
            </w:tcMar>
          </w:tcPr>
          <w:p>
            <w:pPr>
              <w:spacing w:before="28" w:after="28"/>
            </w:pPr>
            <w:r>
              <w:rPr>
                <w:sz w:val="15"/>
                <w:szCs w:val="15"/>
              </w:rPr>
              <w:t xml:space="preserve">18,000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M1</w:t>
            </w:r>
          </w:p>
        </w:tc>
        <w:tc>
          <w:tcPr>
            <w:tcW w:type="pct" w:w="2486"/>
            <w:shd w:fill="FBFAF6" w:val="clear"/>
            <w:tcMar>
              <w:top w:type="dxa" w:w="50"/>
              <w:left w:type="dxa" w:w="110"/>
              <w:bottom w:type="dxa" w:w="50"/>
              <w:right w:type="dxa" w:w="110"/>
            </w:tcMar>
          </w:tcPr>
          <w:p>
            <w:pPr>
              <w:spacing w:before="28" w:after="28"/>
            </w:pPr>
            <w:r>
              <w:rPr>
                <w:sz w:val="15"/>
                <w:szCs w:val="15"/>
              </w:rPr>
              <w:t xml:space="preserve">The enacted combined tax rate is 25% for 2027 and all later years.</w:t>
            </w:r>
          </w:p>
        </w:tc>
      </w:tr>
      <w:tr>
        <w:tc>
          <w:tcPr>
            <w:tcW w:type="pct" w:w="2514"/>
            <w:tcMar>
              <w:top w:type="dxa" w:w="50"/>
              <w:left w:type="dxa" w:w="110"/>
              <w:bottom w:type="dxa" w:w="50"/>
              <w:right w:type="dxa" w:w="110"/>
            </w:tcMar>
          </w:tcPr>
          <w:p>
            <w:pPr>
              <w:spacing w:before="28" w:after="28"/>
            </w:pPr>
            <w:r>
              <w:rPr>
                <w:sz w:val="15"/>
                <w:szCs w:val="15"/>
              </w:rPr>
              <w:t xml:space="preserve">M2</w:t>
            </w:r>
          </w:p>
        </w:tc>
        <w:tc>
          <w:tcPr>
            <w:tcW w:type="pct" w:w="2486"/>
            <w:tcMar>
              <w:top w:type="dxa" w:w="50"/>
              <w:left w:type="dxa" w:w="110"/>
              <w:bottom w:type="dxa" w:w="50"/>
              <w:right w:type="dxa" w:w="110"/>
            </w:tcMar>
          </w:tcPr>
          <w:p>
            <w:pPr>
              <w:spacing w:before="28" w:after="28"/>
            </w:pPr>
            <w:r>
              <w:rPr>
                <w:sz w:val="15"/>
                <w:szCs w:val="15"/>
              </w:rPr>
              <w:t xml:space="preserve">Barada had no temporary differences at January 1, 2027. All deferred taxes are in one tax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M3</w:t>
            </w:r>
          </w:p>
        </w:tc>
        <w:tc>
          <w:tcPr>
            <w:tcW w:type="pct" w:w="2486"/>
            <w:shd w:fill="FBFAF6" w:val="clear"/>
            <w:tcMar>
              <w:top w:type="dxa" w:w="50"/>
              <w:left w:type="dxa" w:w="110"/>
              <w:bottom w:type="dxa" w:w="50"/>
              <w:right w:type="dxa" w:w="110"/>
            </w:tcMar>
          </w:tcPr>
          <w:p>
            <w:pPr>
              <w:spacing w:before="28" w:after="28"/>
            </w:pPr>
            <w:r>
              <w:rPr>
                <w:sz w:val="15"/>
                <w:szCs w:val="15"/>
              </w:rPr>
              <w:t xml:space="preserve">Barada has been profitable for many years and expects to stay profitable.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jurisdiction   ·   profitable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Warranty expense accrued now</w:t>
            </w:r>
          </w:p>
        </w:tc>
        <w:tc>
          <w:tcPr>
            <w:tcW w:type="pct" w:w="2600"/>
            <w:tcMar>
              <w:top w:type="dxa" w:w="50"/>
              <w:left w:type="dxa" w:w="110"/>
              <w:bottom w:type="dxa" w:w="50"/>
              <w:right w:type="dxa" w:w="110"/>
            </w:tcMar>
          </w:tcPr>
          <w:p>
            <w:pPr>
              <w:spacing w:before="28" w:after="28"/>
            </w:pPr>
            <w:r>
              <w:rPr>
                <w:sz w:val="15"/>
                <w:szCs w:val="15"/>
              </w:rPr>
              <w:t xml:space="preserve">Temporary, deductible: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Fine for breaking the law</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tcMar>
              <w:top w:type="dxa" w:w="50"/>
              <w:left w:type="dxa" w:w="110"/>
              <w:bottom w:type="dxa" w:w="50"/>
              <w:right w:type="dxa" w:w="110"/>
            </w:tcMar>
          </w:tcPr>
          <w:p>
            <w:pPr>
              <w:spacing w:before="28" w:after="28"/>
            </w:pPr>
            <w:r>
              <w:rPr>
                <w:sz w:val="15"/>
                <w:szCs w:val="15"/>
              </w:rPr>
              <w:t xml:space="preserve">Rent received in advance</w:t>
            </w:r>
          </w:p>
        </w:tc>
        <w:tc>
          <w:tcPr>
            <w:tcW w:type="pct" w:w="2600"/>
            <w:tcMar>
              <w:top w:type="dxa" w:w="50"/>
              <w:left w:type="dxa" w:w="110"/>
              <w:bottom w:type="dxa" w:w="50"/>
              <w:right w:type="dxa" w:w="110"/>
            </w:tcMar>
          </w:tcPr>
          <w:p>
            <w:pPr>
              <w:spacing w:before="28" w:after="28"/>
            </w:pPr>
            <w:r>
              <w:rPr>
                <w:sz w:val="15"/>
                <w:szCs w:val="15"/>
              </w:rPr>
              <w:t xml:space="preserve">Temporary, deductible (taxed now, earned later):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taxable (taxed later): DTL   ·   Permanent: no deferred tax   ·   Barada Wholesale, 2027 (whole USD)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8"/>
        <w:gridCol w:w="498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5"/>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95"/>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5"/>
            <w:tcMar>
              <w:top w:type="dxa" w:w="50"/>
              <w:left w:type="dxa" w:w="110"/>
              <w:bottom w:type="dxa" w:w="50"/>
              <w:right w:type="dxa" w:w="110"/>
            </w:tcMar>
          </w:tcPr>
          <w:p>
            <w:pPr>
              <w:spacing w:before="28" w:after="28"/>
            </w:pPr>
            <w:r>
              <w:rPr>
                <w:sz w:val="15"/>
                <w:szCs w:val="15"/>
              </w:rPr>
              <w:t xml:space="preserve">Municipal bond interest</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Late-filing fine</w:t>
            </w:r>
          </w:p>
        </w:tc>
        <w:tc>
          <w:tcPr>
            <w:tcW w:type="pct" w:w="2595"/>
            <w:shd w:fill="FBFAF6" w:val="clear"/>
            <w:tcMar>
              <w:top w:type="dxa" w:w="50"/>
              <w:left w:type="dxa" w:w="110"/>
              <w:bottom w:type="dxa" w:w="50"/>
              <w:right w:type="dxa" w:w="110"/>
            </w:tcMar>
          </w:tcPr>
          <w:p>
            <w:pPr>
              <w:spacing w:before="28" w:after="28"/>
            </w:pPr>
            <w:r>
              <w:rPr>
                <w:sz w:val="15"/>
                <w:szCs w:val="15"/>
              </w:rPr>
              <w:t xml:space="preserve">Permanent difference</w:t>
            </w:r>
          </w:p>
        </w:tc>
      </w:tr>
      <w:tr>
        <w:tc>
          <w:tcPr>
            <w:tcW w:type="pct" w:w="2405"/>
            <w:tcMar>
              <w:top w:type="dxa" w:w="50"/>
              <w:left w:type="dxa" w:w="110"/>
              <w:bottom w:type="dxa" w:w="50"/>
              <w:right w:type="dxa" w:w="110"/>
            </w:tcMar>
          </w:tcPr>
          <w:p>
            <w:pPr>
              <w:spacing w:before="28" w:after="28"/>
            </w:pPr>
            <w:r>
              <w:rPr>
                <w:sz w:val="15"/>
                <w:szCs w:val="15"/>
              </w:rPr>
              <w:t xml:space="preserve">Tax depreciation above book</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Warranty liability</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5"/>
            <w:tcMar>
              <w:top w:type="dxa" w:w="50"/>
              <w:left w:type="dxa" w:w="110"/>
              <w:bottom w:type="dxa" w:w="50"/>
              <w:right w:type="dxa" w:w="110"/>
            </w:tcMar>
          </w:tcPr>
          <w:p>
            <w:pPr>
              <w:spacing w:before="28" w:after="28"/>
            </w:pPr>
            <w:r>
              <w:rPr>
                <w:sz w:val="15"/>
                <w:szCs w:val="15"/>
              </w:rPr>
              <w:t xml:space="preserve">Rent received in advance</w:t>
            </w:r>
          </w:p>
        </w:tc>
        <w:tc>
          <w:tcPr>
            <w:tcW w:type="pct" w:w="2595"/>
            <w:tcMar>
              <w:top w:type="dxa" w:w="50"/>
              <w:left w:type="dxa" w:w="110"/>
              <w:bottom w:type="dxa" w:w="50"/>
              <w:right w:type="dxa" w:w="110"/>
            </w:tcMar>
          </w:tcPr>
          <w:p>
            <w:pPr>
              <w:spacing w:before="28" w:after="28"/>
            </w:pPr>
            <w:r>
              <w:rPr>
                <w:sz w:val="15"/>
                <w:szCs w:val="15"/>
              </w:rPr>
              <w:t xml:space="preserve">Deductible temporary difference (DTA)</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temporary difference (DTL)   ·   Deductible temporary difference (DTA)   ·   Amount / details   ·   Permanent difference</w:t>
            </w:r>
          </w:p>
        </w:tc>
      </w:tr>
    </w:tbl>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IFRS differences and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deferred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valuation allowance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Enacted or substantively enacted rates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None in general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IFRIC 23: most likely amount or 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Permanent: no deferred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 cost; no deferred tax</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Temporary, taxable (taxed later):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Permanent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percentages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Taxable temporary difference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Deductible temporary difference (DTA)</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jurisdictions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biggest one for the exam is the deferred tax asset: IFRS recognizes only the amount it is probable to use, while U.S. GAAP records the full asset and a separate valuation allowance.</w:t>
      </w:r>
    </w:p>
    <w:p>
      <w:pPr>
        <w:spacing w:before="20" w:after="20"/>
        <w:ind w:left="240" w:hanging="240"/>
      </w:pPr>
      <w:r>
        <w:rPr>
          <w:b/>
          <w:bCs/>
          <w:color w:val="353A7C"/>
          <w:sz w:val="15"/>
          <w:szCs w:val="15"/>
        </w:rPr>
        <w:t xml:space="preserve">Summary 2   </w:t>
      </w:r>
      <w:r>
        <w:rPr>
          <w:color w:val="6B7280"/>
          <w:sz w:val="15"/>
          <w:szCs w:val="15"/>
        </w:rPr>
        <w:t xml:space="preserve">ASU 2023-09 is testable now for public companies. They show a rate reconciliation in dollars and percentages with eight standard categories, and they list separately any item of at least 5% of pretax income times the statutory rate. They also disclose income taxes paid by federal, state and foreign jurisdictions. For companies that are not public business entities, ASU 2023-09 applies to annual periods beginning after December 15, 2025. That version is not testable before about January 2027.</w:t>
      </w:r>
    </w:p>
    <w:p>
      <w:pPr>
        <w:spacing w:before="20" w:after="20"/>
        <w:ind w:left="240" w:hanging="240"/>
      </w:pPr>
      <w:r>
        <w:rPr>
          <w:b/>
          <w:bCs/>
          <w:color w:val="353A7C"/>
          <w:sz w:val="15"/>
          <w:szCs w:val="15"/>
        </w:rPr>
        <w:t xml:space="preserve">Summary 3   </w:t>
      </w:r>
      <w:r>
        <w:rPr>
          <w:color w:val="6B7280"/>
          <w:sz w:val="15"/>
          <w:szCs w:val="15"/>
        </w:rPr>
        <w:t xml:space="preserve">U.S. companies often call income tax expense the provision for income taxes. It is an expense, not an IAS 37 provision and not a reserve. The valuation allowance is a contra-asset, not a liability.</w:t>
      </w:r>
    </w:p>
    <w:p>
      <w:pPr>
        <w:sectPr>
          <w:headerReference w:type="default" r:id="rIdHdr1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What is a lease?</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Presentation   ·   What is a lease?   ·   Initial measurement   ·   operating lease</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lease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gives the right to control the use of an identified asset for a period of time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payment. </w:t>
      </w:r>
      <w:r>
        <w:rPr>
          <w:sz w:val="19"/>
          <w:szCs w:val="19"/>
        </w:rPr>
        <w:t xml:space="preserve">The lessee uses the asset;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provides it. </w:t>
      </w:r>
      <w:r>
        <w:rPr>
          <w:sz w:val="19"/>
          <w:szCs w:val="19"/>
        </w:rPr>
        <w:t xml:space="preserve">The asset must be identified,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must not have a real right to swap it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lessee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asset if it gets almost all of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benefits and decides how it is used. </w:t>
      </w:r>
      <w:r>
        <w:rPr>
          <w:sz w:val="19"/>
          <w:szCs w:val="19"/>
        </w:rPr>
        <w:t xml:space="preserve">The lease term is the period the lessee cannot cancel, plus any renewal periods it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certain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lessor   ·   exchange   ·   supplier   ·   contract   ·   periods   ·   another   ·   reasonably   ·   economic</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term</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lease</w:t>
            </w:r>
          </w:p>
        </w:tc>
        <w:tc>
          <w:tcPr>
            <w:tcW w:type="pct" w:w="2600"/>
            <w:tcMar>
              <w:top w:type="dxa" w:w="50"/>
              <w:left w:type="dxa" w:w="110"/>
              <w:bottom w:type="dxa" w:w="50"/>
              <w:right w:type="dxa" w:w="110"/>
            </w:tcMar>
          </w:tcPr>
          <w:p>
            <w:pPr>
              <w:spacing w:before="26" w:after="26"/>
            </w:pPr>
            <w:r>
              <w:rPr>
                <w:color w:val="232733"/>
                <w:sz w:val="16"/>
                <w:szCs w:val="16"/>
              </w:rPr>
              <w:t xml:space="preserve">عقد الإيجار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المستأجر</w:t>
            </w:r>
          </w:p>
        </w:tc>
      </w:tr>
      <w:tr>
        <w:tc>
          <w:tcPr>
            <w:tcW w:type="pct" w:w="2400"/>
            <w:tcMar>
              <w:top w:type="dxa" w:w="50"/>
              <w:left w:type="dxa" w:w="110"/>
              <w:bottom w:type="dxa" w:w="50"/>
              <w:right w:type="dxa" w:w="110"/>
            </w:tcMar>
          </w:tcPr>
          <w:p>
            <w:pPr>
              <w:spacing w:before="26" w:after="26"/>
            </w:pPr>
            <w:r>
              <w:rPr>
                <w:color w:val="232733"/>
                <w:sz w:val="16"/>
                <w:szCs w:val="16"/>
              </w:rPr>
              <w:t xml:space="preserve">lessor</w:t>
            </w:r>
          </w:p>
        </w:tc>
        <w:tc>
          <w:tcPr>
            <w:tcW w:type="pct" w:w="2600"/>
            <w:tcMar>
              <w:top w:type="dxa" w:w="50"/>
              <w:left w:type="dxa" w:w="110"/>
              <w:bottom w:type="dxa" w:w="50"/>
              <w:right w:type="dxa" w:w="110"/>
            </w:tcMar>
          </w:tcPr>
          <w:p>
            <w:pPr>
              <w:spacing w:before="26" w:after="26"/>
            </w:pPr>
            <w:r>
              <w:rPr>
                <w:color w:val="232733"/>
                <w:sz w:val="16"/>
                <w:szCs w:val="16"/>
              </w:rPr>
              <w:t xml:space="preserve">المؤجر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lease term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مدة عقد الإيجار</w:t>
            </w:r>
          </w:p>
        </w:tc>
      </w:tr>
    </w:tbl>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What is a lease?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is a lease?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Initial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economic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reasonably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lessor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lease 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lease is a contract that gives the right to control the use of an identified asset for a period of time in exchange for payment. The lessee uses the asset; the lessor provides it. The asset must be identified, and the supplier must not have a real right to swap it for another. The lessee controls the asset if it gets almost all of its economic benefits and decides how it is used. The lease term is the period the lessee cannot cancel, plus any renewal periods it is reasonably certain to use.</w:t>
      </w:r>
    </w:p>
    <w:p>
      <w:pPr>
        <w:sectPr>
          <w:headerReference w:type="default" r:id="rIdHdr1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Finance or operating? The five criteria</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classifies each lease at the start. </w:t>
      </w:r>
      <w:r>
        <w:rPr>
          <w:sz w:val="19"/>
          <w:szCs w:val="19"/>
        </w:rPr>
        <w:t xml:space="preserve">It is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lease if it meets any one of five criteria;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an operating lease. </w:t>
      </w:r>
      <w:r>
        <w:rPr>
          <w:sz w:val="19"/>
          <w:szCs w:val="19"/>
        </w:rPr>
        <w:t xml:space="preserve">Many companies use about 75% or more of economic life as a major part, and about 90% or more of fair value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otherwise   ·   finance   ·   lessee   ·   depends   ·   substantially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957"/>
        <w:gridCol w:w="241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classifying Orontes's two leases, January 1, 2026</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Criterion</w:t>
            </w:r>
          </w:p>
        </w:tc>
        <w:tc>
          <w:tcPr>
            <w:tcW w:type="pct" w:w="1540"/>
            <w:shd w:fill="353A7C" w:val="clear"/>
            <w:tcMar>
              <w:top w:type="dxa" w:w="50"/>
              <w:left w:type="dxa" w:w="110"/>
              <w:bottom w:type="dxa" w:w="50"/>
              <w:right w:type="dxa" w:w="110"/>
            </w:tcMar>
          </w:tcPr>
          <w:p>
            <w:pPr>
              <w:spacing w:before="30" w:after="30"/>
            </w:pPr>
            <w:r>
              <w:rPr>
                <w:b/>
                <w:bCs/>
                <w:color w:val="FFFFFF"/>
                <w:sz w:val="15"/>
                <w:szCs w:val="15"/>
              </w:rPr>
              <w:t xml:space="preserve">Warehouse (5 years, 100,000 a year)</w:t>
            </w:r>
          </w:p>
        </w:tc>
        <w:tc>
          <w:tcPr>
            <w:tcW w:type="pct" w:w="1260"/>
            <w:shd w:fill="353A7C" w:val="clear"/>
            <w:tcMar>
              <w:top w:type="dxa" w:w="50"/>
              <w:left w:type="dxa" w:w="110"/>
              <w:bottom w:type="dxa" w:w="50"/>
              <w:right w:type="dxa" w:w="110"/>
            </w:tcMar>
          </w:tcPr>
          <w:p>
            <w:pPr>
              <w:spacing w:before="30" w:after="30"/>
            </w:pPr>
            <w:r>
              <w:rPr>
                <w:b/>
                <w:bCs/>
                <w:color w:val="FFFFFF"/>
                <w:sz w:val="15"/>
                <w:szCs w:val="15"/>
              </w:rPr>
              <w:t xml:space="preserve">Olive press (4 years, 250,000 a year)</w:t>
            </w:r>
          </w:p>
        </w:tc>
      </w:tr>
      <w:tr>
        <w:tc>
          <w:tcPr>
            <w:tcW w:type="pct" w:w="2200"/>
            <w:tcMar>
              <w:top w:type="dxa" w:w="50"/>
              <w:left w:type="dxa" w:w="110"/>
              <w:bottom w:type="dxa" w:w="50"/>
              <w:right w:type="dxa" w:w="110"/>
            </w:tcMar>
          </w:tcPr>
          <w:p>
            <w:pPr>
              <w:spacing w:before="28" w:after="28"/>
            </w:pPr>
            <w:r>
              <w:rPr>
                <w:sz w:val="15"/>
                <w:szCs w:val="15"/>
              </w:rPr>
              <w:t xml:space="preserve">1. Ownership transfers</w:t>
            </w:r>
          </w:p>
        </w:tc>
        <w:tc>
          <w:tcPr>
            <w:tcW w:type="pct" w:w="1540"/>
            <w:tcMar>
              <w:top w:type="dxa" w:w="50"/>
              <w:left w:type="dxa" w:w="110"/>
              <w:bottom w:type="dxa" w:w="50"/>
              <w:right w:type="dxa" w:w="110"/>
            </w:tcMar>
          </w:tcPr>
          <w:p>
            <w:pPr>
              <w:spacing w:before="28" w:after="28"/>
            </w:pPr>
            <w:r>
              <w:rPr>
                <w:sz w:val="15"/>
                <w:szCs w:val="15"/>
              </w:rPr>
              <w:t xml:space="preserve">No</w:t>
            </w:r>
          </w:p>
        </w:tc>
        <w:tc>
          <w:tcPr>
            <w:tcW w:type="pct" w:w="1260"/>
            <w:tcMar>
              <w:top w:type="dxa" w:w="50"/>
              <w:left w:type="dxa" w:w="110"/>
              <w:bottom w:type="dxa" w:w="50"/>
              <w:right w:type="dxa" w:w="110"/>
            </w:tcMar>
          </w:tcPr>
          <w:p>
            <w:pPr>
              <w:spacing w:before="28" w:after="28"/>
            </w:pPr>
            <w:r>
              <w:rPr>
                <w:sz w:val="15"/>
                <w:szCs w:val="15"/>
              </w:rPr>
              <w:t xml:space="preserve">No</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2. Purchase option reasonably certain</w:t>
            </w:r>
          </w:p>
        </w:tc>
        <w:tc>
          <w:tcPr>
            <w:tcW w:type="pct" w:w="1540"/>
            <w:shd w:fill="FBFAF6" w:val="clear"/>
            <w:tcMar>
              <w:top w:type="dxa" w:w="50"/>
              <w:left w:type="dxa" w:w="110"/>
              <w:bottom w:type="dxa" w:w="50"/>
              <w:right w:type="dxa" w:w="110"/>
            </w:tcMar>
          </w:tcPr>
          <w:p>
            <w:pPr>
              <w:spacing w:before="28" w:after="28"/>
            </w:pPr>
            <w:r>
              <w:rPr>
                <w:sz w:val="15"/>
                <w:szCs w:val="15"/>
              </w:rPr>
              <w:t xml:space="preserve">No</w:t>
            </w:r>
          </w:p>
        </w:tc>
        <w:tc>
          <w:tcPr>
            <w:tcW w:type="pct" w:w="1260"/>
            <w:shd w:fill="FBFAF6" w:val="clear"/>
            <w:tcMar>
              <w:top w:type="dxa" w:w="50"/>
              <w:left w:type="dxa" w:w="110"/>
              <w:bottom w:type="dxa" w:w="50"/>
              <w:right w:type="dxa" w:w="110"/>
            </w:tcMar>
          </w:tcPr>
          <w:p>
            <w:pPr>
              <w:spacing w:before="28" w:after="28"/>
            </w:pPr>
            <w:r>
              <w:rPr>
                <w:sz w:val="15"/>
                <w:szCs w:val="15"/>
              </w:rPr>
              <w:t xml:space="preserve">No</w:t>
            </w:r>
          </w:p>
        </w:tc>
      </w:tr>
      <w:tr>
        <w:tc>
          <w:tcPr>
            <w:tcW w:type="pct" w:w="2200"/>
            <w:tcMar>
              <w:top w:type="dxa" w:w="50"/>
              <w:left w:type="dxa" w:w="110"/>
              <w:bottom w:type="dxa" w:w="50"/>
              <w:right w:type="dxa" w:w="110"/>
            </w:tcMar>
          </w:tcPr>
          <w:p>
            <w:pPr>
              <w:spacing w:before="28" w:after="28"/>
            </w:pPr>
            <w:r>
              <w:rPr>
                <w:sz w:val="15"/>
                <w:szCs w:val="15"/>
              </w:rPr>
              <w:t xml:space="preserve">3. Major part of economic life</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260"/>
            <w:tcMar>
              <w:top w:type="dxa" w:w="50"/>
              <w:left w:type="dxa" w:w="110"/>
              <w:bottom w:type="dxa" w:w="50"/>
              <w:right w:type="dxa" w:w="110"/>
            </w:tcMar>
          </w:tcPr>
          <w:p>
            <w:pPr>
              <w:spacing w:before="28" w:after="28"/>
            </w:pPr>
            <w:r>
              <w:rPr>
                <w:sz w:val="15"/>
                <w:szCs w:val="15"/>
              </w:rPr>
              <w:t xml:space="preserve">Yes: 4 of 5 years (80%)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4. PV ≥ substantially all of fair value</w:t>
            </w:r>
          </w:p>
        </w:tc>
        <w:tc>
          <w:tcPr>
            <w:tcW w:type="pct" w:w="1540"/>
            <w:shd w:fill="FBFAF6" w:val="clear"/>
            <w:tcMar>
              <w:top w:type="dxa" w:w="50"/>
              <w:left w:type="dxa" w:w="110"/>
              <w:bottom w:type="dxa" w:w="50"/>
              <w:right w:type="dxa" w:w="110"/>
            </w:tcMar>
          </w:tcPr>
          <w:p>
            <w:pPr>
              <w:spacing w:before="28" w:after="28"/>
            </w:pPr>
            <w:r>
              <w:rPr>
                <w:sz w:val="15"/>
                <w:szCs w:val="15"/>
              </w:rPr>
              <w:t xml:space="preserve">No: 421,236 of 1,500,000 (28%)</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tcMar>
              <w:top w:type="dxa" w:w="50"/>
              <w:left w:type="dxa" w:w="110"/>
              <w:bottom w:type="dxa" w:w="50"/>
              <w:right w:type="dxa" w:w="110"/>
            </w:tcMar>
          </w:tcPr>
          <w:p>
            <w:pPr>
              <w:spacing w:before="28" w:after="28"/>
            </w:pPr>
            <w:r>
              <w:rPr>
                <w:sz w:val="15"/>
                <w:szCs w:val="15"/>
              </w:rPr>
              <w:t xml:space="preserve">5. Specialized asset</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260"/>
            <w:tcMar>
              <w:top w:type="dxa" w:w="50"/>
              <w:left w:type="dxa" w:w="110"/>
              <w:bottom w:type="dxa" w:w="50"/>
              <w:right w:type="dxa" w:w="110"/>
            </w:tcMar>
          </w:tcPr>
          <w:p>
            <w:pPr>
              <w:spacing w:before="28" w:after="28"/>
            </w:pPr>
            <w:r>
              <w:rPr>
                <w:sz w:val="15"/>
                <w:szCs w:val="15"/>
              </w:rPr>
              <w:t xml:space="preserve">Yes: built for Orontes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Classification</w:t>
            </w:r>
          </w:p>
        </w:tc>
        <w:tc>
          <w:tcPr>
            <w:tcW w:type="pct" w:w="1540"/>
            <w:shd w:fill="FBFAF6" w:val="clear"/>
            <w:tcMar>
              <w:top w:type="dxa" w:w="50"/>
              <w:left w:type="dxa" w:w="110"/>
              <w:bottom w:type="dxa" w:w="50"/>
              <w:right w:type="dxa" w:w="110"/>
            </w:tcMar>
          </w:tcPr>
          <w:p>
            <w:pPr>
              <w:spacing w:before="28" w:after="28"/>
            </w:pPr>
            <w:r>
              <w:rPr>
                <w:sz w:val="15"/>
                <w:szCs w:val="15"/>
              </w:rPr>
              <w:t xml:space="preserve">Operating lease</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needed   ·   No: any company could use it   ·   Finance lease   ·   residual value guarantee   ·   No: 5 of 30 years (17%)</w:t>
            </w:r>
          </w:p>
        </w:tc>
      </w:tr>
    </w:tbl>
    <w:p/>
    <w:p>
      <w:pPr>
        <w:spacing w:before="20" w:after="20" w:line="360" w:lineRule="auto"/>
        <w:ind w:left="200"/>
      </w:pPr>
      <w:r>
        <w:rPr>
          <w:sz w:val="19"/>
          <w:szCs w:val="19"/>
        </w:rPr>
        <w:t xml:space="preserve">Under ASC 842, the class depends only on the five criteria.</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lease   ·   short-term lease   ·   operating lease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0"/>
        <w:gridCol w:w="48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4"/>
            <w:tcMar>
              <w:top w:type="dxa" w:w="50"/>
              <w:left w:type="dxa" w:w="110"/>
              <w:bottom w:type="dxa" w:w="50"/>
              <w:right w:type="dxa" w:w="110"/>
            </w:tcMar>
          </w:tcPr>
          <w:p>
            <w:pPr>
              <w:spacing w:before="26" w:after="26"/>
            </w:pPr>
            <w:r>
              <w:rPr>
                <w:color w:val="232733"/>
                <w:sz w:val="16"/>
                <w:szCs w:val="16"/>
              </w:rPr>
              <w:t xml:space="preserve">finance lease</w:t>
            </w:r>
          </w:p>
        </w:tc>
        <w:tc>
          <w:tcPr>
            <w:tcW w:type="pct" w:w="2516"/>
            <w:tcMar>
              <w:top w:type="dxa" w:w="50"/>
              <w:left w:type="dxa" w:w="110"/>
              <w:bottom w:type="dxa" w:w="50"/>
              <w:right w:type="dxa" w:w="110"/>
            </w:tcMar>
          </w:tcPr>
          <w:p>
            <w:pPr>
              <w:spacing w:before="26" w:after="26"/>
            </w:pPr>
            <w:r>
              <w:rPr>
                <w:color w:val="232733"/>
                <w:sz w:val="16"/>
                <w:szCs w:val="16"/>
              </w:rPr>
              <w:t xml:space="preserve">عقد إيجار تمويلي</w:t>
            </w:r>
          </w:p>
        </w:tc>
      </w:tr>
      <w:tr>
        <w:tc>
          <w:tcPr>
            <w:tcW w:type="pct" w:w="2484"/>
            <w:shd w:fill="FBFAF6" w:val="clear"/>
            <w:tcMar>
              <w:top w:type="dxa" w:w="50"/>
              <w:left w:type="dxa" w:w="110"/>
              <w:bottom w:type="dxa" w:w="50"/>
              <w:right w:type="dxa" w:w="110"/>
            </w:tcMar>
          </w:tcPr>
          <w:p>
            <w:pPr>
              <w:spacing w:before="26" w:after="26"/>
            </w:pPr>
            <w:r>
              <w:rPr>
                <w:color w:val="232733"/>
                <w:sz w:val="16"/>
                <w:szCs w:val="16"/>
              </w:rPr>
              <w:t xml:space="preserve">operating lease</w:t>
            </w:r>
          </w:p>
        </w:tc>
        <w:tc>
          <w:tcPr>
            <w:tcW w:type="pct" w:w="2516"/>
            <w:shd w:fill="FBFAF6" w:val="clear"/>
            <w:tcMar>
              <w:top w:type="dxa" w:w="50"/>
              <w:left w:type="dxa" w:w="110"/>
              <w:bottom w:type="dxa" w:w="50"/>
              <w:right w:type="dxa" w:w="110"/>
            </w:tcMar>
          </w:tcPr>
          <w:p>
            <w:pPr>
              <w:spacing w:before="26" w:after="26"/>
            </w:pPr>
            <w:r>
              <w:rPr>
                <w:color w:val="232733"/>
                <w:sz w:val="16"/>
                <w:szCs w:val="16"/>
              </w:rPr>
              <w:t xml:space="preserve">عقد إيجار تشغيلي</w:t>
            </w:r>
          </w:p>
        </w:tc>
      </w:tr>
    </w:tbl>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Finance or operating? The five criteria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Not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any company could use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 5 of 30 years (17%)</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lessee classifies each lease at the start. It is a finance lease if it meets any one of five criteria; otherwise it is an operating lease. Many companies use about 75% or more of economic life as a major part, and about 90% or more of fair value as substantially all.</w:t>
      </w:r>
    </w:p>
    <w:p>
      <w:pPr>
        <w:sectPr>
          <w:headerReference w:type="default" r:id="rIdHdr1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Initial measurement</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For both types, the lessee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lease liability and a right-of-use asset at the start. </w:t>
      </w:r>
      <w:r>
        <w:rPr>
          <w:sz w:val="19"/>
          <w:szCs w:val="19"/>
        </w:rPr>
        <w:t xml:space="preserve">The liability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value of the lease payments not yet paid. </w:t>
      </w:r>
      <w:r>
        <w:rPr>
          <w:sz w:val="19"/>
          <w:szCs w:val="19"/>
        </w:rPr>
        <w:t xml:space="preserve">The discount rate is the rate implicit in the lease if the lessee can find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the lessee's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borrowing rate. </w:t>
      </w:r>
      <w:r>
        <w:rPr>
          <w:sz w:val="19"/>
          <w:szCs w:val="19"/>
        </w:rPr>
        <w:t xml:space="preserve">Lease payments include fixed payments, payments that depend on an index such as CPI, a purchase price the lessee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certain to pay, and amounts it expects to pay under a residual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right-of-use asset starts at the liability, plus 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payments and initial direct costs, minus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6%, the rate on its bank note.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payments are higher, because part of each payment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incentives   ·   reasonably   ·   incremental   ·   guarantee   ·   purchase   ·   interest   ·   undiscounted   ·   otherwise   ·   records   ·   Orontes   ·   present   ·   prepaid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initial measurement of Orontes's leases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January 1, 2026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Warehouse</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Olive press</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400"/>
            <w:tcMar>
              <w:top w:type="dxa" w:w="50"/>
              <w:left w:type="dxa" w:w="110"/>
              <w:bottom w:type="dxa" w:w="50"/>
              <w:right w:type="dxa" w:w="110"/>
            </w:tcMar>
          </w:tcPr>
          <w:p>
            <w:pPr>
              <w:spacing w:before="28" w:after="28"/>
            </w:pPr>
            <w:r>
              <w:rPr>
                <w:sz w:val="15"/>
                <w:szCs w:val="15"/>
              </w:rPr>
              <w:t xml:space="preserve">100,000</w:t>
            </w:r>
          </w:p>
        </w:tc>
        <w:tc>
          <w:tcPr>
            <w:tcW w:type="pct" w:w="1400"/>
            <w:tcMar>
              <w:top w:type="dxa" w:w="50"/>
              <w:left w:type="dxa" w:w="110"/>
              <w:bottom w:type="dxa" w:w="50"/>
              <w:right w:type="dxa" w:w="110"/>
            </w:tcMar>
          </w:tcPr>
          <w:p>
            <w:pPr>
              <w:spacing w:before="28" w:after="28"/>
            </w:pPr>
            <w:r>
              <w:rPr>
                <w:sz w:val="15"/>
                <w:szCs w:val="15"/>
              </w:rPr>
              <w:t xml:space="preserve">250,000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Number of payments</w:t>
            </w:r>
          </w:p>
        </w:tc>
        <w:tc>
          <w:tcPr>
            <w:tcW w:type="pct" w:w="1400"/>
            <w:shd w:fill="FBFAF6" w:val="clear"/>
            <w:tcMar>
              <w:top w:type="dxa" w:w="50"/>
              <w:left w:type="dxa" w:w="110"/>
              <w:bottom w:type="dxa" w:w="50"/>
              <w:right w:type="dxa" w:w="110"/>
            </w:tcMar>
          </w:tcPr>
          <w:p>
            <w:pPr>
              <w:spacing w:before="28" w:after="28"/>
            </w:pPr>
            <w:r>
              <w:rPr>
                <w:sz w:val="15"/>
                <w:szCs w:val="15"/>
              </w:rPr>
              <w:t xml:space="preserve">5</w:t>
            </w:r>
          </w:p>
        </w:tc>
        <w:tc>
          <w:tcPr>
            <w:tcW w:type="pct" w:w="1400"/>
            <w:shd w:fill="FBFAF6" w:val="clear"/>
            <w:tcMar>
              <w:top w:type="dxa" w:w="50"/>
              <w:left w:type="dxa" w:w="110"/>
              <w:bottom w:type="dxa" w:w="50"/>
              <w:right w:type="dxa" w:w="110"/>
            </w:tcMar>
          </w:tcPr>
          <w:p>
            <w:pPr>
              <w:spacing w:before="28" w:after="28"/>
            </w:pPr>
            <w:r>
              <w:rPr>
                <w:sz w:val="15"/>
                <w:szCs w:val="15"/>
              </w:rPr>
              <w:t xml:space="preserve">4</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0"/>
            <w:tcMar>
              <w:top w:type="dxa" w:w="50"/>
              <w:left w:type="dxa" w:w="110"/>
              <w:bottom w:type="dxa" w:w="50"/>
              <w:right w:type="dxa" w:w="110"/>
            </w:tcMar>
          </w:tcPr>
          <w:p>
            <w:pPr>
              <w:spacing w:before="28" w:after="28"/>
            </w:pPr>
            <w:r>
              <w:rPr>
                <w:sz w:val="15"/>
                <w:szCs w:val="15"/>
              </w:rPr>
              <w:t xml:space="preserve">6%</w:t>
            </w:r>
          </w:p>
        </w:tc>
        <w:tc>
          <w:tcPr>
            <w:tcW w:type="pct" w:w="1400"/>
            <w:tcMar>
              <w:top w:type="dxa" w:w="50"/>
              <w:left w:type="dxa" w:w="110"/>
              <w:bottom w:type="dxa" w:w="50"/>
              <w:right w:type="dxa" w:w="110"/>
            </w:tcMar>
          </w:tcPr>
          <w:p>
            <w:pPr>
              <w:spacing w:before="28" w:after="28"/>
            </w:pPr>
            <w:r>
              <w:rPr>
                <w:sz w:val="15"/>
                <w:szCs w:val="15"/>
              </w:rPr>
              <w:t xml:space="preserve">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shd w:fill="FBFAF6" w:val="clear"/>
            <w:tcMar>
              <w:top w:type="dxa" w:w="50"/>
              <w:left w:type="dxa" w:w="110"/>
              <w:bottom w:type="dxa" w:w="50"/>
              <w:right w:type="dxa" w:w="110"/>
            </w:tcMar>
          </w:tcPr>
          <w:p>
            <w:pPr>
              <w:spacing w:before="28" w:after="28"/>
            </w:pPr>
            <w:r>
              <w:rPr>
                <w:sz w:val="15"/>
                <w:szCs w:val="15"/>
              </w:rPr>
              <w:t xml:space="preserve">500,000</w:t>
            </w:r>
          </w:p>
        </w:tc>
        <w:tc>
          <w:tcPr>
            <w:tcW w:type="pct" w:w="1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200"/>
            <w:tcMar>
              <w:top w:type="dxa" w:w="50"/>
              <w:left w:type="dxa" w:w="110"/>
              <w:bottom w:type="dxa" w:w="50"/>
              <w:right w:type="dxa" w:w="110"/>
            </w:tcMar>
          </w:tcPr>
          <w:p>
            <w:pPr>
              <w:spacing w:before="28" w:after="28"/>
            </w:pPr>
            <w:r>
              <w:rPr>
                <w:sz w:val="15"/>
                <w:szCs w:val="15"/>
              </w:rPr>
              <w:t xml:space="preserve">Lease liability = present value of payments</w:t>
            </w:r>
          </w:p>
        </w:tc>
        <w:tc>
          <w:tcPr>
            <w:tcW w:type="pct" w:w="1400"/>
            <w:tcMar>
              <w:top w:type="dxa" w:w="50"/>
              <w:left w:type="dxa" w:w="110"/>
              <w:bottom w:type="dxa" w:w="50"/>
              <w:right w:type="dxa" w:w="110"/>
            </w:tcMar>
          </w:tcPr>
          <w:p>
            <w:pPr>
              <w:spacing w:before="28" w:after="28"/>
            </w:pPr>
            <w:r>
              <w:rPr>
                <w:sz w:val="15"/>
                <w:szCs w:val="15"/>
              </w:rPr>
              <w:t xml:space="preserve">421,236</w:t>
            </w:r>
          </w:p>
        </w:tc>
        <w:tc>
          <w:tcPr>
            <w:tcW w:type="pct" w:w="1400"/>
            <w:tcMar>
              <w:top w:type="dxa" w:w="50"/>
              <w:left w:type="dxa" w:w="110"/>
              <w:bottom w:type="dxa" w:w="50"/>
              <w:right w:type="dxa" w:w="110"/>
            </w:tcMar>
          </w:tcPr>
          <w:p>
            <w:pPr>
              <w:spacing w:before="28" w:after="28"/>
            </w:pPr>
            <w:r>
              <w:rPr>
                <w:sz w:val="15"/>
                <w:szCs w:val="15"/>
              </w:rPr>
              <w:t xml:space="preserve">866,276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Right-of-use asset (no prepayments, costs or incentives)</w:t>
            </w:r>
          </w:p>
        </w:tc>
        <w:tc>
          <w:tcPr>
            <w:tcW w:type="pct" w:w="1400"/>
            <w:shd w:fill="FBFAF6" w:val="clear"/>
            <w:tcMar>
              <w:top w:type="dxa" w:w="50"/>
              <w:left w:type="dxa" w:w="110"/>
              <w:bottom w:type="dxa" w:w="50"/>
              <w:right w:type="dxa" w:w="110"/>
            </w:tcMar>
          </w:tcPr>
          <w:p>
            <w:pPr>
              <w:spacing w:before="28" w:after="28"/>
            </w:pPr>
            <w:r>
              <w:rPr>
                <w:sz w:val="15"/>
                <w:szCs w:val="15"/>
              </w:rPr>
              <w:t xml:space="preserve">421,236</w:t>
            </w:r>
          </w:p>
        </w:tc>
        <w:tc>
          <w:tcPr>
            <w:tcW w:type="pct" w:w="1400"/>
            <w:shd w:fill="FBFAF6" w:val="clear"/>
            <w:tcMar>
              <w:top w:type="dxa" w:w="50"/>
              <w:left w:type="dxa" w:w="110"/>
              <w:bottom w:type="dxa" w:w="50"/>
              <w:right w:type="dxa" w:w="110"/>
            </w:tcMar>
          </w:tcPr>
          <w:p>
            <w:pPr>
              <w:spacing w:before="28" w:after="28"/>
            </w:pPr>
            <w:r>
              <w:rPr>
                <w:sz w:val="15"/>
                <w:szCs w:val="15"/>
              </w:rPr>
              <w:t xml:space="preserve">866,276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 rate (incremental borrowing rate)   ·   Annual payment (end of each year)   ·   Undiscounted payments   ·   short-term lease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lease   ·   lease liability   ·   right-of-use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right-of-use asset</w:t>
            </w:r>
          </w:p>
        </w:tc>
        <w:tc>
          <w:tcPr>
            <w:tcW w:type="pct" w:w="2400"/>
            <w:tcMar>
              <w:top w:type="dxa" w:w="50"/>
              <w:left w:type="dxa" w:w="110"/>
              <w:bottom w:type="dxa" w:w="50"/>
              <w:right w:type="dxa" w:w="110"/>
            </w:tcMar>
          </w:tcPr>
          <w:p>
            <w:pPr>
              <w:spacing w:before="26" w:after="26"/>
            </w:pPr>
            <w:r>
              <w:rPr>
                <w:color w:val="232733"/>
                <w:sz w:val="16"/>
                <w:szCs w:val="16"/>
              </w:rPr>
              <w:t xml:space="preserve">أصل حق الاستخدام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lease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التزام عقد الإيجار</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borrowing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الاقتراض الإضافي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residual value guarantee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القيمة المتبقية</w:t>
            </w:r>
          </w:p>
        </w:tc>
      </w:tr>
    </w:tbl>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Initial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Annual payment (end of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Discount rate (incremental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guarantee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Undiscounted 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prepaid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incentives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lease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both types, the lessee records a lease liability and a right-of-use asset at the start. The liability is the present value of the lease payments not yet paid. The discount rate is the rate implicit in the lease if the lessee can find it; otherwise it is the lessee's incremental borrowing rate. Lease payments include fixed payments, payments that depend on an index such as CPI, a purchase price the lessee is reasonably certain to pay, and amounts it expects to pay under a residual value guarantee. The right-of-use asset starts at the liability, plus any prepaid payments and initial direct costs, minus incentives received. Orontes uses 6%, the rate on its bank note. The undiscounted payments are higher, because part of each payment is interest.</w:t>
      </w:r>
    </w:p>
    <w:p>
      <w:pPr>
        <w:sectPr>
          <w:headerReference w:type="default" r:id="rIdHdr1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Subsequent measurement: two expense patterns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For a finance lease,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records interest on the liability and, separately, amortization of the right-of-use asset, usually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Interest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the start, when the liability is largest, so total expense falls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lessee   ·   highest   ·   straight-line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olive-press finance lease in 2026</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Interest: 6% × $866,276 = $51,977. </w:t>
      </w:r>
      <w:r>
        <w:rPr>
          <w:sz w:val="19"/>
          <w:szCs w:val="19"/>
        </w:rPr>
        <w:t xml:space="preserve">Payment of $250,000: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falls to $668,253.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$866,276 ÷ 4 years = $216,569, so the ROU asset is $649,707. </w:t>
      </w:r>
      <w:r>
        <w:rPr>
          <w:sz w:val="19"/>
          <w:szCs w:val="19"/>
        </w:rPr>
        <w:t xml:space="preserve">Total 2026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$268,546, which is $18,546 more than the payment.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   expense   ·   liability   ·   Amortization</w:t>
            </w:r>
          </w:p>
        </w:tc>
      </w:tr>
    </w:tbl>
    <w:p/>
    <w:p>
      <w:pPr>
        <w:spacing w:before="44" w:after="10"/>
      </w:pPr>
      <w:r>
        <w:rPr>
          <w:b/>
          <w:bCs/>
          <w:color w:val="353A7C"/>
          <w:sz w:val="18"/>
          <w:szCs w:val="18"/>
        </w:rPr>
        <w:t xml:space="preserve">Suppose: olive-press finance lease schedule, 2026–2029</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2027   ·   668,253   ·   2029</w:t>
            </w:r>
          </w:p>
        </w:tc>
      </w:tr>
    </w:tbl>
    <w:p/>
    <w:p>
      <w:pPr>
        <w:spacing w:before="44" w:after="14"/>
      </w:pPr>
      <w:r>
        <w:rPr>
          <w:b/>
          <w:bCs/>
          <w:color w:val="353A7C"/>
          <w:sz w:val="18"/>
          <w:szCs w:val="18"/>
        </w:rPr>
        <w:t xml:space="preserve">Summary 3</w:t>
      </w:r>
      <w:r>
        <w:rPr>
          <w:color w:val="6B7280"/>
          <w:sz w:val="16"/>
          <w:szCs w:val="16"/>
        </w:rPr>
        <w:t xml:space="preserve">      gaps 9–13</w:t>
      </w:r>
    </w:p>
    <w:p>
      <w:pPr>
        <w:spacing w:before="20" w:after="20" w:line="360" w:lineRule="auto"/>
        <w:ind w:left="200"/>
      </w:pPr>
      <w:r>
        <w:rPr>
          <w:sz w:val="19"/>
          <w:szCs w:val="19"/>
        </w:rPr>
        <w:t xml:space="preserve">For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records one lease cost, normally the same each year. </w:t>
      </w:r>
      <w:r>
        <w:rPr>
          <w:sz w:val="19"/>
          <w:szCs w:val="19"/>
        </w:rPr>
        <w:t xml:space="preserve">The liability still grows by interest and falls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right-of-use asset is simply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the lease cost and the interest, so the asset and the liability stay equal when there are no prepayments or incentives.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payments   ·   operating   ·   difference   ·   normally   ·   lessee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warehouse schedule</w:t>
            </w:r>
          </w:p>
        </w:tc>
      </w:tr>
    </w:tbl>
    <w:p/>
    <w:p>
      <w:pPr>
        <w:pageBreakBefore w:val="true"/>
        <w:spacing w:after="0"/>
      </w:pPr>
      <w:r>
        <w:rPr>
          <w:sz w:val="2"/>
        </w:rPr>
        <w:t xml:space="preserve"> </w:t>
      </w:r>
    </w:p>
    <w:p>
      <w:pPr>
        <w:spacing w:before="44" w:after="10"/>
      </w:pPr>
      <w:r>
        <w:rPr>
          <w:b/>
          <w:bCs/>
          <w:color w:val="353A7C"/>
          <w:sz w:val="18"/>
          <w:szCs w:val="18"/>
        </w:rPr>
        <w:t xml:space="preserve">Suppose: warehouse operating lease schedule (complete the blanks)</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   ·   2030   ·   2027</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Measurement traps</w:t>
            </w:r>
          </w:p>
        </w:tc>
      </w:tr>
    </w:tbl>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The liability is a present value, not the total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Each payment covers interest first; do not deduct the whole payment from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liability. </w:t>
      </w:r>
      <w:r>
        <w:rPr>
          <w:sz w:val="19"/>
          <w:szCs w:val="19"/>
        </w:rPr>
        <w:t xml:space="preserve">Operating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one straight-line cost; do not show interest and amortization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opening   ·   payments   ·   lease   ·   records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lease   ·   lessor   ·   lessee   ·   right-of-use asset</w:t>
            </w:r>
          </w:p>
        </w:tc>
      </w:tr>
    </w:tbl>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Subsequent measurement: two expense patterns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2027</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2027</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2029</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a finance lease, the lessee records interest on the liability and, separately, amortization of the right-of-use asset, usually straight-line. Interest is highest at the start, when the liability is largest, so total expense falls each year.</w:t>
      </w:r>
    </w:p>
    <w:p>
      <w:pPr>
        <w:spacing w:before="20" w:after="20"/>
        <w:ind w:left="240" w:hanging="240"/>
      </w:pPr>
      <w:r>
        <w:rPr>
          <w:b/>
          <w:bCs/>
          <w:color w:val="353A7C"/>
          <w:sz w:val="15"/>
          <w:szCs w:val="15"/>
        </w:rPr>
        <w:t xml:space="preserve">Summary 2   </w:t>
      </w:r>
      <w:r>
        <w:rPr>
          <w:color w:val="6B7280"/>
          <w:sz w:val="15"/>
          <w:szCs w:val="15"/>
        </w:rPr>
        <w:t xml:space="preserve">Interest: 6% × $866,276 = $51,977. Payment of $250,000: the liability falls to $668,253. Amortization: $866,276 ÷ 4 years = $216,569, so the ROU asset is $649,707. Total 2026 expense is $268,546, which is $18,546 more than the payment.</w:t>
      </w:r>
    </w:p>
    <w:p>
      <w:pPr>
        <w:spacing w:before="20" w:after="20"/>
        <w:ind w:left="240" w:hanging="240"/>
      </w:pPr>
      <w:r>
        <w:rPr>
          <w:b/>
          <w:bCs/>
          <w:color w:val="353A7C"/>
          <w:sz w:val="15"/>
          <w:szCs w:val="15"/>
        </w:rPr>
        <w:t xml:space="preserve">Summary 3   </w:t>
      </w:r>
      <w:r>
        <w:rPr>
          <w:color w:val="6B7280"/>
          <w:sz w:val="15"/>
          <w:szCs w:val="15"/>
        </w:rPr>
        <w:t xml:space="preserve">For an operating lease, the lessee records one lease cost, normally the same each year. The liability still grows by interest and falls by payments. The amortization of the right-of-use asset is simply the difference between the lease cost and the interest, so the asset and the liability stay equal when there are no prepayments or incentives.</w:t>
      </w:r>
    </w:p>
    <w:p>
      <w:pPr>
        <w:spacing w:before="20" w:after="20"/>
        <w:ind w:left="240" w:hanging="240"/>
      </w:pPr>
      <w:r>
        <w:rPr>
          <w:b/>
          <w:bCs/>
          <w:color w:val="353A7C"/>
          <w:sz w:val="15"/>
          <w:szCs w:val="15"/>
        </w:rPr>
        <w:t xml:space="preserve">Summary 4   </w:t>
      </w:r>
      <w:r>
        <w:rPr>
          <w:color w:val="6B7280"/>
          <w:sz w:val="15"/>
          <w:szCs w:val="15"/>
        </w:rPr>
        <w:t xml:space="preserve">The liability is a present value, not the total of the payments. Each payment covers interest first; do not deduct the whole payment from the opening liability. Operating lease: one straight-line cost; do not show interest and amortization separately.</w:t>
      </w:r>
    </w:p>
    <w:p>
      <w:pPr>
        <w:sectPr>
          <w:headerReference w:type="default" r:id="rIdHdr1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Presentation</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On the balance sheet,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assets and lease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finance leases are shown separately from those of operating leases, or disclosed with the line items that contain them. </w:t>
      </w:r>
      <w:r>
        <w:rPr>
          <w:sz w:val="19"/>
          <w:szCs w:val="19"/>
        </w:rPr>
        <w:t xml:space="preserve">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split into a current part, the principal due within a year, and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w:t>
      </w:r>
      <w:r>
        <w:rPr>
          <w:sz w:val="19"/>
          <w:szCs w:val="19"/>
        </w:rPr>
        <w:t xml:space="preserve">On the income statement, a finance lease shows interest expense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separately; an operating lease shows one lease cost in operating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the statement of cash flows,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principal is financing; its interest and all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payments are operating. </w:t>
      </w:r>
      <w:r>
        <w:rPr>
          <w:sz w:val="19"/>
          <w:szCs w:val="19"/>
        </w:rPr>
        <w:t xml:space="preserve">New leases are a noncash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financing activity, disclosed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operating-lease   ·   expenses   ·   principal   ·   investing   ·   noncurrent   ·   finance-lease   ·   liability   ·   amortization   ·   right-of-use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74"/>
        <w:gridCol w:w="4175"/>
        <w:gridCol w:w="385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Presentation of finance and operating leases, with Orontes at December 31, 2026</w:t>
            </w:r>
          </w:p>
        </w:tc>
      </w:tr>
      <w:tr>
        <w:tc>
          <w:tcPr>
            <w:tcW w:type="pct" w:w="82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175"/>
            <w:shd w:fill="353A7C" w:val="clear"/>
            <w:tcMar>
              <w:top w:type="dxa" w:w="50"/>
              <w:left w:type="dxa" w:w="110"/>
              <w:bottom w:type="dxa" w:w="50"/>
              <w:right w:type="dxa" w:w="110"/>
            </w:tcMar>
          </w:tcPr>
          <w:p>
            <w:pPr>
              <w:spacing w:before="30" w:after="30"/>
            </w:pPr>
            <w:r>
              <w:rPr>
                <w:b/>
                <w:bCs/>
                <w:color w:val="FFFFFF"/>
                <w:sz w:val="15"/>
                <w:szCs w:val="15"/>
              </w:rPr>
              <w:t xml:space="preserve">Finance lease (olive press)</w:t>
            </w:r>
          </w:p>
        </w:tc>
        <w:tc>
          <w:tcPr>
            <w:tcW w:type="pct" w:w="2005"/>
            <w:shd w:fill="353A7C" w:val="clear"/>
            <w:tcMar>
              <w:top w:type="dxa" w:w="50"/>
              <w:left w:type="dxa" w:w="110"/>
              <w:bottom w:type="dxa" w:w="50"/>
              <w:right w:type="dxa" w:w="110"/>
            </w:tcMar>
          </w:tcPr>
          <w:p>
            <w:pPr>
              <w:spacing w:before="30" w:after="30"/>
            </w:pPr>
            <w:r>
              <w:rPr>
                <w:b/>
                <w:bCs/>
                <w:color w:val="FFFFFF"/>
                <w:sz w:val="15"/>
                <w:szCs w:val="15"/>
              </w:rPr>
              <w:t xml:space="preserve">Operating lease (warehouse)</w:t>
            </w:r>
          </w:p>
        </w:tc>
      </w:tr>
      <w:tr>
        <w:tc>
          <w:tcPr>
            <w:tcW w:type="pct" w:w="820"/>
            <w:tcMar>
              <w:top w:type="dxa" w:w="50"/>
              <w:left w:type="dxa" w:w="110"/>
              <w:bottom w:type="dxa" w:w="50"/>
              <w:right w:type="dxa" w:w="110"/>
            </w:tcMar>
          </w:tcPr>
          <w:p>
            <w:pPr>
              <w:spacing w:before="28" w:after="28"/>
            </w:pPr>
            <w:r>
              <w:rPr>
                <w:sz w:val="15"/>
                <w:szCs w:val="15"/>
              </w:rPr>
              <w:t xml:space="preserve">Balance sheet</w:t>
            </w:r>
          </w:p>
        </w:tc>
        <w:tc>
          <w:tcPr>
            <w:tcW w:type="pct" w:w="2175"/>
            <w:tcMar>
              <w:top w:type="dxa" w:w="50"/>
              <w:left w:type="dxa" w:w="110"/>
              <w:bottom w:type="dxa" w:w="50"/>
              <w:right w:type="dxa" w:w="110"/>
            </w:tcMar>
          </w:tcPr>
          <w:p>
            <w:pPr>
              <w:spacing w:before="28" w:after="28"/>
            </w:pPr>
            <w:r>
              <w:rPr>
                <w:sz w:val="15"/>
                <w:szCs w:val="15"/>
              </w:rPr>
              <w:t xml:space="preserve">ROU asset and lease liability, shown separately from operating leases (or disclosed)</w:t>
            </w:r>
          </w:p>
        </w:tc>
        <w:tc>
          <w:tcPr>
            <w:tcW w:type="pct" w:w="2005"/>
            <w:tcMar>
              <w:top w:type="dxa" w:w="50"/>
              <w:left w:type="dxa" w:w="110"/>
              <w:bottom w:type="dxa" w:w="50"/>
              <w:right w:type="dxa" w:w="110"/>
            </w:tcMar>
          </w:tcPr>
          <w:p>
            <w:pPr>
              <w:spacing w:before="28" w:after="28"/>
            </w:pPr>
            <w:r>
              <w:rPr>
                <w:sz w:val="15"/>
                <w:szCs w:val="15"/>
              </w:rPr>
              <w:t xml:space="preserve">ROU asset and lease liability, shown separately from finance leases (or disclosed)</w:t>
            </w:r>
          </w:p>
        </w:tc>
      </w:tr>
      <w:tr>
        <w:tc>
          <w:tcPr>
            <w:tcW w:type="pct" w:w="820"/>
            <w:shd w:fill="FBFAF6" w:val="clear"/>
            <w:tcMar>
              <w:top w:type="dxa" w:w="50"/>
              <w:left w:type="dxa" w:w="110"/>
              <w:bottom w:type="dxa" w:w="50"/>
              <w:right w:type="dxa" w:w="110"/>
            </w:tcMar>
          </w:tcPr>
          <w:p>
            <w:pPr>
              <w:spacing w:before="28" w:after="28"/>
            </w:pPr>
            <w:r>
              <w:rPr>
                <w:sz w:val="15"/>
                <w:szCs w:val="15"/>
              </w:rPr>
              <w:t xml:space="preserve">Income statement</w:t>
            </w:r>
          </w:p>
        </w:tc>
        <w:tc>
          <w:tcPr>
            <w:tcW w:type="pct" w:w="217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005"/>
            <w:shd w:fill="FBFAF6" w:val="clear"/>
            <w:tcMar>
              <w:top w:type="dxa" w:w="50"/>
              <w:left w:type="dxa" w:w="110"/>
              <w:bottom w:type="dxa" w:w="50"/>
              <w:right w:type="dxa" w:w="110"/>
            </w:tcMar>
          </w:tcPr>
          <w:p>
            <w:pPr>
              <w:spacing w:before="28" w:after="28"/>
            </w:pPr>
            <w:r>
              <w:rPr>
                <w:sz w:val="15"/>
                <w:szCs w:val="15"/>
              </w:rPr>
              <w:t xml:space="preserve">One lease cost in operating expenses</w:t>
            </w:r>
          </w:p>
        </w:tc>
      </w:tr>
      <w:tr>
        <w:tc>
          <w:tcPr>
            <w:tcW w:type="pct" w:w="820"/>
            <w:tcMar>
              <w:top w:type="dxa" w:w="50"/>
              <w:left w:type="dxa" w:w="110"/>
              <w:bottom w:type="dxa" w:w="50"/>
              <w:right w:type="dxa" w:w="110"/>
            </w:tcMar>
          </w:tcPr>
          <w:p>
            <w:pPr>
              <w:spacing w:before="28" w:after="28"/>
            </w:pPr>
            <w:r>
              <w:rPr>
                <w:sz w:val="15"/>
                <w:szCs w:val="15"/>
              </w:rPr>
              <w:t xml:space="preserve">Cash flow: principal</w:t>
            </w:r>
          </w:p>
        </w:tc>
        <w:tc>
          <w:tcPr>
            <w:tcW w:type="pct" w:w="2175"/>
            <w:tcMar>
              <w:top w:type="dxa" w:w="50"/>
              <w:left w:type="dxa" w:w="110"/>
              <w:bottom w:type="dxa" w:w="50"/>
              <w:right w:type="dxa" w:w="110"/>
            </w:tcMar>
          </w:tcPr>
          <w:p>
            <w:pPr>
              <w:spacing w:before="28" w:after="28"/>
            </w:pPr>
            <w:r>
              <w:rPr>
                <w:sz w:val="15"/>
                <w:szCs w:val="15"/>
              </w:rPr>
              <w:t xml:space="preserve">Financing</w:t>
            </w:r>
          </w:p>
        </w:tc>
        <w:tc>
          <w:tcPr>
            <w:tcW w:type="pct" w:w="2005"/>
            <w:tcMar>
              <w:top w:type="dxa" w:w="50"/>
              <w:left w:type="dxa" w:w="110"/>
              <w:bottom w:type="dxa" w:w="50"/>
              <w:right w:type="dxa" w:w="110"/>
            </w:tcMar>
          </w:tcPr>
          <w:p>
            <w:pPr>
              <w:spacing w:before="28" w:after="28"/>
            </w:pPr>
            <w:r>
              <w:rPr>
                <w:sz w:val="15"/>
                <w:szCs w:val="15"/>
              </w:rPr>
              <w:t xml:space="preserve">Operating</w:t>
            </w:r>
          </w:p>
        </w:tc>
      </w:tr>
      <w:tr>
        <w:tc>
          <w:tcPr>
            <w:tcW w:type="pct" w:w="820"/>
            <w:shd w:fill="FBFAF6" w:val="clear"/>
            <w:tcMar>
              <w:top w:type="dxa" w:w="50"/>
              <w:left w:type="dxa" w:w="110"/>
              <w:bottom w:type="dxa" w:w="50"/>
              <w:right w:type="dxa" w:w="110"/>
            </w:tcMar>
          </w:tcPr>
          <w:p>
            <w:pPr>
              <w:spacing w:before="28" w:after="28"/>
            </w:pPr>
            <w:r>
              <w:rPr>
                <w:sz w:val="15"/>
                <w:szCs w:val="15"/>
              </w:rPr>
              <w:t xml:space="preserve">Cash flow: interest</w:t>
            </w:r>
          </w:p>
        </w:tc>
        <w:tc>
          <w:tcPr>
            <w:tcW w:type="pct" w:w="2175"/>
            <w:shd w:fill="FBFAF6" w:val="clear"/>
            <w:tcMar>
              <w:top w:type="dxa" w:w="50"/>
              <w:left w:type="dxa" w:w="110"/>
              <w:bottom w:type="dxa" w:w="50"/>
              <w:right w:type="dxa" w:w="110"/>
            </w:tcMar>
          </w:tcPr>
          <w:p>
            <w:pPr>
              <w:spacing w:before="28" w:after="28"/>
            </w:pPr>
            <w:r>
              <w:rPr>
                <w:sz w:val="15"/>
                <w:szCs w:val="15"/>
              </w:rPr>
              <w:t xml:space="preserve">Operating</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820"/>
            <w:tcMar>
              <w:top w:type="dxa" w:w="50"/>
              <w:left w:type="dxa" w:w="110"/>
              <w:bottom w:type="dxa" w:w="50"/>
              <w:right w:type="dxa" w:w="110"/>
            </w:tcMar>
          </w:tcPr>
          <w:p>
            <w:pPr>
              <w:spacing w:before="28" w:after="28"/>
            </w:pPr>
            <w:r>
              <w:rPr>
                <w:sz w:val="15"/>
                <w:szCs w:val="15"/>
              </w:rPr>
              <w:t xml:space="preserve">Orontes at December 31, 2026</w:t>
            </w:r>
          </w:p>
        </w:tc>
        <w:tc>
          <w:tcPr>
            <w:tcW w:type="pct" w:w="2175"/>
            <w:tcMar>
              <w:top w:type="dxa" w:w="50"/>
              <w:left w:type="dxa" w:w="110"/>
              <w:bottom w:type="dxa" w:w="50"/>
              <w:right w:type="dxa" w:w="110"/>
            </w:tcMar>
          </w:tcPr>
          <w:p>
            <w:pPr>
              <w:spacing w:before="28" w:after="28"/>
            </w:pPr>
            <w:r>
              <w:rPr>
                <w:sz w:val="15"/>
                <w:szCs w:val="15"/>
              </w:rPr>
              <w:t xml:space="preserve">Liability 668,253: current 209,905, noncurrent 458,348; ROU asset 649,707</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346,510; ROU asset 346,510   ·   One lease cost in operating expenses   ·   Interest expense and amortization, shown separately   ·   Operating (part of the single payment)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flow traps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Operating-lease payments are operating cash flows, even though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on the balance sheet.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interest is operating under U.S. GAAP, not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Finance-lease   ·   liability   ·   principal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عقد الإيجار   ·   finance lease   ·   operating lease</w:t>
            </w:r>
          </w:p>
        </w:tc>
      </w:tr>
    </w:tbl>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right-of-use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 expense and amortization, shown 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 (part of the single 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 346,510; ROU asset 346,510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finance-lease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operating-lease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operating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 the balance sheet, the right-of-use assets and lease liabilities of finance leases are shown separately from those of operating leases, or disclosed with the line items that contain them. Each liability is split into a current part, the principal due within a year, and a noncurrent part. On the income statement, a finance lease shows interest expense and amortization separately; an operating lease shows one lease cost in operating expenses. In the statement of cash flows, finance-lease principal is financing; its interest and all operating-lease payments are operating. New leases are a noncash investing and financing activity, disclosed separately.</w:t>
      </w:r>
    </w:p>
    <w:p>
      <w:pPr>
        <w:spacing w:before="20" w:after="20"/>
        <w:ind w:left="240" w:hanging="240"/>
      </w:pPr>
      <w:r>
        <w:rPr>
          <w:b/>
          <w:bCs/>
          <w:color w:val="353A7C"/>
          <w:sz w:val="15"/>
          <w:szCs w:val="15"/>
        </w:rPr>
        <w:t xml:space="preserve">Summary 2   </w:t>
      </w:r>
      <w:r>
        <w:rPr>
          <w:color w:val="6B7280"/>
          <w:sz w:val="15"/>
          <w:szCs w:val="15"/>
        </w:rPr>
        <w:t xml:space="preserve">Operating-lease payments are operating cash flows, even though a liability is on the balance sheet. Finance-lease interest is operating under U.S. GAAP, not financing.</w:t>
      </w:r>
    </w:p>
    <w:p>
      <w:pPr>
        <w:sectPr>
          <w:headerReference w:type="default" r:id="rIdHdr1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Short-term leases, sale and leaseback, and IFRS 16</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lease lasts 12 months or less and has no purchase option that the lessee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certain to use. </w:t>
      </w:r>
      <w:r>
        <w:rPr>
          <w:sz w:val="19"/>
          <w:szCs w:val="19"/>
        </w:rPr>
        <w:t xml:space="preserve">A lessee may choose, by class of asset, to keep such leases off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and expense the payments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U.S. GAAP has no exemption for low-value assets. </w:t>
      </w:r>
      <w:r>
        <w:rPr>
          <w:sz w:val="19"/>
          <w:szCs w:val="19"/>
        </w:rPr>
        <w:t xml:space="preserve">In a sale and leaseback, a company sells an asset and leases it back. </w:t>
      </w:r>
      <w:r>
        <w:rPr>
          <w:sz w:val="19"/>
          <w:szCs w:val="19"/>
        </w:rPr>
        <w:t xml:space="preserve">It is a sale only if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passes to the buyer under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rules. </w:t>
      </w:r>
      <w:r>
        <w:rPr>
          <w:sz w:val="19"/>
          <w:szCs w:val="19"/>
        </w:rPr>
        <w:t xml:space="preserve">If the leaseback is a finance lease,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can buy the asset back, there is no sale: the cash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loan. </w:t>
      </w:r>
      <w:r>
        <w:rPr>
          <w:sz w:val="19"/>
          <w:szCs w:val="19"/>
        </w:rPr>
        <w:t xml:space="preserve">IFRS 16 has one lessee model: every lease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for like a finance lease,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interest. </w:t>
      </w:r>
      <w:r>
        <w:rPr>
          <w:sz w:val="19"/>
          <w:szCs w:val="19"/>
        </w:rPr>
        <w:t xml:space="preserve">It allows an exemption for low-value assets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liability when an index such as CPI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seller   ·   control   ·   remeasures   ·   balance   ·   short-term   ·   depreciation   ·   accounted   ·   revenue   ·   reasonably   ·   changes   ·   purchase   ·   received</w:t>
            </w:r>
          </w:p>
        </w:tc>
      </w:tr>
    </w:tbl>
    <w:p/>
    <w:p>
      <w:pPr>
        <w:spacing w:before="44" w:after="10"/>
      </w:pPr>
      <w:r>
        <w:rPr>
          <w:b/>
          <w:bCs/>
          <w:color w:val="353A7C"/>
          <w:sz w:val="18"/>
          <w:szCs w:val="18"/>
        </w:rPr>
        <w:t xml:space="preserve">Leases: U.S. GAAP (ASC 842)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3659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Exemption by class of asset   ·   Two: finance and operating   ·   Remeasure the liability   ·   finance lease   ·   Depreciation plus interest: higher early   ·   Operating or financing (IAS 7 today)   ·   Exemption allowed</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ASU 2023-01, on leases between companies under common control, is testable now 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level. </w:t>
      </w:r>
      <w:r>
        <w:rPr>
          <w:sz w:val="19"/>
          <w:szCs w:val="19"/>
        </w:rPr>
        <w:t xml:space="preserve">ASU 2025-12 changes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disclosure only;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reasonably   ·   awareness   ·   lessor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leases signed in 2028 (whole U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leases signed in 2028 (whole U</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Details</w:t>
            </w:r>
          </w:p>
        </w:tc>
      </w:tr>
      <w:tr>
        <w:tc>
          <w:tcPr>
            <w:tcW w:type="pct" w:w="2400"/>
            <w:tcMar>
              <w:top w:type="dxa" w:w="50"/>
              <w:left w:type="dxa" w:w="110"/>
              <w:bottom w:type="dxa" w:w="50"/>
              <w:right w:type="dxa" w:w="110"/>
            </w:tcMar>
          </w:tcPr>
          <w:p>
            <w:pPr>
              <w:spacing w:before="28" w:after="28"/>
            </w:pPr>
            <w:r>
              <w:rPr>
                <w:sz w:val="15"/>
                <w:szCs w:val="15"/>
              </w:rPr>
              <w:t xml:space="preserve">L1 Delivery trucks</w:t>
            </w:r>
          </w:p>
        </w:tc>
        <w:tc>
          <w:tcPr>
            <w:tcW w:type="pct" w:w="2600"/>
            <w:tcMar>
              <w:top w:type="dxa" w:w="50"/>
              <w:left w:type="dxa" w:w="110"/>
              <w:bottom w:type="dxa" w:w="50"/>
              <w:right w:type="dxa" w:w="110"/>
            </w:tcMar>
          </w:tcPr>
          <w:p>
            <w:pPr>
              <w:spacing w:before="28" w:after="28"/>
            </w:pPr>
            <w:r>
              <w:rPr>
                <w:sz w:val="15"/>
                <w:szCs w:val="15"/>
              </w:rPr>
              <w:t xml:space="preserve">3-year lease from January 1, 2028; 30,000 at the end of each year; economic life 8 years; fair value 150,000; no ownership transfer, no purc</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L2 Forklift</w:t>
            </w:r>
          </w:p>
        </w:tc>
        <w:tc>
          <w:tcPr>
            <w:tcW w:type="pct" w:w="2600"/>
            <w:shd w:fill="FBFAF6" w:val="clear"/>
            <w:tcMar>
              <w:top w:type="dxa" w:w="50"/>
              <w:left w:type="dxa" w:w="110"/>
              <w:bottom w:type="dxa" w:w="50"/>
              <w:right w:type="dxa" w:w="110"/>
            </w:tcMar>
          </w:tcPr>
          <w:p>
            <w:pPr>
              <w:spacing w:before="28" w:after="28"/>
            </w:pPr>
            <w:r>
              <w:rPr>
                <w:sz w:val="15"/>
                <w:szCs w:val="15"/>
              </w:rPr>
              <w:t xml:space="preserve">5-year lease with an option to buy the forklift for $1 at the end; Barada is reasonably certain to use it.</w:t>
            </w:r>
          </w:p>
        </w:tc>
      </w:tr>
      <w:tr>
        <w:tc>
          <w:tcPr>
            <w:tcW w:type="pct" w:w="2400"/>
            <w:tcMar>
              <w:top w:type="dxa" w:w="50"/>
              <w:left w:type="dxa" w:w="110"/>
              <w:bottom w:type="dxa" w:w="50"/>
              <w:right w:type="dxa" w:w="110"/>
            </w:tcMar>
          </w:tcPr>
          <w:p>
            <w:pPr>
              <w:spacing w:before="28" w:after="28"/>
            </w:pPr>
            <w:r>
              <w:rPr>
                <w:sz w:val="15"/>
                <w:szCs w:val="15"/>
              </w:rPr>
              <w:t xml:space="preserve">L3 Storage room</w:t>
            </w:r>
          </w:p>
        </w:tc>
        <w:tc>
          <w:tcPr>
            <w:tcW w:type="pct" w:w="2600"/>
            <w:tcMar>
              <w:top w:type="dxa" w:w="50"/>
              <w:left w:type="dxa" w:w="110"/>
              <w:bottom w:type="dxa" w:w="50"/>
              <w:right w:type="dxa" w:w="110"/>
            </w:tcMar>
          </w:tcPr>
          <w:p>
            <w:pPr>
              <w:spacing w:before="28" w:after="28"/>
            </w:pPr>
            <w:r>
              <w:rPr>
                <w:sz w:val="15"/>
                <w:szCs w:val="15"/>
              </w:rPr>
              <w:t xml:space="preserve">10-month lease; no purchase option. Barada applies the short-term exemption.</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L4 Laptops</w:t>
            </w:r>
          </w:p>
        </w:tc>
        <w:tc>
          <w:tcPr>
            <w:tcW w:type="pct" w:w="2600"/>
            <w:shd w:fill="FBFAF6" w:val="clear"/>
            <w:tcMar>
              <w:top w:type="dxa" w:w="50"/>
              <w:left w:type="dxa" w:w="110"/>
              <w:bottom w:type="dxa" w:w="50"/>
              <w:right w:type="dxa" w:w="110"/>
            </w:tcMar>
          </w:tcPr>
          <w:p>
            <w:pPr>
              <w:spacing w:before="28" w:after="28"/>
            </w:pPr>
            <w:r>
              <w:rPr>
                <w:sz w:val="15"/>
                <w:szCs w:val="15"/>
              </w:rPr>
              <w:t xml:space="preserve">3-year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of office laptops; standard terms; no transfer or option.</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Barada's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is 8%. The rate implicit in the leases is not known. Barada is not a public business entity but does not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value of an annuity of $1 for 3 years at 8%: 2.5771.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borrowing rate   ·   Remeasure the liability   ·   Present   ·   lease</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amortization   ·   2029   ·   lessee</w:t>
            </w:r>
          </w:p>
        </w:tc>
      </w:tr>
    </w:tbl>
    <w:p/>
    <w:p>
      <w:pPr>
        <w:pageBreakBefore w:val="true"/>
        <w:spacing w:after="0"/>
      </w:pPr>
      <w:r>
        <w:rPr>
          <w:sz w:val="2"/>
        </w:rPr>
        <w:t xml:space="preserve"> </w:t>
      </w:r>
    </w:p>
    <w:p>
      <w:pPr>
        <w:spacing w:before="44" w:after="10"/>
      </w:pPr>
      <w:r>
        <w:rPr>
          <w:b/>
          <w:bCs/>
          <w:color w:val="353A7C"/>
          <w:sz w:val="18"/>
          <w:szCs w:val="18"/>
        </w:rPr>
        <w:t xml:space="preserve">Lease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L1 Delivery trucks   ·   incremental borrowing rate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   المؤجر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short-term lease</w:t>
            </w:r>
          </w:p>
        </w:tc>
        <w:tc>
          <w:tcPr>
            <w:tcW w:type="pct" w:w="2600"/>
            <w:tcMar>
              <w:top w:type="dxa" w:w="50"/>
              <w:left w:type="dxa" w:w="110"/>
              <w:bottom w:type="dxa" w:w="50"/>
              <w:right w:type="dxa" w:w="110"/>
            </w:tcMar>
          </w:tcPr>
          <w:p>
            <w:pPr>
              <w:spacing w:before="26" w:after="26"/>
            </w:pPr>
            <w:r>
              <w:rPr>
                <w:color w:val="232733"/>
                <w:sz w:val="16"/>
                <w:szCs w:val="16"/>
              </w:rPr>
              <w:t xml:space="preserve">عقد إيجار قصير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 and leaseback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البيع وإعادة الاستئجار</w:t>
            </w:r>
          </w:p>
        </w:tc>
      </w:tr>
    </w:tbl>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Short-term leases, sale and leaseback, and IFRS 16</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Exemption by class of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Remeasure the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or financing (IAS 7 today)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awareness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seller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Present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L1 Delivery trucks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Two: finance and operating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 plus interest: higher early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Exemption allowed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lessor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lease lasts 12 months or less and has no purchase option that the lessee is reasonably certain to use. A lessee may choose, by class of asset, to keep such leases off the balance sheet and expense the payments straight-line. U.S. GAAP has no exemption for low-value assets. In a sale and leaseback, a company sells an asset and leases it back. It is a sale only if control passes to the buyer under the revenue rules. If the leaseback is a finance lease, or the seller can buy the asset back, there is no sale: the cash received is a loan. IFRS 16 has one lessee model: every lease is accounted for like a finance lease, with depreciation and interest. It allows an exemption for low-value assets and remeasures the liability when an index such as CPI changes.</w:t>
      </w:r>
    </w:p>
    <w:p>
      <w:pPr>
        <w:spacing w:before="20" w:after="20"/>
        <w:ind w:left="240" w:hanging="240"/>
      </w:pPr>
      <w:r>
        <w:rPr>
          <w:b/>
          <w:bCs/>
          <w:color w:val="353A7C"/>
          <w:sz w:val="15"/>
          <w:szCs w:val="15"/>
        </w:rPr>
        <w:t xml:space="preserve">Summary 2   </w:t>
      </w:r>
      <w:r>
        <w:rPr>
          <w:color w:val="6B7280"/>
          <w:sz w:val="15"/>
          <w:szCs w:val="15"/>
        </w:rPr>
        <w:t xml:space="preserve">ASU 2023-01, on leases between companies under common control, is testable now at awareness level. ASU 2025-12 changes a lessor disclosure only; it is not testable before about January 2028.</w:t>
      </w:r>
    </w:p>
    <w:p>
      <w:pPr>
        <w:sectPr>
          <w:headerReference w:type="default" r:id="rIdHdr1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Gains and losses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Gains and losses   ·   holding gain or loss   ·   Presentation and IFRS differences   ·   Comprehensive income and reclassification</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gain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an increase or decrease in equity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transaction: something other than the company's main activities and other than a transaction with owners. </w:t>
      </w:r>
      <w:r>
        <w:rPr>
          <w:sz w:val="19"/>
          <w:szCs w:val="19"/>
        </w:rPr>
        <w:t xml:space="preserve">Selling an old machine,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lawsuit and a change in the value of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examples. </w:t>
      </w:r>
      <w:r>
        <w:rPr>
          <w:sz w:val="19"/>
          <w:szCs w:val="19"/>
        </w:rPr>
        <w:t xml:space="preserve">Gains and losses are shown net. </w:t>
      </w:r>
      <w:r>
        <w:rPr>
          <w:sz w:val="19"/>
          <w:szCs w:val="19"/>
        </w:rPr>
        <w:t xml:space="preserve">When Orontes sold its old Dubai oven, it did not report the proceeds as revenue;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w:t>
      </w:r>
      <w:r>
        <w:rPr>
          <w:sz w:val="19"/>
          <w:szCs w:val="19"/>
        </w:rPr>
        <w:t xml:space="preserve">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statement, most gains and losses appear in other income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below operating income. </w:t>
      </w:r>
      <w:r>
        <w:rPr>
          <w:sz w:val="19"/>
          <w:szCs w:val="19"/>
        </w:rPr>
        <w:t xml:space="preserve">Losses that arise from operating assets,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usually shown within operating expenses. </w:t>
      </w:r>
      <w:r>
        <w:rPr>
          <w:sz w:val="19"/>
          <w:szCs w:val="19"/>
        </w:rPr>
        <w:t xml:space="preserve">Items that are unusual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get a separate line within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operations, before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infrequent   ·   carrying   ·   continuing   ·   multi-step   ·   expense   ·   reported   ·   loss   ·   settling   ·   operating   ·   investment   ·   impairments   ·   peripheral</w:t>
            </w:r>
          </w:p>
        </w:tc>
      </w:tr>
    </w:tbl>
    <w:p/>
    <w:p>
      <w:pPr>
        <w:pageBreakBefore w:val="true"/>
        <w:spacing w:after="0"/>
      </w:pPr>
      <w:r>
        <w:rPr>
          <w:sz w:val="2"/>
        </w:rPr>
        <w:t xml:space="preserve"> </w:t>
      </w:r>
    </w:p>
    <w:p>
      <w:pPr>
        <w:spacing w:before="44" w:after="10"/>
      </w:pPr>
      <w:r>
        <w:rPr>
          <w:b/>
          <w:bCs/>
          <w:color w:val="353A7C"/>
          <w:sz w:val="18"/>
          <w:szCs w:val="18"/>
        </w:rPr>
        <w:t xml:space="preserve">Where Orontes's 2025 gains and losses appear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gains on securities (Chapter 9)   ·   Unrealized loss on AFS debt securities, net of tax   ·   Impairment losses (Chapter 10)   ·   holding gain or loss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   gain   ·   خسارة</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gain</w:t>
            </w:r>
          </w:p>
        </w:tc>
        <w:tc>
          <w:tcPr>
            <w:tcW w:type="pct" w:w="2600"/>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holding gain or loss</w:t>
            </w:r>
          </w:p>
        </w:tc>
        <w:tc>
          <w:tcPr>
            <w:tcW w:type="pct" w:w="2600"/>
            <w:tcMar>
              <w:top w:type="dxa" w:w="50"/>
              <w:left w:type="dxa" w:w="110"/>
              <w:bottom w:type="dxa" w:w="50"/>
              <w:right w:type="dxa" w:w="110"/>
            </w:tcMar>
          </w:tcPr>
          <w:p>
            <w:pPr>
              <w:spacing w:before="26" w:after="26"/>
            </w:pPr>
            <w:r>
              <w:rPr>
                <w:color w:val="232733"/>
                <w:sz w:val="16"/>
                <w:szCs w:val="16"/>
              </w:rPr>
              <w:t xml:space="preserve">مكسب أو خسارة الاحتفاظ</w:t>
            </w:r>
          </w:p>
        </w:tc>
      </w:tr>
    </w:tbl>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Gains and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Gains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Comprehensive income and 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impairments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Unrealized gains on securities (Chapter 9)</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settling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Impairment losses (Chapter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 loss on AFS debt securities, net of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multi-step</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 Gains and losses are shown net. When Orontes sold its old Dubai oven, it did not report the proceeds as revenue; it reported a gain of $3,000: the proceeds minus the carrying amount. In a multi-step statement, most gains and losses appear in other income and expense, below operating income. Losses that arise from operating assets, such as impairments, are usually shown within operating expenses. Items that are unusual or infrequent get a separate line within continuing operations, before tax.</w:t>
      </w:r>
    </w:p>
    <w:p>
      <w:pPr>
        <w:sectPr>
          <w:headerReference w:type="default" r:id="rIdHdr1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Expense recognition</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72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2723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When there is a clear cause and effect   ·   Depreciation   ·   recognized   ·   fair value less cost to sell   ·   period cost   ·   principle   ·   systematic   ·   When a cost has no clear link to future revenue</w:t>
            </w:r>
          </w:p>
        </w:tc>
      </w:tr>
    </w:tbl>
    <w:p/>
    <w:p>
      <w:pPr>
        <w:spacing w:before="44" w:after="14"/>
      </w:pPr>
      <w:r>
        <w:rPr>
          <w:b/>
          <w:bCs/>
          <w:color w:val="353A7C"/>
          <w:sz w:val="18"/>
          <w:szCs w:val="18"/>
        </w:rPr>
        <w:t xml:space="preserve">Summary 1</w:t>
      </w:r>
      <w:r>
        <w:rPr>
          <w:color w:val="6B7280"/>
          <w:sz w:val="16"/>
          <w:szCs w:val="16"/>
        </w:rPr>
        <w:t xml:space="preserve">      gaps 8–9</w:t>
      </w:r>
    </w:p>
    <w:p>
      <w:pPr>
        <w:spacing w:before="20" w:after="20" w:line="360" w:lineRule="auto"/>
        <w:ind w:left="200"/>
      </w:pPr>
      <w:r>
        <w:rPr>
          <w:sz w:val="19"/>
          <w:szCs w:val="19"/>
        </w:rPr>
        <w:t xml:space="preserve">Advertising and research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expensed when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even if they may bring future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development   ·   recognition   ·   incurred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36"/>
        <w:gridCol w:w="2640"/>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Three expense recognition approaches</w:t>
            </w:r>
          </w:p>
        </w:tc>
      </w:tr>
      <w:tr>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Approach</w:t>
            </w:r>
          </w:p>
        </w:tc>
        <w:tc>
          <w:tcPr>
            <w:tcW w:type="pct" w:w="1375"/>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w:t>
            </w:r>
          </w:p>
        </w:tc>
      </w:tr>
      <w:tr>
        <w:tc>
          <w:tcPr>
            <w:tcW w:type="pct" w:w="1425"/>
            <w:tcMar>
              <w:top w:type="dxa" w:w="50"/>
              <w:left w:type="dxa" w:w="110"/>
              <w:bottom w:type="dxa" w:w="50"/>
              <w:right w:type="dxa" w:w="110"/>
            </w:tcMar>
          </w:tcPr>
          <w:p>
            <w:pPr>
              <w:spacing w:before="28" w:after="28"/>
            </w:pPr>
            <w:r>
              <w:rPr>
                <w:sz w:val="15"/>
                <w:szCs w:val="15"/>
              </w:rPr>
              <w:t xml:space="preserve">Cause and effect (matching)</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Cost of goods sold; sales commissions (capitalized, Chapter 11)</w:t>
            </w:r>
          </w:p>
        </w:tc>
      </w:tr>
      <w:tr>
        <w:tc>
          <w:tcPr>
            <w:tcW w:type="pct" w:w="1425"/>
            <w:shd w:fill="FBFAF6" w:val="clear"/>
            <w:tcMar>
              <w:top w:type="dxa" w:w="50"/>
              <w:left w:type="dxa" w:w="110"/>
              <w:bottom w:type="dxa" w:w="50"/>
              <w:right w:type="dxa" w:w="110"/>
            </w:tcMar>
          </w:tcPr>
          <w:p>
            <w:pPr>
              <w:spacing w:before="28" w:after="28"/>
            </w:pPr>
            <w:r>
              <w:rPr>
                <w:sz w:val="15"/>
                <w:szCs w:val="15"/>
              </w:rPr>
              <w:t xml:space="preserve">Systematic and rational allocation</w:t>
            </w:r>
          </w:p>
        </w:tc>
        <w:tc>
          <w:tcPr>
            <w:tcW w:type="pct" w:w="1375"/>
            <w:shd w:fill="FBFAF6" w:val="clear"/>
            <w:tcMar>
              <w:top w:type="dxa" w:w="50"/>
              <w:left w:type="dxa" w:w="110"/>
              <w:bottom w:type="dxa" w:w="50"/>
              <w:right w:type="dxa" w:w="110"/>
            </w:tcMar>
          </w:tcPr>
          <w:p>
            <w:pPr>
              <w:spacing w:before="28" w:after="28"/>
            </w:pPr>
            <w:r>
              <w:rPr>
                <w:sz w:val="15"/>
                <w:szCs w:val="15"/>
              </w:rPr>
              <w:t xml:space="preserve">Cost spread over the periods that benefit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25"/>
            <w:tcMar>
              <w:top w:type="dxa" w:w="50"/>
              <w:left w:type="dxa" w:w="110"/>
              <w:bottom w:type="dxa" w:w="50"/>
              <w:right w:type="dxa" w:w="110"/>
            </w:tcMar>
          </w:tcPr>
          <w:p>
            <w:pPr>
              <w:spacing w:before="28" w:after="28"/>
            </w:pPr>
            <w:r>
              <w:rPr>
                <w:sz w:val="15"/>
                <w:szCs w:val="15"/>
              </w:rPr>
              <w:t xml:space="preserve">Immediate recognition</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Advertising; research and development; most general administration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follows the related revenue   ·   Cost spread over the periods that benefit   ·   No clear link to future revenue: a period cost   ·   Depreciation of the bottling line; prepaid rent</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ASU 2024-03 will require public companies to break down some expense captions in the notes, for example into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purchases, employee pay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It does not change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examples   ·   recognition   ·   depreciation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systematic and rational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التوزيع المنتظم والمنطقي</w:t>
            </w:r>
          </w:p>
        </w:tc>
      </w:tr>
    </w:tbl>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Expense recognition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there is a clear cause and effect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Expense follows the related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 of the bottling line; 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 clear link to future revenue: a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When a cost has no clear link to future revenue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period cost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recognition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development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Advertising and research and development are expensed when incurred, even if they may bring future sales.</w:t>
      </w:r>
    </w:p>
    <w:p>
      <w:pPr>
        <w:spacing w:before="20" w:after="20"/>
        <w:ind w:left="240" w:hanging="240"/>
      </w:pPr>
      <w:r>
        <w:rPr>
          <w:b/>
          <w:bCs/>
          <w:color w:val="353A7C"/>
          <w:sz w:val="15"/>
          <w:szCs w:val="15"/>
        </w:rPr>
        <w:t xml:space="preserve">Summary 2   </w:t>
      </w:r>
      <w:r>
        <w:rPr>
          <w:color w:val="6B7280"/>
          <w:sz w:val="15"/>
          <w:szCs w:val="15"/>
        </w:rPr>
        <w:t xml:space="preserve">ASU 2024-03 will require public companies to break down some expense captions in the notes, for example into inventory purchases, employee pay and depreciation. It does not change recognition, and it is not testable before about January 2028.</w:t>
      </w:r>
    </w:p>
    <w:p>
      <w:pPr>
        <w:sectPr>
          <w:headerReference w:type="default" r:id="rIdHdr1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Comprehensive income and reclassification</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Comprehensive income is net income plus other comprehensive income. </w:t>
      </w:r>
      <w:r>
        <w:rPr>
          <w:sz w:val="19"/>
          <w:szCs w:val="19"/>
        </w:rPr>
        <w:t xml:space="preserve">U.S. OCI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holding gains and losses 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debt securities, foreign currency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adjustments,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of cash-flow hedges, and some pension gains and losses.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gains on equity securities are not OCI; they go to net income. </w:t>
      </w:r>
      <w:r>
        <w:rPr>
          <w:sz w:val="19"/>
          <w:szCs w:val="19"/>
        </w:rPr>
        <w:t xml:space="preserve">When an OCI item is realized, for example when an AFS bond is sold, the gain moves into net income. </w:t>
      </w:r>
      <w:r>
        <w:rPr>
          <w:sz w:val="19"/>
          <w:szCs w:val="19"/>
        </w:rPr>
        <w:t xml:space="preserve">At the same time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from OCI.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this adjustment, the same gain would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twice in comprehensive income: once in OCI when it arose, and again in net income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holding   ·   effective   ·   includes   ·   available-for-sale   ·   reclassification   ·   Unrealized   ·   counted   ·   Without   ·   removes   ·   translation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reclassification adjustment</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After tax at 25%, OCI is $6,000, and AOCI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up by the same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OCI for 2027 shows the holding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$2,000 and a reclassification of −$10,000: a net OCI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$8,000 before tax, $6,000 after tax. </w:t>
      </w:r>
      <w:r>
        <w:rPr>
          <w:sz w:val="19"/>
          <w:szCs w:val="19"/>
        </w:rPr>
        <w:t xml:space="preserve">AOCI for this bond returns to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amount   ·   realized   ·   gain   ·   loss   ·   builds</w:t>
            </w:r>
          </w:p>
        </w:tc>
      </w:tr>
    </w:tbl>
    <w:p/>
    <w:p>
      <w:pPr>
        <w:spacing w:before="44" w:after="10"/>
      </w:pPr>
      <w:r>
        <w:rPr>
          <w:b/>
          <w:bCs/>
          <w:color w:val="353A7C"/>
          <w:sz w:val="18"/>
          <w:szCs w:val="18"/>
        </w:rPr>
        <w:t xml:space="preserve">Suppose: OCI and the reclassification adjustment for an AFS bond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Tax at 25%</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Forgetting the reclassification counts a realized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twice.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income adds this year's OCI, not the AOCI balance.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OCI net of tax, or before tax with one tax line: do not mix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   ·   gain   ·   balance   ·   Comprehensive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comprehensive income   ·   disposal group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bl>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Comprehensive income and reclassification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translation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Tax at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reclassification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builds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Comprehensive income is net income plus other comprehensive income. U.S. OCI includes holding gains and losses on available-for-sale debt securities, foreign currency translation adjustments, the effective part of cash-flow hedges, and some pension gains and losses. Unrealized gains on equity securities are not OCI; they go to net income. When an OCI item is realized, for example when an AFS bond is sold, the gain moves into net income. At the same time a reclassification adjustment removes it from OCI. Without this adjustment, the same gain would be counted twice in comprehensive income: once in OCI when it arose, and again in net income on the sale.</w:t>
      </w:r>
    </w:p>
    <w:p>
      <w:pPr>
        <w:spacing w:before="20" w:after="20"/>
        <w:ind w:left="240" w:hanging="240"/>
      </w:pPr>
      <w:r>
        <w:rPr>
          <w:b/>
          <w:bCs/>
          <w:color w:val="353A7C"/>
          <w:sz w:val="15"/>
          <w:szCs w:val="15"/>
        </w:rPr>
        <w:t xml:space="preserve">Summary 2   </w:t>
      </w:r>
      <w:r>
        <w:rPr>
          <w:color w:val="6B7280"/>
          <w:sz w:val="15"/>
          <w:szCs w:val="15"/>
        </w:rPr>
        <w:t xml:space="preserve">After tax at 25%, OCI is $6,000, and AOCI builds up by the same amount. OCI for 2027 shows the holding gain of $2,000 and a reclassification of −$10,000: a net OCI loss of $8,000 before tax, $6,000 after tax. AOCI for this bond returns to zero.</w:t>
      </w:r>
    </w:p>
    <w:p>
      <w:pPr>
        <w:spacing w:before="20" w:after="20"/>
        <w:ind w:left="240" w:hanging="240"/>
      </w:pPr>
      <w:r>
        <w:rPr>
          <w:b/>
          <w:bCs/>
          <w:color w:val="353A7C"/>
          <w:sz w:val="15"/>
          <w:szCs w:val="15"/>
        </w:rPr>
        <w:t xml:space="preserve">Summary 3   </w:t>
      </w:r>
      <w:r>
        <w:rPr>
          <w:color w:val="6B7280"/>
          <w:sz w:val="15"/>
          <w:szCs w:val="15"/>
        </w:rPr>
        <w:t xml:space="preserve">Forgetting the reclassification counts a realized gain twice. Comprehensive income adds this year's OCI, not the AOCI balance. Report OCI net of tax, or before tax with one tax line: do not mix them.</w:t>
      </w:r>
    </w:p>
    <w:p>
      <w:pPr>
        <w:sectPr>
          <w:headerReference w:type="default" r:id="rIdHdr1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Is it a discontinued operation?</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reported as a discontinued operation only if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true. </w:t>
      </w:r>
      <w:r>
        <w:rPr>
          <w:sz w:val="19"/>
          <w:szCs w:val="19"/>
        </w:rPr>
        <w:t xml:space="preserve">There is no official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'major'; it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machine, one store or one small product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shift. </w:t>
      </w:r>
      <w:r>
        <w:rPr>
          <w:sz w:val="19"/>
          <w:szCs w:val="19"/>
        </w:rPr>
        <w:t xml:space="preserve">The gain or loss stays in continuing operations, as for the Dubai oven. </w:t>
      </w:r>
      <w:r>
        <w:rPr>
          <w:sz w:val="19"/>
          <w:szCs w:val="19"/>
        </w:rPr>
        <w:t xml:space="preserve">A business that meets the held-for-sale criteria when it is acquired is also a discontinued operation.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   ·   things   ·   held-for-sale   ·   Selling   ·   disposal   ·   strategic   ·   judgment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Strategic shift or not?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Strategic shift or not?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these disposals happen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Discontinued operation?</w:t>
            </w:r>
          </w:p>
        </w:tc>
      </w:tr>
      <w:tr>
        <w:tc>
          <w:tcPr>
            <w:tcW w:type="pct" w:w="2600"/>
            <w:tcMar>
              <w:top w:type="dxa" w:w="50"/>
              <w:left w:type="dxa" w:w="110"/>
              <w:bottom w:type="dxa" w:w="50"/>
              <w:right w:type="dxa" w:w="110"/>
            </w:tcMar>
          </w:tcPr>
          <w:p>
            <w:pPr>
              <w:spacing w:before="28" w:after="28"/>
            </w:pPr>
            <w:r>
              <w:rPr>
                <w:sz w:val="15"/>
                <w:szCs w:val="15"/>
              </w:rPr>
              <w:t xml:space="preserve">Orontes sells its whole frozen-foods business, one of its four product lines</w:t>
            </w:r>
          </w:p>
        </w:tc>
        <w:tc>
          <w:tcPr>
            <w:tcW w:type="pct" w:w="2400"/>
            <w:tcMar>
              <w:top w:type="dxa" w:w="50"/>
              <w:left w:type="dxa" w:w="110"/>
              <w:bottom w:type="dxa" w:w="50"/>
              <w:right w:type="dxa" w:w="110"/>
            </w:tcMar>
          </w:tcPr>
          <w:p>
            <w:pPr>
              <w:spacing w:before="28" w:after="28"/>
            </w:pPr>
            <w:r>
              <w:rPr>
                <w:sz w:val="15"/>
                <w:szCs w:val="15"/>
              </w:rPr>
              <w:t xml:space="preserve">Yes: a major line of business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closes one of its twelve olive-oil shops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tcMar>
              <w:top w:type="dxa" w:w="50"/>
              <w:left w:type="dxa" w:w="110"/>
              <w:bottom w:type="dxa" w:w="50"/>
              <w:right w:type="dxa" w:w="110"/>
            </w:tcMar>
          </w:tcPr>
          <w:p>
            <w:pPr>
              <w:spacing w:before="28" w:after="28"/>
            </w:pPr>
            <w:r>
              <w:rPr>
                <w:sz w:val="15"/>
                <w:szCs w:val="15"/>
              </w:rPr>
              <w:t xml:space="preserve">Orontes sells all its operations in Jordan, its only foreign market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sells an old bottling machine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Orontes sells its 30% stake in Jordan Glass, a major equity-method investment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stops selling one flavour of juice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Yes: a major line of business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equity-method   ·   the disposal is a strategic shift that has   ·   it is a component of an entity   ·   operations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تحول استراتيجي   ·   component of an entity   ·   discontinued operation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600"/>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400"/>
            <w:tcMar>
              <w:top w:type="dxa" w:w="50"/>
              <w:left w:type="dxa" w:w="110"/>
              <w:bottom w:type="dxa" w:w="50"/>
              <w:right w:type="dxa" w:w="110"/>
            </w:tcMar>
          </w:tcPr>
          <w:p>
            <w:pPr>
              <w:spacing w:before="26" w:after="26"/>
            </w:pPr>
            <w:r>
              <w:rPr>
                <w:color w:val="232733"/>
                <w:sz w:val="16"/>
                <w:szCs w:val="16"/>
              </w:rPr>
              <w:t xml:space="preserve">strategic shift</w:t>
            </w:r>
          </w:p>
        </w:tc>
        <w:tc>
          <w:tcPr>
            <w:tcW w:type="pct" w:w="2600"/>
            <w:tcMar>
              <w:top w:type="dxa" w:w="50"/>
              <w:left w:type="dxa" w:w="110"/>
              <w:bottom w:type="dxa" w:w="50"/>
              <w:right w:type="dxa" w:w="110"/>
            </w:tcMar>
          </w:tcPr>
          <w:p>
            <w:pPr>
              <w:spacing w:before="26" w:after="26"/>
            </w:pPr>
            <w:r>
              <w:rPr>
                <w:color w:val="232733"/>
                <w:sz w:val="16"/>
                <w:szCs w:val="16"/>
              </w:rPr>
              <w:t xml:space="preserve">تحول استراتيجي</w:t>
            </w:r>
          </w:p>
        </w:tc>
      </w:tr>
    </w:tbl>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Is it a discontinued operation?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disposal is a strategic shift that has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discontinued operation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not a strategic shift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disposal is reported as a discontinued operation only if three things are true. There is no official percentage for 'major'; it is a judgment. Selling one machine, one store or one small product is not a strategic shift. The gain or loss stays in continuing operations, as for the Dubai oven. A business that meets the held-for-sale criteria when it is acquired is also a discontinued operation.</w:t>
      </w:r>
    </w:p>
    <w:p>
      <w:pPr>
        <w:sectPr>
          <w:headerReference w:type="default" r:id="rIdHdr1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Held for sale: criteria and measurement</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be reported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before it is sold, once it is held for sale. </w:t>
      </w:r>
      <w:r>
        <w:rPr>
          <w:sz w:val="19"/>
          <w:szCs w:val="19"/>
        </w:rPr>
        <w:t xml:space="preserve">All six criteria must be met: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authority commits to a plan; the business is available for immediate sale; an active search for a buyer has begun; a sale is probable within one year; the price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the plan is unlikely to change.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disposal group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the lower of its carrying amount and its fair value less cost to sell. </w:t>
      </w:r>
      <w:r>
        <w:rPr>
          <w:sz w:val="19"/>
          <w:szCs w:val="19"/>
        </w:rPr>
        <w:t xml:space="preserve">Any write-down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stops, and later increases in value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up to the losses already recorded. </w:t>
      </w:r>
      <w:r>
        <w:rPr>
          <w:sz w:val="19"/>
          <w:szCs w:val="19"/>
        </w:rPr>
        <w:t xml:space="preserve">The board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 in March, but the business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held for sale only on June 30, when all six criteria were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component   ·   discontinued   ·   recognized   ·   reasonable   ·   loss   ·   held-for-sale   ·   approved   ·   became   ·   measured   ·   management   ·   disposal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Held-for-sale traps</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Board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alone is not enough: all six criteria must be met. </w:t>
      </w:r>
      <w:r>
        <w:rPr>
          <w:sz w:val="19"/>
          <w:szCs w:val="19"/>
        </w:rPr>
        <w:t xml:space="preserve">Recognize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when the group becomes held for sale, not only when it is sold. </w:t>
      </w:r>
      <w:r>
        <w:rPr>
          <w:sz w:val="19"/>
          <w:szCs w:val="19"/>
        </w:rPr>
        <w:t xml:space="preserve">Stop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once the group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approval   ·   write-down   ·   depreciation   ·   disposal</w:t>
            </w:r>
          </w:p>
        </w:tc>
      </w:tr>
    </w:tbl>
    <w:p/>
    <w:p>
      <w:pPr>
        <w:spacing w:before="44" w:after="10"/>
      </w:pPr>
      <w:r>
        <w:rPr>
          <w:b/>
          <w:bCs/>
          <w:color w:val="353A7C"/>
          <w:sz w:val="18"/>
          <w:szCs w:val="18"/>
        </w:rPr>
        <w:t xml:space="preserve">Suppose: measuring the frozen-foods disposal group on June 30,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 to sell   ·   Inventory   ·   component of an entity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holding gain or loss   ·   fair value less cost to sell   ·   held for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held for sale</w:t>
            </w:r>
          </w:p>
        </w:tc>
        <w:tc>
          <w:tcPr>
            <w:tcW w:type="pct" w:w="2600"/>
            <w:tcMar>
              <w:top w:type="dxa" w:w="50"/>
              <w:left w:type="dxa" w:w="110"/>
              <w:bottom w:type="dxa" w:w="50"/>
              <w:right w:type="dxa" w:w="110"/>
            </w:tcMar>
          </w:tcPr>
          <w:p>
            <w:pPr>
              <w:spacing w:before="26" w:after="26"/>
            </w:pPr>
            <w:r>
              <w:rPr>
                <w:color w:val="232733"/>
                <w:sz w:val="16"/>
                <w:szCs w:val="16"/>
              </w:rPr>
              <w:t xml:space="preserve">محتفظ به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disposal group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مجموعة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العادلة ناقصاً تكاليف البيع</w:t>
            </w:r>
          </w:p>
        </w:tc>
      </w:tr>
    </w:tbl>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Held for sale: criteria and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discontinued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became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approval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Fair value less cost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fair value less cost to sell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component can be reported as discontinued before it is sold, once it is held for sale. All six criteria must be met: management with authority commits to a plan; the business is available for immediate sale; an active search for a buyer has begun; a sale is probable within one year; the price is reasonable; and the plan is unlikely to change. A held-for-sale disposal group is measured at the lower of its carrying amount and its fair value less cost to sell. Any write-down is a loss. Depreciation stops, and later increases in value are recognized only up to the losses already recorded. The board approved the plan in March, but the business became held for sale only on June 30, when all six criteria were met.</w:t>
      </w:r>
    </w:p>
    <w:p>
      <w:pPr>
        <w:spacing w:before="20" w:after="20"/>
        <w:ind w:left="240" w:hanging="240"/>
      </w:pPr>
      <w:r>
        <w:rPr>
          <w:b/>
          <w:bCs/>
          <w:color w:val="353A7C"/>
          <w:sz w:val="15"/>
          <w:szCs w:val="15"/>
        </w:rPr>
        <w:t xml:space="preserve">Summary 2   </w:t>
      </w:r>
      <w:r>
        <w:rPr>
          <w:color w:val="6B7280"/>
          <w:sz w:val="15"/>
          <w:szCs w:val="15"/>
        </w:rPr>
        <w:t xml:space="preserve">Board approval alone is not enough: all six criteria must be met. Recognize the write-down when the group becomes held for sale, not only when it is sold. Stop depreciation once the group is held for sale.</w:t>
      </w:r>
    </w:p>
    <w:p>
      <w:pPr>
        <w:sectPr>
          <w:headerReference w:type="default" r:id="rIdHdr1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Presentation and IFRS differences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results of a discontinued operation, including its operating results and 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disposal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loss, are shown net of their own tax below income from continuing operations.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companies also show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amounts for discontinued operations. </w:t>
      </w:r>
      <w:r>
        <w:rPr>
          <w:sz w:val="19"/>
          <w:szCs w:val="19"/>
        </w:rPr>
        <w:t xml:space="preserve">The comparative years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that all periods are shown on the same basis. </w:t>
      </w:r>
      <w:r>
        <w:rPr>
          <w:sz w:val="19"/>
          <w:szCs w:val="19"/>
        </w:rPr>
        <w:t xml:space="preserve">On the balance sheet, the assets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a discontinued operation are shown separately for all periods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that are not a discontinued operation are also shown separately, but their results stay in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Held-for-sale   ·   presented   ·   gain   ·   liabilities   ·   remeasurement   ·   Public   ·   per-share   ·   reclassified   ·   unusual</w:t>
            </w:r>
          </w:p>
        </w:tc>
      </w:tr>
    </w:tbl>
    <w:p/>
    <w:p>
      <w:pPr>
        <w:spacing w:before="44" w:after="10"/>
      </w:pPr>
      <w:r>
        <w:rPr>
          <w:b/>
          <w:bCs/>
          <w:color w:val="353A7C"/>
          <w:sz w:val="18"/>
          <w:szCs w:val="18"/>
        </w:rPr>
        <w:t xml:space="preserve">Discontinued operations and OCI: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allowed   ·   Re-presented: assets and liabilities shown separately   ·   Component + strategic shift with a major effect   ·   Unchanged   ·   period cost   ·   Highly probable</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U.S. GAAP has no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items: unusual or infrequent items stay in continuing operations, before tax. </w:t>
      </w:r>
      <w:r>
        <w:rPr>
          <w:sz w:val="19"/>
          <w:szCs w:val="19"/>
        </w:rPr>
        <w:t xml:space="preserve">Only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are shown net of tax below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discontinued   ·   extraordinary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Orontes,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a warehouse</w:t>
            </w:r>
          </w:p>
        </w:tc>
        <w:tc>
          <w:tcPr>
            <w:tcW w:type="pct" w:w="26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400"/>
            <w:tcMar>
              <w:top w:type="dxa" w:w="50"/>
              <w:left w:type="dxa" w:w="110"/>
              <w:bottom w:type="dxa" w:w="50"/>
              <w:right w:type="dxa" w:w="110"/>
            </w:tcMar>
          </w:tcPr>
          <w:p>
            <w:pPr>
              <w:spacing w:before="28" w:after="28"/>
            </w:pPr>
            <w:r>
              <w:rPr>
                <w:sz w:val="15"/>
                <w:szCs w:val="15"/>
              </w:rPr>
              <w:t xml:space="preserve">Loss on settlement of a lawsuit (unusual for Orontes)</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Dry-foods division: operating loss before tax</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Dry-foods division: gain on sale before tax</w:t>
            </w:r>
          </w:p>
        </w:tc>
        <w:tc>
          <w:tcPr>
            <w:tcW w:type="pct" w:w="2600"/>
            <w:shd w:fill="FBFAF6" w:val="clear"/>
            <w:tcMar>
              <w:top w:type="dxa" w:w="50"/>
              <w:left w:type="dxa" w:w="110"/>
              <w:bottom w:type="dxa" w:w="50"/>
              <w:right w:type="dxa" w:w="110"/>
            </w:tcMar>
          </w:tcPr>
          <w:p>
            <w:pPr>
              <w:spacing w:before="28" w:after="28"/>
            </w:pPr>
            <w:r>
              <w:rPr>
                <w:sz w:val="15"/>
                <w:szCs w:val="15"/>
              </w:rPr>
              <w:t xml:space="preserve">280</w:t>
            </w:r>
          </w:p>
        </w:tc>
      </w:tr>
      <w:tr>
        <w:tc>
          <w:tcPr>
            <w:tcW w:type="pct" w:w="2400"/>
            <w:tcMar>
              <w:top w:type="dxa" w:w="50"/>
              <w:left w:type="dxa" w:w="110"/>
              <w:bottom w:type="dxa" w:w="50"/>
              <w:right w:type="dxa" w:w="110"/>
            </w:tcMar>
          </w:tcPr>
          <w:p>
            <w:pPr>
              <w:spacing w:before="28" w:after="28"/>
            </w:pPr>
            <w:r>
              <w:rPr>
                <w:sz w:val="15"/>
                <w:szCs w:val="15"/>
              </w:rPr>
              <w:t xml:space="preserve">Unrealized holding gain on AFS debt securities during 2027</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Realized gain on AFS securities sold in 2027 (included in AOCI before)</w:t>
            </w:r>
          </w:p>
        </w:tc>
        <w:tc>
          <w:tcPr>
            <w:tcW w:type="pct" w:w="2600"/>
            <w:shd w:fill="FBFAF6" w:val="clear"/>
            <w:tcMar>
              <w:top w:type="dxa" w:w="50"/>
              <w:left w:type="dxa" w:w="110"/>
              <w:bottom w:type="dxa" w:w="50"/>
              <w:right w:type="dxa" w:w="110"/>
            </w:tcMar>
          </w:tcPr>
          <w:p>
            <w:pPr>
              <w:spacing w:before="28" w:after="28"/>
            </w:pPr>
            <w:r>
              <w:rPr>
                <w:sz w:val="15"/>
                <w:szCs w:val="15"/>
              </w:rPr>
              <w:t xml:space="preserve">24</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2027 Orontes sold its dry-foods division, one of its main product lines. The sale is a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with a major effect.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tax rate is 25% on all items. The realized AFS gain is already in the other income figures.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Orontes presents one continuous statement of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items   ·   strategic shift   ·   comprehensive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All operations in Jordan</w:t>
            </w:r>
          </w:p>
        </w:tc>
        <w:tc>
          <w:tcPr>
            <w:tcW w:type="pct" w:w="2600"/>
            <w:tcMar>
              <w:top w:type="dxa" w:w="50"/>
              <w:left w:type="dxa" w:w="110"/>
              <w:bottom w:type="dxa" w:w="50"/>
              <w:right w:type="dxa" w:w="110"/>
            </w:tcMar>
          </w:tcPr>
          <w:p>
            <w:pPr>
              <w:spacing w:before="28" w:after="28"/>
            </w:pPr>
            <w:r>
              <w:rPr>
                <w:sz w:val="15"/>
                <w:szCs w:val="15"/>
              </w:rPr>
              <w:t xml:space="preserve">Yes: a major geographic area.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An old bottling machine</w:t>
            </w:r>
          </w:p>
        </w:tc>
        <w:tc>
          <w:tcPr>
            <w:tcW w:type="pct" w:w="2600"/>
            <w:shd w:fill="FBFAF6" w:val="clear"/>
            <w:tcMar>
              <w:top w:type="dxa" w:w="50"/>
              <w:left w:type="dxa" w:w="110"/>
              <w:bottom w:type="dxa" w:w="50"/>
              <w:right w:type="dxa" w:w="110"/>
            </w:tcMar>
          </w:tcPr>
          <w:p>
            <w:pPr>
              <w:spacing w:before="28" w:after="28"/>
            </w:pPr>
            <w:r>
              <w:rPr>
                <w:sz w:val="15"/>
                <w:szCs w:val="15"/>
              </w:rPr>
              <w:t xml:space="preserve">No: a single asset; the gain or loss stays in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operations.</w:t>
            </w:r>
          </w:p>
        </w:tc>
      </w:tr>
      <w:tr>
        <w:tc>
          <w:tcPr>
            <w:tcW w:type="pct" w:w="2400"/>
            <w:tcMar>
              <w:top w:type="dxa" w:w="50"/>
              <w:left w:type="dxa" w:w="110"/>
              <w:bottom w:type="dxa" w:w="50"/>
              <w:right w:type="dxa" w:w="110"/>
            </w:tcMar>
          </w:tcPr>
          <w:p>
            <w:pPr>
              <w:spacing w:before="28" w:after="28"/>
            </w:pPr>
            <w:r>
              <w:rPr>
                <w:sz w:val="15"/>
                <w:szCs w:val="15"/>
              </w:rPr>
              <w:t xml:space="preserve">The stake in Jordan Glass</w:t>
            </w:r>
          </w:p>
        </w:tc>
        <w:tc>
          <w:tcPr>
            <w:tcW w:type="pct" w:w="2600"/>
            <w:tcMar>
              <w:top w:type="dxa" w:w="50"/>
              <w:left w:type="dxa" w:w="110"/>
              <w:bottom w:type="dxa" w:w="50"/>
              <w:right w:type="dxa" w:w="110"/>
            </w:tcMar>
          </w:tcPr>
          <w:p>
            <w:pPr>
              <w:spacing w:before="28" w:after="28"/>
            </w:pPr>
            <w:r>
              <w:rPr>
                <w:sz w:val="15"/>
                <w:szCs w:val="15"/>
              </w:rPr>
              <w:t xml:space="preserve">Yes: a major equity-method investment.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One juice flavour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Definition of discontinued operation   ·   continuing</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Dry-foods operating loss   ·   held for sale   ·   Lawsuit settlement loss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مكسب (مكاسب)   ·   discontinued operation</w:t>
            </w:r>
          </w:p>
        </w:tc>
      </w:tr>
    </w:tbl>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Presentation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gain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extraordinary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per-share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 not a 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Lawsuit settlement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Component + strategic shift with a major effect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Dry-foods operating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Highly probable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Re-presented: assets and liabilities shown 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discontinued operation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Not allowed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results of a discontinued operation, including its operating results and any remeasurement or disposal gain or loss, are shown net of their own tax below income from continuing operations. Public companies also show per-share amounts for discontinued operations. The comparative years are reclassified so that all periods are shown on the same basis. On the balance sheet, the assets and liabilities of a discontinued operation are shown separately for all periods presented. Held-for-sale assets that are not a discontinued operation are also shown separately, but their results stay in continuing operations.</w:t>
      </w:r>
    </w:p>
    <w:p>
      <w:pPr>
        <w:spacing w:before="20" w:after="20"/>
        <w:ind w:left="240" w:hanging="240"/>
      </w:pPr>
      <w:r>
        <w:rPr>
          <w:b/>
          <w:bCs/>
          <w:color w:val="353A7C"/>
          <w:sz w:val="15"/>
          <w:szCs w:val="15"/>
        </w:rPr>
        <w:t xml:space="preserve">Summary 2   </w:t>
      </w:r>
      <w:r>
        <w:rPr>
          <w:color w:val="6B7280"/>
          <w:sz w:val="15"/>
          <w:szCs w:val="15"/>
        </w:rPr>
        <w:t xml:space="preserve">U.S. GAAP has no extraordinary items: unusual or infrequent items stay in continuing operations, before tax. Only discontinued operations are shown net of tax below continuing operations.</w:t>
      </w:r>
    </w:p>
    <w:p>
      <w:pPr>
        <w:sectPr>
          <w:headerReference w:type="default" r:id="rIdHdr1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consolidated statements are</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69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734050" cy="2693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proportionate consolidatio   ·   IFRS differences and what is changing   ·   What consolidated statements are   ·   Eliminating intercompany balances and transact</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Consolidated financial statements present a parent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a single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entity. </w:t>
      </w:r>
      <w:r>
        <w:rPr>
          <w:sz w:val="19"/>
          <w:szCs w:val="19"/>
        </w:rPr>
        <w:t xml:space="preserve">They are prepared mainly for the parent's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creditors, who need to see all the resources the group controls and all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another entity when it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financial interest in it.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adds all of the subsidiary's assets,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revenues and expenses to the parent's, line by line, even when the parent owns less than all of its shares. </w:t>
      </w:r>
      <w:r>
        <w:rPr>
          <w:sz w:val="19"/>
          <w:szCs w:val="19"/>
        </w:rPr>
        <w:t xml:space="preserve">The part of a subsidiary's equity that the parent does not own is the noncontrolling interest (NCI). </w:t>
      </w:r>
      <w:r>
        <w:rPr>
          <w:sz w:val="19"/>
          <w:szCs w:val="19"/>
        </w:rPr>
        <w:t xml:space="preserve">It is shown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consolidated equity,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parent's equity. </w:t>
      </w:r>
      <w:r>
        <w:rPr>
          <w:sz w:val="19"/>
          <w:szCs w:val="19"/>
        </w:rPr>
        <w:t xml:space="preserve">Net income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are split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parent and NCI on the face of the statements. </w:t>
      </w:r>
      <w:r>
        <w:rPr>
          <w:sz w:val="19"/>
          <w:szCs w:val="19"/>
        </w:rPr>
        <w:t xml:space="preserve">These older terms still appear in many MENA and French texts. </w:t>
      </w:r>
      <w:r>
        <w:rPr>
          <w:sz w:val="19"/>
          <w:szCs w:val="19"/>
        </w:rPr>
        <w:t xml:space="preserve">The exam uses noncontrolling interest. </w:t>
      </w:r>
      <w:r>
        <w:rPr>
          <w:sz w:val="19"/>
          <w:szCs w:val="19"/>
        </w:rPr>
        <w:t xml:space="preserve">It is equity, never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subsidiaries   ·   separately   ·   controlling   ·   Consolidation   ·   between   ·   consolidates   ·   comprehensive   ·   obligations   ·   controls   ·   shareholders   ·   economic   ·   liabilities   ·   within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beneficiary   ·   subsidiary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الموحدة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parent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المنشأة الأم</w:t>
            </w:r>
          </w:p>
        </w:tc>
      </w:tr>
      <w:tr>
        <w:tc>
          <w:tcPr>
            <w:tcW w:type="pct" w:w="2600"/>
            <w:tcMar>
              <w:top w:type="dxa" w:w="50"/>
              <w:left w:type="dxa" w:w="110"/>
              <w:bottom w:type="dxa" w:w="50"/>
              <w:right w:type="dxa" w:w="110"/>
            </w:tcMar>
          </w:tcPr>
          <w:p>
            <w:pPr>
              <w:spacing w:before="26" w:after="26"/>
            </w:pPr>
            <w:r>
              <w:rPr>
                <w:color w:val="232733"/>
                <w:sz w:val="16"/>
                <w:szCs w:val="16"/>
              </w:rPr>
              <w:t xml:space="preserve">subsidiary</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التابعة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الحصة المالية المسيطرة</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الحصص غير المسيطرة</w:t>
            </w:r>
          </w:p>
        </w:tc>
      </w:tr>
    </w:tbl>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consolidated statements are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consolidated statements 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Full consolidation, proportionate consolidatio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IFRS differences and what is changing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Consolidated financial statements present a parent and its subsidiaries as a single economic entity. They are prepared mainly for the parent's shareholders and creditors, who need to see all the resources the group controls and all its obligations. A company consolidates another entity when it has a controlling financial interest in it. Consolidation adds all of the subsidiary's assets, liabilities, revenues and expenses to the parent's, line by line, even when the parent owns less than all of its shares. The part of a subsidiary's equity that the parent does not own is the noncontrolling interest (NCI). It is shown within consolidated equity, separately from the parent's equity. Net income and comprehensive income are split between the parent and NCI on the face of the statements. These older terms still appear in many MENA and French texts. The exam uses noncontrolling interest. It is equity, never a liability.</w:t>
      </w:r>
    </w:p>
    <w:p>
      <w:pPr>
        <w:sectPr>
          <w:headerReference w:type="default" r:id="rIdHdr1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Two control models: VIE first, then votes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U.S. GAAP has two ways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and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order. </w:t>
      </w:r>
      <w:r>
        <w:rPr>
          <w:sz w:val="19"/>
          <w:szCs w:val="19"/>
        </w:rPr>
        <w:t xml:space="preserve">First, the company asks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other entity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interest entity (VIE). </w:t>
      </w:r>
      <w:r>
        <w:rPr>
          <w:sz w:val="19"/>
          <w:szCs w:val="19"/>
        </w:rPr>
        <w:t xml:space="preserve">An entity is a VIE if its equity at risk is too small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its activities, or if its equity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do not have the power to direct it or do not bear its losses and returns. </w:t>
      </w:r>
      <w:r>
        <w:rPr>
          <w:sz w:val="19"/>
          <w:szCs w:val="19"/>
        </w:rPr>
        <w:t xml:space="preserve">A VIE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its primary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party that has both the power to direct the activities that most affect the VIE's performance and the obligation to absorb losses, or the right to receive benefits, that could be significant. </w:t>
      </w:r>
      <w:r>
        <w:rPr>
          <w:sz w:val="19"/>
          <w:szCs w:val="19"/>
        </w:rPr>
        <w:t xml:space="preserve">Both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required. </w:t>
      </w:r>
      <w:r>
        <w:rPr>
          <w:sz w:val="19"/>
          <w:szCs w:val="19"/>
        </w:rPr>
        <w:t xml:space="preserve">If the entity is not a VIE,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model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holds more than 50% of the votes generally controls the entity, unless other owners have substantive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rights, such as the right to approve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holders   ·   variable   ·   applies   ·   consolidated   ·   conditions   ·   applied   ·   beneficiary   ·   participating   ·   primary   ·   voting   ·   finance   ·   identify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cold-chain entity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a logistics entrepreneur owns all the shares of Orontes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Logistics SPV. </w:t>
      </w:r>
      <w:r>
        <w:rPr>
          <w:sz w:val="19"/>
          <w:szCs w:val="19"/>
        </w:rPr>
        <w:t xml:space="preserve">The shares cost $100,000. </w:t>
      </w:r>
      <w:r>
        <w:rPr>
          <w:sz w:val="19"/>
          <w:szCs w:val="19"/>
        </w:rPr>
        <w:t xml:space="preserve">Banks lend $9,900,000,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by Orontes. </w:t>
      </w:r>
      <w:r>
        <w:rPr>
          <w:sz w:val="19"/>
          <w:szCs w:val="19"/>
        </w:rPr>
        <w:t xml:space="preserve">Equity is only 1% of the funding, and Orontes decides routes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SPV is a VIE. </w:t>
      </w:r>
      <w:r>
        <w:rPr>
          <w:sz w:val="19"/>
          <w:szCs w:val="19"/>
        </w:rPr>
        <w:t xml:space="preserve">Orontes has the power and bears the losses through its guarantee, so it is the primary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SPV although it owns no shares.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$100,000 is NCI.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Cold-Chain   ·   activities   ·   entrepreneur's   ·   beneficiary   ·   guaranteed   ·   consolidates   ·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is the cold-chain SPV a VIE, and who consolidates it?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Orontes Cold-Chain Logistics SPV, 2027</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 (whole USD)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Conclusion</w:t>
            </w:r>
          </w:p>
        </w:tc>
      </w:tr>
      <w:tr>
        <w:tc>
          <w:tcPr>
            <w:tcW w:type="pct" w:w="2042"/>
            <w:tcMar>
              <w:top w:type="dxa" w:w="50"/>
              <w:left w:type="dxa" w:w="110"/>
              <w:bottom w:type="dxa" w:w="50"/>
              <w:right w:type="dxa" w:w="110"/>
            </w:tcMar>
          </w:tcPr>
          <w:p>
            <w:pPr>
              <w:spacing w:before="28" w:after="28"/>
            </w:pPr>
            <w:r>
              <w:rPr>
                <w:sz w:val="15"/>
                <w:szCs w:val="15"/>
              </w:rPr>
              <w:t xml:space="preserve">Is equity at risk enough to finance the activities?</w:t>
            </w:r>
          </w:p>
        </w:tc>
        <w:tc>
          <w:tcPr>
            <w:tcW w:type="pct" w:w="2200"/>
            <w:tcMar>
              <w:top w:type="dxa" w:w="50"/>
              <w:left w:type="dxa" w:w="110"/>
              <w:bottom w:type="dxa" w:w="50"/>
              <w:right w:type="dxa" w:w="110"/>
            </w:tcMar>
          </w:tcPr>
          <w:p>
            <w:pPr>
              <w:spacing w:before="28" w:after="28"/>
            </w:pPr>
            <w:r>
              <w:rPr>
                <w:sz w:val="15"/>
                <w:szCs w:val="15"/>
              </w:rPr>
              <w:t xml:space="preserve">No: third-party equity is 100,000, only 1% of total funding</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Do the equity holders direct the key activities?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58"/>
            <w:shd w:fill="FBFAF6" w:val="clear"/>
            <w:tcMar>
              <w:top w:type="dxa" w:w="50"/>
              <w:left w:type="dxa" w:w="110"/>
              <w:bottom w:type="dxa" w:w="50"/>
              <w:right w:type="dxa" w:w="110"/>
            </w:tcMar>
          </w:tcPr>
          <w:p>
            <w:pPr>
              <w:spacing w:before="28" w:after="28"/>
            </w:pPr>
            <w:r>
              <w:rPr>
                <w:sz w:val="15"/>
                <w:szCs w:val="15"/>
              </w:rPr>
              <w:t xml:space="preserve">VIE</w:t>
            </w:r>
          </w:p>
        </w:tc>
      </w:tr>
      <w:tr>
        <w:tc>
          <w:tcPr>
            <w:tcW w:type="pct" w:w="2042"/>
            <w:tcMar>
              <w:top w:type="dxa" w:w="50"/>
              <w:left w:type="dxa" w:w="110"/>
              <w:bottom w:type="dxa" w:w="50"/>
              <w:right w:type="dxa" w:w="110"/>
            </w:tcMar>
          </w:tcPr>
          <w:p>
            <w:pPr>
              <w:spacing w:before="28" w:after="28"/>
            </w:pPr>
            <w:r>
              <w:rPr>
                <w:sz w:val="15"/>
                <w:szCs w:val="15"/>
              </w:rPr>
              <w:t xml:space="preserve">Who absorbs losses?</w:t>
            </w:r>
          </w:p>
        </w:tc>
        <w:tc>
          <w:tcPr>
            <w:tcW w:type="pct" w:w="2200"/>
            <w:tcMar>
              <w:top w:type="dxa" w:w="50"/>
              <w:left w:type="dxa" w:w="110"/>
              <w:bottom w:type="dxa" w:w="50"/>
              <w:right w:type="dxa" w:w="110"/>
            </w:tcMar>
          </w:tcPr>
          <w:p>
            <w:pPr>
              <w:spacing w:before="28" w:after="28"/>
            </w:pPr>
            <w:r>
              <w:rPr>
                <w:sz w:val="15"/>
                <w:szCs w:val="15"/>
              </w:rPr>
              <w:t xml:space="preserve">Orontes guarantees the 9,900,000 of debt</w:t>
            </w:r>
          </w:p>
        </w:tc>
        <w:tc>
          <w:tcPr>
            <w:tcW w:type="pct" w:w="758"/>
            <w:tcMar>
              <w:top w:type="dxa" w:w="50"/>
              <w:left w:type="dxa" w:w="110"/>
              <w:bottom w:type="dxa" w:w="50"/>
              <w:right w:type="dxa" w:w="110"/>
            </w:tcMar>
          </w:tcPr>
          <w:p>
            <w:pPr>
              <w:spacing w:before="28" w:after="28"/>
            </w:pPr>
            <w:r>
              <w:rPr>
                <w:sz w:val="15"/>
                <w:szCs w:val="15"/>
              </w:rPr>
              <w:t xml:space="preserve">Orontes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Primary beneficiary?</w:t>
            </w:r>
          </w:p>
        </w:tc>
        <w:tc>
          <w:tcPr>
            <w:tcW w:type="pct" w:w="2200"/>
            <w:shd w:fill="FBFAF6" w:val="clear"/>
            <w:tcMar>
              <w:top w:type="dxa" w:w="50"/>
              <w:left w:type="dxa" w:w="110"/>
              <w:bottom w:type="dxa" w:w="50"/>
              <w:right w:type="dxa" w:w="110"/>
            </w:tcMar>
          </w:tcPr>
          <w:p>
            <w:pPr>
              <w:spacing w:before="28" w:after="28"/>
            </w:pPr>
            <w:r>
              <w:rPr>
                <w:sz w:val="15"/>
                <w:szCs w:val="15"/>
              </w:rPr>
              <w:t xml:space="preserve">Orontes has both power and exposure to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losses</w:t>
            </w:r>
          </w:p>
        </w:tc>
        <w:tc>
          <w:tcPr>
            <w:tcW w:type="pct" w:w="758"/>
            <w:shd w:fill="FBFAF6" w:val="clear"/>
            <w:tcMar>
              <w:top w:type="dxa" w:w="50"/>
              <w:left w:type="dxa" w:w="110"/>
              <w:bottom w:type="dxa" w:w="50"/>
              <w:right w:type="dxa" w:w="110"/>
            </w:tcMar>
          </w:tcPr>
          <w:p>
            <w:pPr>
              <w:spacing w:before="28" w:after="28"/>
            </w:pPr>
            <w:r>
              <w:rPr>
                <w:sz w:val="15"/>
                <w:szCs w:val="15"/>
              </w:rPr>
              <w:t xml:space="preserve">Orontes consolidates</w:t>
            </w:r>
          </w:p>
        </w:tc>
      </w:tr>
      <w:tr>
        <w:tc>
          <w:tcPr>
            <w:tcW w:type="pct" w:w="2042"/>
            <w:tcMar>
              <w:top w:type="dxa" w:w="50"/>
              <w:left w:type="dxa" w:w="110"/>
              <w:bottom w:type="dxa" w:w="50"/>
              <w:right w:type="dxa" w:w="110"/>
            </w:tcMar>
          </w:tcPr>
          <w:p>
            <w:pPr>
              <w:spacing w:before="28" w:after="28"/>
            </w:pPr>
            <w:r>
              <w:rPr>
                <w:sz w:val="15"/>
                <w:szCs w:val="15"/>
              </w:rPr>
              <w:t xml:space="preserve">NCI in consolidation</w:t>
            </w:r>
          </w:p>
        </w:tc>
        <w:tc>
          <w:tcPr>
            <w:tcW w:type="pct" w:w="2200"/>
            <w:tcMar>
              <w:top w:type="dxa" w:w="50"/>
              <w:left w:type="dxa" w:w="110"/>
              <w:bottom w:type="dxa" w:w="50"/>
              <w:right w:type="dxa" w:w="110"/>
            </w:tcMar>
          </w:tcPr>
          <w:p>
            <w:pPr>
              <w:spacing w:before="28" w:after="28"/>
            </w:pPr>
            <w:r>
              <w:rPr>
                <w:sz w:val="15"/>
                <w:szCs w:val="15"/>
              </w:rPr>
              <w:t xml:space="preserve">The third party's equity of 100,000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controlling financial interest   ·   Shown as NCI   ·   No: Orontes decides routes and customers   ·   Suggests a VIE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Control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Test the VIE model before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votes. </w:t>
      </w:r>
      <w:r>
        <w:rPr>
          <w:sz w:val="19"/>
          <w:szCs w:val="19"/>
        </w:rPr>
        <w:t xml:space="preserve">The primary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needs power AND significant economics, not one of them. </w:t>
      </w:r>
      <w:r>
        <w:rPr>
          <w:sz w:val="19"/>
          <w:szCs w:val="19"/>
        </w:rPr>
        <w:t xml:space="preserve">Under U.S. GAAP, less than half of the votes is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even if the other owners are widely spread.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beneficiary   ·   control   ·   counting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00"/>
            <w:tcMar>
              <w:top w:type="dxa" w:w="50"/>
              <w:left w:type="dxa" w:w="110"/>
              <w:bottom w:type="dxa" w:w="50"/>
              <w:right w:type="dxa" w:w="110"/>
            </w:tcMar>
          </w:tcPr>
          <w:p>
            <w:pPr>
              <w:spacing w:before="26" w:after="26"/>
            </w:pPr>
            <w:r>
              <w:rPr>
                <w:color w:val="232733"/>
                <w:sz w:val="16"/>
                <w:szCs w:val="16"/>
              </w:rPr>
              <w:t xml:space="preserve">منشأة ذات حصص متغيرة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المستفيد الرئيسي</w:t>
            </w:r>
          </w:p>
        </w:tc>
      </w:tr>
    </w:tbl>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Two control models: VIE first, then votes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consolidates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entrepreneur's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holders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Suggests a VIE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consolidated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 Orontes decides routes and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beneficiary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Shown as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voting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participating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Cold-Chain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has two ways to identify control, and they are applied in order. First, the company asks whether the other entity is a variable interest entity (VIE). An entity is a VIE if its equity at risk is too small to finance its activities, or if its equity holders do not have the power to direct it or do not bear its losses and returns. A VIE is consolidated by its primary beneficiary: the party that has both the power to direct the activities that most affect the VIE's performance and the obligation to absorb losses, or the right to receive benefits, that could be significant. Both conditions are required. If the entity is not a VIE, the voting interest model applies. A company that holds more than 50% of the votes generally controls the entity, unless other owners have substantive participating rights, such as the right to approve budgets.</w:t>
      </w:r>
    </w:p>
    <w:p>
      <w:pPr>
        <w:spacing w:before="20" w:after="20"/>
        <w:ind w:left="240" w:hanging="240"/>
      </w:pPr>
      <w:r>
        <w:rPr>
          <w:b/>
          <w:bCs/>
          <w:color w:val="353A7C"/>
          <w:sz w:val="15"/>
          <w:szCs w:val="15"/>
        </w:rPr>
        <w:t xml:space="preserve">Summary 2   </w:t>
      </w:r>
      <w:r>
        <w:rPr>
          <w:color w:val="6B7280"/>
          <w:sz w:val="15"/>
          <w:szCs w:val="15"/>
        </w:rPr>
        <w:t xml:space="preserve">Suppose a logistics entrepreneur owns all the shares of Orontes Cold-Chain Logistics SPV. The shares cost $100,000. Banks lend $9,900,000, guaranteed by Orontes. Equity is only 1% of the funding, and Orontes decides routes and customers: the SPV is a VIE. Orontes has the power and bears the losses through its guarantee, so it is the primary beneficiary. Orontes consolidates the SPV although it owns no shares. The entrepreneur's $100,000 is NCI.</w:t>
      </w:r>
    </w:p>
    <w:p>
      <w:pPr>
        <w:spacing w:before="20" w:after="20"/>
        <w:ind w:left="240" w:hanging="240"/>
      </w:pPr>
      <w:r>
        <w:rPr>
          <w:b/>
          <w:bCs/>
          <w:color w:val="353A7C"/>
          <w:sz w:val="15"/>
          <w:szCs w:val="15"/>
        </w:rPr>
        <w:t xml:space="preserve">Summary 3   </w:t>
      </w:r>
      <w:r>
        <w:rPr>
          <w:color w:val="6B7280"/>
          <w:sz w:val="15"/>
          <w:szCs w:val="15"/>
        </w:rPr>
        <w:t xml:space="preserve">Test the VIE model before counting votes. The primary beneficiary needs power AND significant economics, not one of them. Under U.S. GAAP, less than half of the votes is not control, even if the other owners are widely spread.</w:t>
      </w:r>
    </w:p>
    <w:p>
      <w:pPr>
        <w:sectPr>
          <w:headerReference w:type="default" r:id="rIdHdr1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Full consolidation, proportionate consolidation and the equity method</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Full consolidation is used for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are added in full, and NCI shows the part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does not own. </w:t>
      </w:r>
      <w:r>
        <w:rPr>
          <w:sz w:val="19"/>
          <w:szCs w:val="19"/>
        </w:rPr>
        <w:t xml:space="preserve">The equity method, which the LOS call 'equity consolidation', is used when the investor has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influence, usually 20% to 50% of the votes, and for most joint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one line on the balance sheet, and the investor's share of income is one line on the income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for Jordan Glass.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consolidation adds only the investor's share of each asset,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revenue and expense. </w:t>
      </w:r>
      <w:r>
        <w:rPr>
          <w:sz w:val="19"/>
          <w:szCs w:val="19"/>
        </w:rPr>
        <w:t xml:space="preserve">U.S. GAAP generally does not allow it; it survives only for some construction and oil and gas interests.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bottles   ·   investment   ·   subsidiary's   ·   Proportionate   ·   controls   ·   statement   ·   ventures   ·   significant   ·   entity   ·   parent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77"/>
        <w:gridCol w:w="2874"/>
        <w:gridCol w:w="2740"/>
        <w:gridCol w:w="1397"/>
        <w:gridCol w:w="111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Full consolidation, equity method and proportionate consolidation</w:t>
            </w:r>
          </w:p>
        </w:tc>
      </w:tr>
      <w:tr>
        <w:tc>
          <w:tcPr>
            <w:tcW w:type="pct" w:w="76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497"/>
            <w:shd w:fill="353A7C" w:val="clear"/>
            <w:tcMar>
              <w:top w:type="dxa" w:w="50"/>
              <w:left w:type="dxa" w:w="110"/>
              <w:bottom w:type="dxa" w:w="50"/>
              <w:right w:type="dxa" w:w="110"/>
            </w:tcMar>
          </w:tcPr>
          <w:p>
            <w:pPr>
              <w:spacing w:before="30" w:after="30"/>
            </w:pPr>
            <w:r>
              <w:rPr>
                <w:b/>
                <w:bCs/>
                <w:color w:val="FFFFFF"/>
                <w:sz w:val="15"/>
                <w:szCs w:val="15"/>
              </w:rPr>
              <w:t xml:space="preserve">When used (U.S. GAAP)</w:t>
            </w:r>
          </w:p>
        </w:tc>
        <w:tc>
          <w:tcPr>
            <w:tcW w:type="pct" w:w="1427"/>
            <w:shd w:fill="353A7C" w:val="clear"/>
            <w:tcMar>
              <w:top w:type="dxa" w:w="50"/>
              <w:left w:type="dxa" w:w="110"/>
              <w:bottom w:type="dxa" w:w="50"/>
              <w:right w:type="dxa" w:w="110"/>
            </w:tcMar>
          </w:tcPr>
          <w:p>
            <w:pPr>
              <w:spacing w:before="30" w:after="30"/>
            </w:pPr>
            <w:r>
              <w:rPr>
                <w:b/>
                <w:bCs/>
                <w:color w:val="FFFFFF"/>
                <w:sz w:val="15"/>
                <w:szCs w:val="15"/>
              </w:rPr>
              <w:t xml:space="preserve">What appears</w:t>
            </w:r>
          </w:p>
        </w:tc>
        <w:tc>
          <w:tcPr>
            <w:tcW w:type="pct" w:w="728"/>
            <w:shd w:fill="353A7C" w:val="clear"/>
            <w:tcMar>
              <w:top w:type="dxa" w:w="50"/>
              <w:left w:type="dxa" w:w="110"/>
              <w:bottom w:type="dxa" w:w="50"/>
              <w:right w:type="dxa" w:w="110"/>
            </w:tcMar>
          </w:tcPr>
          <w:p>
            <w:pPr>
              <w:spacing w:before="30" w:after="30"/>
            </w:pPr>
            <w:r>
              <w:rPr>
                <w:b/>
                <w:bCs/>
                <w:color w:val="FFFFFF"/>
                <w:sz w:val="15"/>
                <w:szCs w:val="15"/>
              </w:rPr>
              <w:t xml:space="preserve">Intercompany profit removed</w:t>
            </w:r>
          </w:p>
        </w:tc>
        <w:tc>
          <w:tcPr>
            <w:tcW w:type="pct" w:w="579"/>
            <w:shd w:fill="353A7C" w:val="clear"/>
            <w:tcMar>
              <w:top w:type="dxa" w:w="50"/>
              <w:left w:type="dxa" w:w="110"/>
              <w:bottom w:type="dxa" w:w="50"/>
              <w:right w:type="dxa" w:w="110"/>
            </w:tcMar>
          </w:tcPr>
          <w:p>
            <w:pPr>
              <w:spacing w:before="30" w:after="30"/>
            </w:pPr>
            <w:r>
              <w:rPr>
                <w:b/>
                <w:bCs/>
                <w:color w:val="FFFFFF"/>
                <w:sz w:val="15"/>
                <w:szCs w:val="15"/>
              </w:rPr>
              <w:t xml:space="preserve">Orontes</w:t>
            </w:r>
          </w:p>
        </w:tc>
      </w:tr>
      <w:tr>
        <w:tc>
          <w:tcPr>
            <w:tcW w:type="pct" w:w="769"/>
            <w:tcMar>
              <w:top w:type="dxa" w:w="50"/>
              <w:left w:type="dxa" w:w="110"/>
              <w:bottom w:type="dxa" w:w="50"/>
              <w:right w:type="dxa" w:w="110"/>
            </w:tcMar>
          </w:tcPr>
          <w:p>
            <w:pPr>
              <w:spacing w:before="28" w:after="28"/>
            </w:pPr>
            <w:r>
              <w:rPr>
                <w:sz w:val="15"/>
                <w:szCs w:val="15"/>
              </w:rPr>
              <w:t xml:space="preserve">Full consolidation</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27"/>
            <w:tcMar>
              <w:top w:type="dxa" w:w="50"/>
              <w:left w:type="dxa" w:w="110"/>
              <w:bottom w:type="dxa" w:w="50"/>
              <w:right w:type="dxa" w:w="110"/>
            </w:tcMar>
          </w:tcPr>
          <w:p>
            <w:pPr>
              <w:spacing w:before="28" w:after="28"/>
            </w:pPr>
            <w:r>
              <w:rPr>
                <w:sz w:val="15"/>
                <w:szCs w:val="15"/>
              </w:rPr>
              <w:t xml:space="preserve">100% of each asset,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revenue and expense; NCI shown</w:t>
            </w:r>
          </w:p>
        </w:tc>
        <w:tc>
          <w:tcPr>
            <w:tcW w:type="pct" w:w="728"/>
            <w:tcMar>
              <w:top w:type="dxa" w:w="50"/>
              <w:left w:type="dxa" w:w="110"/>
              <w:bottom w:type="dxa" w:w="50"/>
              <w:right w:type="dxa" w:w="110"/>
            </w:tcMar>
          </w:tcPr>
          <w:p>
            <w:pPr>
              <w:spacing w:before="28" w:after="28"/>
            </w:pPr>
            <w:r>
              <w:rPr>
                <w:sz w:val="15"/>
                <w:szCs w:val="15"/>
              </w:rPr>
              <w:t xml:space="preserve">100% of intercompany items</w:t>
            </w:r>
          </w:p>
        </w:tc>
        <w:tc>
          <w:tcPr>
            <w:tcW w:type="pct" w:w="579"/>
            <w:tcMar>
              <w:top w:type="dxa" w:w="50"/>
              <w:left w:type="dxa" w:w="110"/>
              <w:bottom w:type="dxa" w:w="50"/>
              <w:right w:type="dxa" w:w="110"/>
            </w:tcMar>
          </w:tcPr>
          <w:p>
            <w:pPr>
              <w:spacing w:before="28" w:after="28"/>
            </w:pPr>
            <w:r>
              <w:rPr>
                <w:sz w:val="15"/>
                <w:szCs w:val="15"/>
              </w:rPr>
              <w:t xml:space="preserve">Levant (80%)</w:t>
            </w:r>
          </w:p>
        </w:tc>
      </w:tr>
      <w:tr>
        <w:tc>
          <w:tcPr>
            <w:tcW w:type="pct" w:w="769"/>
            <w:shd w:fill="FBFAF6" w:val="clear"/>
            <w:tcMar>
              <w:top w:type="dxa" w:w="50"/>
              <w:left w:type="dxa" w:w="110"/>
              <w:bottom w:type="dxa" w:w="50"/>
              <w:right w:type="dxa" w:w="110"/>
            </w:tcMar>
          </w:tcPr>
          <w:p>
            <w:pPr>
              <w:spacing w:before="28" w:after="28"/>
            </w:pPr>
            <w:r>
              <w:rPr>
                <w:sz w:val="15"/>
                <w:szCs w:val="15"/>
              </w:rPr>
              <w:t xml:space="preserve">Equity method</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27"/>
            <w:shd w:fill="FBFAF6" w:val="clear"/>
            <w:tcMar>
              <w:top w:type="dxa" w:w="50"/>
              <w:left w:type="dxa" w:w="110"/>
              <w:bottom w:type="dxa" w:w="50"/>
              <w:right w:type="dxa" w:w="110"/>
            </w:tcMar>
          </w:tcPr>
          <w:p>
            <w:pPr>
              <w:spacing w:before="28" w:after="28"/>
            </w:pPr>
            <w:r>
              <w:rPr>
                <w:sz w:val="15"/>
                <w:szCs w:val="15"/>
              </w:rPr>
              <w:t xml:space="preserve">One line: investment and share of income</w:t>
            </w:r>
          </w:p>
        </w:tc>
        <w:tc>
          <w:tcPr>
            <w:tcW w:type="pct" w:w="72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579"/>
            <w:shd w:fill="FBFAF6" w:val="clear"/>
            <w:tcMar>
              <w:top w:type="dxa" w:w="50"/>
              <w:left w:type="dxa" w:w="110"/>
              <w:bottom w:type="dxa" w:w="50"/>
              <w:right w:type="dxa" w:w="110"/>
            </w:tcMar>
          </w:tcPr>
          <w:p>
            <w:pPr>
              <w:spacing w:before="28" w:after="28"/>
            </w:pPr>
            <w:r>
              <w:rPr>
                <w:sz w:val="15"/>
                <w:szCs w:val="15"/>
              </w:rPr>
              <w:t xml:space="preserve">Jordan Glass (30%)</w:t>
            </w:r>
          </w:p>
        </w:tc>
      </w:tr>
      <w:tr>
        <w:tc>
          <w:tcPr>
            <w:tcW w:type="pct" w:w="769"/>
            <w:tcMar>
              <w:top w:type="dxa" w:w="50"/>
              <w:left w:type="dxa" w:w="110"/>
              <w:bottom w:type="dxa" w:w="50"/>
              <w:right w:type="dxa" w:w="110"/>
            </w:tcMar>
          </w:tcPr>
          <w:p>
            <w:pPr>
              <w:spacing w:before="28" w:after="28"/>
            </w:pPr>
            <w:r>
              <w:rPr>
                <w:sz w:val="15"/>
                <w:szCs w:val="15"/>
              </w:rPr>
              <w:t xml:space="preserve">Proportionate consolidation</w:t>
            </w:r>
          </w:p>
        </w:tc>
        <w:tc>
          <w:tcPr>
            <w:tcW w:type="pct" w:w="1497"/>
            <w:tcMar>
              <w:top w:type="dxa" w:w="50"/>
              <w:left w:type="dxa" w:w="110"/>
              <w:bottom w:type="dxa" w:w="50"/>
              <w:right w:type="dxa" w:w="110"/>
            </w:tcMar>
          </w:tcPr>
          <w:p>
            <w:pPr>
              <w:spacing w:before="28" w:after="28"/>
            </w:pPr>
            <w:r>
              <w:rPr>
                <w:sz w:val="15"/>
                <w:szCs w:val="15"/>
              </w:rPr>
              <w:t xml:space="preserve">Rare in U.S. GAAP: some construction and oil and gas interests</w:t>
            </w:r>
          </w:p>
        </w:tc>
        <w:tc>
          <w:tcPr>
            <w:tcW w:type="pct" w:w="1427"/>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728"/>
            <w:tcMar>
              <w:top w:type="dxa" w:w="50"/>
              <w:left w:type="dxa" w:w="110"/>
              <w:bottom w:type="dxa" w:w="50"/>
              <w:right w:type="dxa" w:w="110"/>
            </w:tcMar>
          </w:tcPr>
          <w:p>
            <w:pPr>
              <w:spacing w:before="28" w:after="28"/>
            </w:pPr>
            <w:r>
              <w:rPr>
                <w:sz w:val="15"/>
                <w:szCs w:val="15"/>
              </w:rPr>
              <w:t xml:space="preserve">Investor's share</w:t>
            </w:r>
          </w:p>
        </w:tc>
        <w:tc>
          <w:tcPr>
            <w:tcW w:type="pct" w:w="579"/>
            <w:tcMar>
              <w:top w:type="dxa" w:w="50"/>
              <w:left w:type="dxa" w:w="110"/>
              <w:bottom w:type="dxa" w:w="50"/>
              <w:right w:type="dxa" w:w="110"/>
            </w:tcMar>
          </w:tcPr>
          <w:p>
            <w:pPr>
              <w:spacing w:before="28" w:after="28"/>
            </w:pPr>
            <w:r>
              <w:rPr>
                <w:sz w:val="15"/>
                <w:szCs w:val="15"/>
              </w:rPr>
              <w:t xml:space="preserve">Not used by Orontes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(subsidiary or VIE)   ·   controlling financial interest   ·   Investor's share of each line   ·   liability   ·   Significant influence (20%–50%); joint ventures   ·   Only the investor's share: 30% × 40,000 = 12,000</w:t>
            </w:r>
          </w:p>
        </w:tc>
      </w:tr>
    </w:tbl>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The methods also remove intercompany profit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When Jordan Glass sells bottles to Orontes, the equity method removes only Orontes's 30% share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profit: $12,000. </w:t>
      </w:r>
      <w:r>
        <w:rPr>
          <w:sz w:val="19"/>
          <w:szCs w:val="19"/>
        </w:rPr>
        <w:t xml:space="preserve">A controlled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intercompany profit is removed in full.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investment   ·   unrealized   ·   subsidiary's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'Equity consolidation' is the equity method</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The LOS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'equity consolidation' means the equity method: one line, no NCI. </w:t>
      </w:r>
      <w:r>
        <w:rPr>
          <w:sz w:val="19"/>
          <w:szCs w:val="19"/>
        </w:rPr>
        <w:t xml:space="preserve">It is not full consolidation. </w:t>
      </w:r>
      <w:r>
        <w:rPr>
          <w:sz w:val="19"/>
          <w:szCs w:val="19"/>
        </w:rPr>
        <w:t xml:space="preserve">Also, joint ventures use the equity method, not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consolidation.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   phrase   ·   differently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consolidation   ·   equity method   ·   joint venture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00"/>
            <w:tcMar>
              <w:top w:type="dxa" w:w="50"/>
              <w:left w:type="dxa" w:w="110"/>
              <w:bottom w:type="dxa" w:w="50"/>
              <w:right w:type="dxa" w:w="110"/>
            </w:tcMar>
          </w:tcPr>
          <w:p>
            <w:pPr>
              <w:spacing w:before="26" w:after="26"/>
            </w:pPr>
            <w:r>
              <w:rPr>
                <w:color w:val="232733"/>
                <w:sz w:val="16"/>
                <w:szCs w:val="16"/>
              </w:rPr>
              <w:t xml:space="preserve">التوحيد التناسبي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المشروع المشترك</w:t>
            </w:r>
          </w:p>
        </w:tc>
      </w:tr>
      <w:tr>
        <w:tc>
          <w:tcPr>
            <w:tcW w:type="pct" w:w="2600"/>
            <w:tcMar>
              <w:top w:type="dxa" w:w="50"/>
              <w:left w:type="dxa" w:w="110"/>
              <w:bottom w:type="dxa" w:w="50"/>
              <w:right w:type="dxa" w:w="110"/>
            </w:tcMar>
          </w:tcPr>
          <w:p>
            <w:pPr>
              <w:spacing w:before="26" w:after="26"/>
            </w:pPr>
            <w:r>
              <w:rPr>
                <w:color w:val="232733"/>
                <w:sz w:val="16"/>
                <w:szCs w:val="16"/>
              </w:rPr>
              <w:t xml:space="preserve">equity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حقوق الملكية</w:t>
            </w:r>
          </w:p>
        </w:tc>
      </w:tr>
    </w:tbl>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Full consolidation, proportionate consolidation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entity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Significant influence (20%–50%); joint ventures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the investor's share: 30% × 40,000 = 12,000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parent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Investor's share of each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ventures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subsidiary's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phrase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Proportionate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 (subsidiary or VIE)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joint venture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Full consolidation is used for every entity the company controls. The subsidiary's items are added in full, and NCI shows the part the parent does not own. The equity method, which the LOS call 'equity consolidation', is used when the investor has significant influence, usually 20% to 50% of the votes, and for most joint ventures. The investment is one line on the balance sheet, and the investor's share of income is one line on the income statement, as for Jordan Glass. Proportionate consolidation adds only the investor's share of each asset, liability, revenue and expense. U.S. GAAP generally does not allow it; it survives only for some construction and oil and gas interests.</w:t>
      </w:r>
    </w:p>
    <w:p>
      <w:pPr>
        <w:spacing w:before="20" w:after="20"/>
        <w:ind w:left="240" w:hanging="240"/>
      </w:pPr>
      <w:r>
        <w:rPr>
          <w:b/>
          <w:bCs/>
          <w:color w:val="353A7C"/>
          <w:sz w:val="15"/>
          <w:szCs w:val="15"/>
        </w:rPr>
        <w:t xml:space="preserve">Summary 2   </w:t>
      </w:r>
      <w:r>
        <w:rPr>
          <w:color w:val="6B7280"/>
          <w:sz w:val="15"/>
          <w:szCs w:val="15"/>
        </w:rPr>
        <w:t xml:space="preserve">The methods also remove intercompany profit differently. When Jordan Glass sells bottles to Orontes, the equity method removes only Orontes's 30% share of the unrealized profit: $12,000. A controlled subsidiary's intercompany profit is removed in full.</w:t>
      </w:r>
    </w:p>
    <w:p>
      <w:pPr>
        <w:spacing w:before="20" w:after="20"/>
        <w:ind w:left="240" w:hanging="240"/>
      </w:pPr>
      <w:r>
        <w:rPr>
          <w:b/>
          <w:bCs/>
          <w:color w:val="353A7C"/>
          <w:sz w:val="15"/>
          <w:szCs w:val="15"/>
        </w:rPr>
        <w:t xml:space="preserve">Summary 3   </w:t>
      </w:r>
      <w:r>
        <w:rPr>
          <w:color w:val="6B7280"/>
          <w:sz w:val="15"/>
          <w:szCs w:val="15"/>
        </w:rPr>
        <w:t xml:space="preserve">The LOS phrase 'equity consolidation' means the equity method: one line, no NCI. It is not full consolidation. Also, joint ventures use the equity method, not proportionate consolidation.</w:t>
      </w:r>
    </w:p>
    <w:p>
      <w:pPr>
        <w:sectPr>
          <w:headerReference w:type="default" r:id="rIdHdr1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acquisition: goodwill and noncontrolling interest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 company gains control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uses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method. </w:t>
      </w:r>
      <w:r>
        <w:rPr>
          <w:sz w:val="19"/>
          <w:szCs w:val="19"/>
        </w:rPr>
        <w:t xml:space="preserve">It measures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identifiable assets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fair value, and it measures NCI at fair value too.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price paid plus the fair value of NCI, minus the fair value of the net assets.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pays $8,000,000 for 80% of Levant, and the other 20% is worth $1,900,000.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assets are $7,300,000 on its books, but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worth $1,200,000 more, so the net assets at fair value are $8,500,000.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subsidiary's   ·   liabilities   ·   acquisition   ·   Goodwill   ·   Levant's   ·   business   ·   equipment   ·   transaction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acquisition-date elimination</w:t>
            </w:r>
          </w:p>
        </w:tc>
      </w:tr>
    </w:tbl>
    <w:p/>
    <w:p>
      <w:pPr>
        <w:spacing w:before="44" w:after="14"/>
      </w:pPr>
      <w:r>
        <w:rPr>
          <w:b/>
          <w:bCs/>
          <w:color w:val="353A7C"/>
          <w:sz w:val="18"/>
          <w:szCs w:val="18"/>
        </w:rPr>
        <w:t xml:space="preserve">Summary 2</w:t>
      </w:r>
      <w:r>
        <w:rPr>
          <w:color w:val="6B7280"/>
          <w:sz w:val="16"/>
          <w:szCs w:val="16"/>
        </w:rPr>
        <w:t xml:space="preserve">      gaps 9–16</w:t>
      </w:r>
    </w:p>
    <w:p>
      <w:pPr>
        <w:spacing w:before="20" w:after="20" w:line="360" w:lineRule="auto"/>
        <w:ind w:left="200"/>
      </w:pPr>
      <w:r>
        <w:rPr>
          <w:sz w:val="19"/>
          <w:szCs w:val="19"/>
        </w:rPr>
        <w:t xml:space="preserve">Remove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equity of $7,300,000: it is not owned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group, except through NCI. </w:t>
      </w:r>
      <w:r>
        <w:rPr>
          <w:sz w:val="19"/>
          <w:szCs w:val="19"/>
        </w:rPr>
        <w:t xml:space="preserve">Add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step-up of $1,200,000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$1,400,000. </w:t>
      </w:r>
      <w:r>
        <w:rPr>
          <w:sz w:val="19"/>
          <w:szCs w:val="19"/>
        </w:rPr>
        <w:t xml:space="preserve">Remove Orontes's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$8,000,000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NCI of $1,900,000 in equity. </w:t>
      </w:r>
      <w:r>
        <w:rPr>
          <w:sz w:val="19"/>
          <w:szCs w:val="19"/>
        </w:rPr>
        <w:t xml:space="preserve">Debits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both equal $9,900,000. </w:t>
      </w:r>
      <w:r>
        <w:rPr>
          <w:sz w:val="19"/>
          <w:szCs w:val="19"/>
        </w:rPr>
        <w:t xml:space="preserve">After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if Orontes buys or sells some Levant shares but keeps control, the change is an equity transaction: no gain or loss is recognized. </w:t>
      </w:r>
      <w:r>
        <w:rPr>
          <w:sz w:val="19"/>
          <w:szCs w:val="19"/>
        </w:rPr>
        <w:t xml:space="preserve">If Orontes loses control, it removes Levant from the consolidation and remeasures any interest it keeps at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Levant's   ·   acquisition   ·   credits   ·   investment   ·   record   ·   business   ·   outsiders   ·   goodwill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77"/>
        <w:gridCol w:w="25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elimination entry at the acquisition of Levant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Consolidation worksheet, January 1, 2027 (whole</w:t>
            </w:r>
          </w:p>
        </w:tc>
        <w:tc>
          <w:tcPr>
            <w:tcW w:type="pct" w:w="1446"/>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5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46"/>
            <w:tcMar>
              <w:top w:type="dxa" w:w="50"/>
              <w:left w:type="dxa" w:w="110"/>
              <w:bottom w:type="dxa" w:w="50"/>
              <w:right w:type="dxa" w:w="110"/>
            </w:tcMar>
          </w:tcPr>
          <w:p>
            <w:pPr>
              <w:spacing w:before="28" w:after="28"/>
            </w:pPr>
            <w:r>
              <w:rPr>
                <w:sz w:val="15"/>
                <w:szCs w:val="15"/>
              </w:rPr>
              <w:t xml:space="preserve">7,300,000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46"/>
            <w:shd w:fill="FBFAF6" w:val="clear"/>
            <w:tcMar>
              <w:top w:type="dxa" w:w="50"/>
              <w:left w:type="dxa" w:w="110"/>
              <w:bottom w:type="dxa" w:w="50"/>
              <w:right w:type="dxa" w:w="110"/>
            </w:tcMar>
          </w:tcPr>
          <w:p>
            <w:pPr>
              <w:spacing w:before="28" w:after="28"/>
            </w:pPr>
            <w:r>
              <w:rPr>
                <w:sz w:val="15"/>
                <w:szCs w:val="15"/>
              </w:rPr>
              <w:t xml:space="preserve">1,200,000</w:t>
            </w:r>
          </w:p>
        </w:tc>
        <w:tc>
          <w:tcPr>
            <w:tcW w:type="pct" w:w="1354"/>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Goodwill</w:t>
            </w:r>
          </w:p>
        </w:tc>
        <w:tc>
          <w:tcPr>
            <w:tcW w:type="pct" w:w="1446"/>
            <w:tcMar>
              <w:top w:type="dxa" w:w="50"/>
              <w:left w:type="dxa" w:w="110"/>
              <w:bottom w:type="dxa" w:w="50"/>
              <w:right w:type="dxa" w:w="110"/>
            </w:tcMar>
          </w:tcPr>
          <w:p>
            <w:pPr>
              <w:spacing w:before="28" w:after="28"/>
            </w:pPr>
            <w:r>
              <w:rPr>
                <w:sz w:val="15"/>
                <w:szCs w:val="15"/>
              </w:rPr>
              <w:t xml:space="preserve">1,400,000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Investment in Levant (Orontes's books)</w:t>
            </w:r>
          </w:p>
        </w:tc>
        <w:tc>
          <w:tcPr>
            <w:tcW w:type="pct" w:w="1446"/>
            <w:shd w:fill="FBFAF6" w:val="clear"/>
            <w:tcMar>
              <w:top w:type="dxa" w:w="50"/>
              <w:left w:type="dxa" w:w="110"/>
              <w:bottom w:type="dxa" w:w="50"/>
              <w:right w:type="dxa" w:w="110"/>
            </w:tcMar>
          </w:tcPr>
          <w:p>
            <w:pPr>
              <w:spacing w:before="28" w:after="28"/>
            </w:pPr>
            <w:r>
              <w:rPr>
                <w:sz w:val="15"/>
                <w:szCs w:val="15"/>
              </w:rPr>
              <w:t xml:space="preserve"> </w:t>
            </w:r>
          </w:p>
        </w:tc>
        <w:tc>
          <w:tcPr>
            <w:tcW w:type="pct" w:w="1354"/>
            <w:shd w:fill="FBFAF6" w:val="clear"/>
            <w:tcMar>
              <w:top w:type="dxa" w:w="50"/>
              <w:left w:type="dxa" w:w="110"/>
              <w:bottom w:type="dxa" w:w="50"/>
              <w:right w:type="dxa" w:w="110"/>
            </w:tcMar>
          </w:tcPr>
          <w:p>
            <w:pPr>
              <w:spacing w:before="28" w:after="28"/>
            </w:pPr>
            <w:r>
              <w:rPr>
                <w:sz w:val="15"/>
                <w:szCs w:val="15"/>
              </w:rPr>
              <w:t xml:space="preserve">8,000,000</w:t>
            </w:r>
          </w:p>
        </w:tc>
      </w:tr>
      <w:tr>
        <w:tc>
          <w:tcPr>
            <w:tcW w:type="pct" w:w="2200"/>
            <w:tcMar>
              <w:top w:type="dxa" w:w="50"/>
              <w:left w:type="dxa" w:w="110"/>
              <w:bottom w:type="dxa" w:w="50"/>
              <w:right w:type="dxa" w:w="110"/>
            </w:tcMar>
          </w:tcPr>
          <w:p>
            <w:pPr>
              <w:spacing w:before="28" w:after="28"/>
            </w:pPr>
            <w:r>
              <w:rPr>
                <w:sz w:val="15"/>
                <w:szCs w:val="15"/>
              </w:rPr>
              <w:t xml:space="preserve">Noncontrolling interest (equity)</w:t>
            </w:r>
          </w:p>
        </w:tc>
        <w:tc>
          <w:tcPr>
            <w:tcW w:type="pct" w:w="1446"/>
            <w:tcMar>
              <w:top w:type="dxa" w:w="50"/>
              <w:left w:type="dxa" w:w="110"/>
              <w:bottom w:type="dxa" w:w="50"/>
              <w:right w:type="dxa" w:w="110"/>
            </w:tcMar>
          </w:tcPr>
          <w:p>
            <w:pPr>
              <w:spacing w:before="28" w:after="28"/>
            </w:pPr>
            <w:r>
              <w:rPr>
                <w:sz w:val="15"/>
                <w:szCs w:val="15"/>
              </w:rPr>
              <w:t xml:space="preserve"> </w:t>
            </w:r>
          </w:p>
        </w:tc>
        <w:tc>
          <w:tcPr>
            <w:tcW w:type="pct" w:w="1354"/>
            <w:tcMar>
              <w:top w:type="dxa" w:w="50"/>
              <w:left w:type="dxa" w:w="110"/>
              <w:bottom w:type="dxa" w:w="50"/>
              <w:right w:type="dxa" w:w="110"/>
            </w:tcMar>
          </w:tcPr>
          <w:p>
            <w:pPr>
              <w:spacing w:before="28" w:after="28"/>
            </w:pPr>
            <w:r>
              <w:rPr>
                <w:sz w:val="15"/>
                <w:szCs w:val="15"/>
              </w:rPr>
              <w:t xml:space="preserve">1,900,000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46"/>
            <w:shd w:fill="FBFAF6" w:val="clear"/>
            <w:tcMar>
              <w:top w:type="dxa" w:w="50"/>
              <w:left w:type="dxa" w:w="110"/>
              <w:bottom w:type="dxa" w:w="50"/>
              <w:right w:type="dxa" w:w="110"/>
            </w:tcMar>
          </w:tcPr>
          <w:p>
            <w:pPr>
              <w:spacing w:before="28" w:after="28"/>
            </w:pPr>
            <w:r>
              <w:rPr>
                <w:sz w:val="15"/>
                <w:szCs w:val="15"/>
              </w:rPr>
              <w:t xml:space="preserve">9,900,000</w:t>
            </w:r>
          </w:p>
        </w:tc>
        <w:tc>
          <w:tcPr>
            <w:tcW w:type="pct" w:w="1354"/>
            <w:shd w:fill="FBFAF6" w:val="clear"/>
            <w:tcMar>
              <w:top w:type="dxa" w:w="50"/>
              <w:left w:type="dxa" w:w="110"/>
              <w:bottom w:type="dxa" w:w="50"/>
              <w:right w:type="dxa" w:w="110"/>
            </w:tcMar>
          </w:tcPr>
          <w:p>
            <w:pPr>
              <w:spacing w:before="28" w:after="28"/>
            </w:pPr>
            <w:r>
              <w:rPr>
                <w:sz w:val="15"/>
                <w:szCs w:val="15"/>
              </w:rPr>
              <w:t xml:space="preserve">9,900,000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plant and equipment (fair value step-up)   ·   subsidiary   ·   Levant's equity (book value)   ·   Totals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acquisition method   ·   طريقة الاستحواذ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الاستحواذ</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الشهرة</w:t>
            </w:r>
          </w:p>
        </w:tc>
      </w:tr>
    </w:tbl>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acquisition: goodwill and noncontrolling interest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acquisition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Levant's equity (book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Property, plant and equipment (fair value step-up)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outsiders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acquisition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 Orontes pays $8,000,000 for 80% of Levant, and the other 20% is worth $1,900,000. Levant's net assets are $7,300,000 on its books, but its equipment is worth $1,200,000 more, so the net assets at fair value are $8,500,000.</w:t>
      </w:r>
    </w:p>
    <w:p>
      <w:pPr>
        <w:spacing w:before="20" w:after="20"/>
        <w:ind w:left="240" w:hanging="240"/>
      </w:pPr>
      <w:r>
        <w:rPr>
          <w:b/>
          <w:bCs/>
          <w:color w:val="353A7C"/>
          <w:sz w:val="15"/>
          <w:szCs w:val="15"/>
        </w:rPr>
        <w:t xml:space="preserve">Summary 2   </w:t>
      </w:r>
      <w:r>
        <w:rPr>
          <w:color w:val="6B7280"/>
          <w:sz w:val="15"/>
          <w:szCs w:val="15"/>
        </w:rPr>
        <w:t xml:space="preserve">Remove Levant's equity of $7,300,000: it is not owned by outsiders to the group, except through NCI. Add the equipment step-up of $1,200,000 and goodwill of $1,400,000. Remove Orontes's investment of $8,000,000 and record NCI of $1,900,000 in equity. Debits and credits both equal $9,900,000. After the acquisition, if Orontes buys or sells some Levant shares but keeps control, the change is an equity transaction: no gain or loss is recognized. If Orontes loses control, it removes Levant from the consolidation and remeasures any interest it keeps at fair value.</w:t>
      </w:r>
    </w:p>
    <w:p>
      <w:pPr>
        <w:sectPr>
          <w:headerReference w:type="default" r:id="rIdHdr1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Eliminating intercompany balances and transactions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group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sell to itself, owe money to itself or earn income from itself. </w:t>
      </w:r>
      <w:r>
        <w:rPr>
          <w:sz w:val="19"/>
          <w:szCs w:val="19"/>
        </w:rPr>
        <w:t xml:space="preserve">Every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transaction is therefore eliminated in full, whatever the percentage owned: sales and cost of sales,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payables, loans and interest, and dividends.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on goods still held inside the group is also removed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income until the goods are sold to outsiders. </w:t>
      </w:r>
      <w:r>
        <w:rPr>
          <w:sz w:val="19"/>
          <w:szCs w:val="19"/>
        </w:rPr>
        <w:t xml:space="preserve">In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sale the parent earned the profit, so the whole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reduces the parent's share. </w:t>
      </w:r>
      <w:r>
        <w:rPr>
          <w:sz w:val="19"/>
          <w:szCs w:val="19"/>
        </w:rPr>
        <w:t xml:space="preserve">In an upstream sale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earned it, so NCI bears its share. </w:t>
      </w:r>
      <w:r>
        <w:rPr>
          <w:sz w:val="19"/>
          <w:szCs w:val="19"/>
        </w:rPr>
        <w:t xml:space="preserve">When one group company sells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another, the gain is eliminated and the asset returns to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basis. </w:t>
      </w:r>
      <w:r>
        <w:rPr>
          <w:sz w:val="19"/>
          <w:szCs w:val="19"/>
        </w:rPr>
        <w:t xml:space="preserve">The buyer's extra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gain is reversed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original   ·   downstream   ·   eliminated   ·   elimination   ·   cannot   ·   depreciation   ·   Unrealized   ·   receivables   ·   intercompany   ·   subsidiary   ·   equipment</w:t>
            </w:r>
          </w:p>
        </w:tc>
      </w:tr>
    </w:tbl>
    <w:p/>
    <w:p>
      <w:pPr>
        <w:spacing w:before="44" w:after="10"/>
      </w:pPr>
      <w:r>
        <w:rPr>
          <w:b/>
          <w:bCs/>
          <w:color w:val="353A7C"/>
          <w:sz w:val="18"/>
          <w:szCs w:val="18"/>
        </w:rPr>
        <w:t xml:space="preserve">Suppose: Orontes's 2027 intercompany eliminations for Levant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8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734050" cy="208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Truck sold for 90,000 (carrying 60,000)   ·   Loan of 1,000,000 at 6%   ·   Downstream unrealized profit (30% unsold)   ·   Intercompany sales and cost of sales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NCI at the end of 2027</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NCI roll-forward for Levant, 2027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NCI in Levant, 2027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1,900,000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00"/>
            <w:tcMar>
              <w:top w:type="dxa" w:w="50"/>
              <w:left w:type="dxa" w:w="110"/>
              <w:bottom w:type="dxa" w:w="50"/>
              <w:right w:type="dxa" w:w="110"/>
            </w:tcMar>
          </w:tcPr>
          <w:p>
            <w:pPr>
              <w:spacing w:before="28" w:after="28"/>
            </w:pPr>
            <w:r>
              <w:rPr>
                <w:sz w:val="15"/>
                <w:szCs w:val="15"/>
              </w:rPr>
              <w:t xml:space="preserve">Less: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on the PP&amp;E step-up (1,200,000 ÷ 10 years)</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Less: upstream unrealized profit</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Adjusted net income of Levant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NCI share (20%)</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NCI at December 31, 2027</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Levant's 2027 net income   ·   Less: dividends paid to NCI   ·   equity method   ·   NCI at January 1, 2027 (fair value)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Elimination traps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Eliminate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items in full, not only the parent's share.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profit reduces only the parent's share; upstream profit is shared with NCI. </w:t>
      </w:r>
      <w:r>
        <w:rPr>
          <w:sz w:val="19"/>
          <w:szCs w:val="19"/>
        </w:rPr>
        <w:t xml:space="preserve">For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investee, remove only the investor's share of the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elimination   ·   Downstream   ·   equity-method   ·   intercompany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sale   ·   unrealized profit   ·   upstream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0"/>
        <w:gridCol w:w="49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1"/>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599"/>
            <w:tcMar>
              <w:top w:type="dxa" w:w="50"/>
              <w:left w:type="dxa" w:w="110"/>
              <w:bottom w:type="dxa" w:w="50"/>
              <w:right w:type="dxa" w:w="110"/>
            </w:tcMar>
          </w:tcPr>
          <w:p>
            <w:pPr>
              <w:spacing w:before="26" w:after="26"/>
            </w:pPr>
            <w:r>
              <w:rPr>
                <w:color w:val="232733"/>
                <w:sz w:val="16"/>
                <w:szCs w:val="16"/>
              </w:rPr>
              <w:t xml:space="preserve">المعاملة داخل المجموعة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الربح غير المحقق</w:t>
            </w:r>
          </w:p>
        </w:tc>
      </w:tr>
      <w:tr>
        <w:tc>
          <w:tcPr>
            <w:tcW w:type="pct" w:w="2401"/>
            <w:tcMar>
              <w:top w:type="dxa" w:w="50"/>
              <w:left w:type="dxa" w:w="110"/>
              <w:bottom w:type="dxa" w:w="50"/>
              <w:right w:type="dxa" w:w="110"/>
            </w:tcMar>
          </w:tcPr>
          <w:p>
            <w:pPr>
              <w:spacing w:before="26" w:after="26"/>
            </w:pPr>
            <w:r>
              <w:rPr>
                <w:color w:val="232733"/>
                <w:sz w:val="16"/>
                <w:szCs w:val="16"/>
              </w:rPr>
              <w:t xml:space="preserve">downstream sale</w:t>
            </w:r>
          </w:p>
        </w:tc>
        <w:tc>
          <w:tcPr>
            <w:tcW w:type="pct" w:w="2599"/>
            <w:tcMar>
              <w:top w:type="dxa" w:w="50"/>
              <w:left w:type="dxa" w:w="110"/>
              <w:bottom w:type="dxa" w:w="50"/>
              <w:right w:type="dxa" w:w="110"/>
            </w:tcMar>
          </w:tcPr>
          <w:p>
            <w:pPr>
              <w:spacing w:before="26" w:after="26"/>
            </w:pPr>
            <w:r>
              <w:rPr>
                <w:color w:val="232733"/>
                <w:sz w:val="16"/>
                <w:szCs w:val="16"/>
              </w:rPr>
              <w:t xml:space="preserve">البيع من الأم إلى التابعة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upstream sale</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البيع من التابعة إلى الأم</w:t>
            </w:r>
          </w:p>
        </w:tc>
      </w:tr>
    </w:tbl>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Eliminating intercompany balances and transactions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Loan of 1,000,000 at 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intercompany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Truck sold for 90,000 (carrying 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NCI at January 1, 2027 (fair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Levant's 2027 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downstream</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Less: dividends paid to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elimination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intercompany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Downstream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original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downstream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upstream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Intercompany sales and cost of sales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group cannot sell to itself, owe money to itself or earn income from itself. Every intercompany transaction is therefore eliminated in full, whatever the percentage owned: sales and cost of sales, receivables and payables, loans and interest, and dividends. Unrealized profit on goods still held inside the group is also removed from inventory and income until the goods are sold to outsiders. In a downstream sale the parent earned the profit, so the whole elimination reduces the parent's share. In an upstream sale the subsidiary earned it, so NCI bears its share. When one group company sells equipment to another, the gain is eliminated and the asset returns to its original cost basis. The buyer's extra depreciation on the gain is reversed each year.</w:t>
      </w:r>
    </w:p>
    <w:p>
      <w:pPr>
        <w:spacing w:before="20" w:after="20"/>
        <w:ind w:left="240" w:hanging="240"/>
      </w:pPr>
      <w:r>
        <w:rPr>
          <w:b/>
          <w:bCs/>
          <w:color w:val="353A7C"/>
          <w:sz w:val="15"/>
          <w:szCs w:val="15"/>
        </w:rPr>
        <w:t xml:space="preserve">Summary 2   </w:t>
      </w:r>
      <w:r>
        <w:rPr>
          <w:color w:val="6B7280"/>
          <w:sz w:val="15"/>
          <w:szCs w:val="15"/>
        </w:rPr>
        <w:t xml:space="preserve">Eliminate intercompany items in full, not only the parent's share. Downstream profit reduces only the parent's share; upstream profit is shared with NCI. For an equity-method investee, remove only the investor's share of the profit.</w:t>
      </w:r>
    </w:p>
    <w:p>
      <w:pPr>
        <w:sectPr>
          <w:headerReference w:type="default" r:id="rIdHdr1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IFRS differences and what is changing</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IFRS 10 uses one control model: an investor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 entity if it has power over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variable returns,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use its power to affect those returns. </w:t>
      </w:r>
      <w:r>
        <w:rPr>
          <w:sz w:val="19"/>
          <w:szCs w:val="19"/>
        </w:rPr>
        <w:t xml:space="preserve">There is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VIE model, and an investor can have de facto control with less than half of the votes. </w:t>
      </w:r>
      <w:r>
        <w:rPr>
          <w:sz w:val="19"/>
          <w:szCs w:val="19"/>
        </w:rPr>
        <w:t xml:space="preserve">IFRS 3 lets a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NCI either at fair value or at its share of net assets, which gives partial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Levant, $1,200,000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$1,400,000. </w:t>
      </w:r>
      <w:r>
        <w:rPr>
          <w:sz w:val="19"/>
          <w:szCs w:val="19"/>
        </w:rPr>
        <w:t xml:space="preserve">Under IFRS 11, joint ventures use the equity method and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recognize their own share of assets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measure   ·   exposure   ·   operations   ·   goodwill   ·   liabilities   ·   recognize   ·   instead   ·   separate   ·   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01"/>
        <w:gridCol w:w="217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Consolidation: U.S. GAAP and IFRS</w:t>
            </w:r>
          </w:p>
        </w:tc>
      </w:tr>
      <w:tr>
        <w:tc>
          <w:tcPr>
            <w:tcW w:type="pct" w:w="1667"/>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1133"/>
            <w:shd w:fill="353A7C" w:val="clear"/>
            <w:tcMar>
              <w:top w:type="dxa" w:w="50"/>
              <w:left w:type="dxa" w:w="110"/>
              <w:bottom w:type="dxa" w:w="50"/>
              <w:right w:type="dxa" w:w="110"/>
            </w:tcMar>
          </w:tcPr>
          <w:p>
            <w:pPr>
              <w:spacing w:before="30" w:after="30"/>
            </w:pPr>
            <w:r>
              <w:rPr>
                <w:b/>
                <w:bCs/>
                <w:color w:val="FFFFFF"/>
                <w:sz w:val="15"/>
                <w:szCs w:val="15"/>
              </w:rPr>
              <w:t xml:space="preserve">U.S. GAAP (ASC 810, 805)</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IFRS (IFRS 10, 3, 11)</w:t>
            </w:r>
          </w:p>
        </w:tc>
      </w:tr>
      <w:tr>
        <w:tc>
          <w:tcPr>
            <w:tcW w:type="pct" w:w="1667"/>
            <w:tcMar>
              <w:top w:type="dxa" w:w="50"/>
              <w:left w:type="dxa" w:w="110"/>
              <w:bottom w:type="dxa" w:w="50"/>
              <w:right w:type="dxa" w:w="110"/>
            </w:tcMar>
          </w:tcPr>
          <w:p>
            <w:pPr>
              <w:spacing w:before="28" w:after="28"/>
            </w:pPr>
            <w:r>
              <w:rPr>
                <w:sz w:val="15"/>
                <w:szCs w:val="15"/>
              </w:rPr>
              <w:t xml:space="preserve">Control model</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One: power, variable returns and the link between them</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Control below 50% of votes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shd w:fill="FBFAF6" w:val="clear"/>
            <w:tcMar>
              <w:top w:type="dxa" w:w="50"/>
              <w:left w:type="dxa" w:w="110"/>
              <w:bottom w:type="dxa" w:w="50"/>
              <w:right w:type="dxa" w:w="110"/>
            </w:tcMar>
          </w:tcPr>
          <w:p>
            <w:pPr>
              <w:spacing w:before="28" w:after="28"/>
            </w:pPr>
            <w:r>
              <w:rPr>
                <w:sz w:val="15"/>
                <w:szCs w:val="15"/>
              </w:rPr>
              <w:t xml:space="preserve">Possible: de facto control</w:t>
            </w:r>
          </w:p>
        </w:tc>
      </w:tr>
      <w:tr>
        <w:tc>
          <w:tcPr>
            <w:tcW w:type="pct" w:w="1667"/>
            <w:tcMar>
              <w:top w:type="dxa" w:w="50"/>
              <w:left w:type="dxa" w:w="110"/>
              <w:bottom w:type="dxa" w:w="50"/>
              <w:right w:type="dxa" w:w="110"/>
            </w:tcMar>
          </w:tcPr>
          <w:p>
            <w:pPr>
              <w:spacing w:before="28" w:after="28"/>
            </w:pPr>
            <w:r>
              <w:rPr>
                <w:sz w:val="15"/>
                <w:szCs w:val="15"/>
              </w:rPr>
              <w:t xml:space="preserve">Measuring NCI</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Fair value or share of net assets (partial goodwill), deal by deal</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Joint arrangements</w:t>
            </w:r>
          </w:p>
        </w:tc>
        <w:tc>
          <w:tcPr>
            <w:tcW w:type="pct" w:w="1133"/>
            <w:shd w:fill="FBFAF6" w:val="clear"/>
            <w:tcMar>
              <w:top w:type="dxa" w:w="50"/>
              <w:left w:type="dxa" w:w="110"/>
              <w:bottom w:type="dxa" w:w="50"/>
              <w:right w:type="dxa" w:w="110"/>
            </w:tcMar>
          </w:tcPr>
          <w:p>
            <w:pPr>
              <w:spacing w:before="28" w:after="28"/>
            </w:pPr>
            <w:r>
              <w:rPr>
                <w:sz w:val="15"/>
                <w:szCs w:val="15"/>
              </w:rPr>
              <w:t xml:space="preserve">Joint ventures: equity method</w:t>
            </w:r>
          </w:p>
        </w:tc>
        <w:tc>
          <w:tcPr>
            <w:tcW w:type="pct" w:w="2200"/>
            <w:shd w:fill="FBFAF6" w:val="clear"/>
            <w:tcMar>
              <w:top w:type="dxa" w:w="50"/>
              <w:left w:type="dxa" w:w="110"/>
              <w:bottom w:type="dxa" w:w="50"/>
              <w:right w:type="dxa" w:w="110"/>
            </w:tcMar>
          </w:tcPr>
          <w:p>
            <w:pPr>
              <w:spacing w:before="28" w:after="28"/>
            </w:pPr>
            <w:r>
              <w:rPr>
                <w:sz w:val="15"/>
                <w:szCs w:val="15"/>
              </w:rPr>
              <w:t xml:space="preserve">Joint ventures: equity method; joint operations: own share of assets and liabilities</w:t>
            </w:r>
          </w:p>
        </w:tc>
      </w:tr>
      <w:tr>
        <w:tc>
          <w:tcPr>
            <w:tcW w:type="pct" w:w="1667"/>
            <w:tcMar>
              <w:top w:type="dxa" w:w="50"/>
              <w:left w:type="dxa" w:w="110"/>
              <w:bottom w:type="dxa" w:w="50"/>
              <w:right w:type="dxa" w:w="110"/>
            </w:tcMar>
          </w:tcPr>
          <w:p>
            <w:pPr>
              <w:spacing w:before="28" w:after="28"/>
            </w:pPr>
            <w:r>
              <w:rPr>
                <w:sz w:val="15"/>
                <w:szCs w:val="15"/>
              </w:rPr>
              <w:t xml:space="preserve">Group accounting policies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Uniform policies required</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Investment-entity subsidiaries in a parent's statements</w:t>
            </w:r>
          </w:p>
        </w:tc>
        <w:tc>
          <w:tcPr>
            <w:tcW w:type="pct" w:w="1133"/>
            <w:shd w:fill="FBFAF6" w:val="clear"/>
            <w:tcMar>
              <w:top w:type="dxa" w:w="50"/>
              <w:left w:type="dxa" w:w="110"/>
              <w:bottom w:type="dxa" w:w="50"/>
              <w:right w:type="dxa" w:w="110"/>
            </w:tcMar>
          </w:tcPr>
          <w:p>
            <w:pPr>
              <w:spacing w:before="28" w:after="28"/>
            </w:pPr>
            <w:r>
              <w:rPr>
                <w:sz w:val="15"/>
                <w:szCs w:val="15"/>
              </w:rPr>
              <w:t xml:space="preserve">Parent keeps their fair value accounting</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(full goodwill)   ·   Supplier (30%, significant influence)   ·   Not through voting alone (unless a VIE)   ·   Two: VIE model first, then voting interest   ·   A non-investment-entity parent consolidates them   ·   No general uniformity rule</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ASU 2025-03 changes how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acquirer when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company is a VIE; it is not testable before about January 2028. </w:t>
      </w:r>
      <w:r>
        <w:rPr>
          <w:sz w:val="19"/>
          <w:szCs w:val="19"/>
        </w:rPr>
        <w:t xml:space="preserve">In January 2026 the FASB began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on bringing the VIE and voting models closer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That is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only. </w:t>
      </w:r>
      <w:r>
        <w:rPr>
          <w:sz w:val="19"/>
          <w:szCs w:val="19"/>
        </w:rPr>
        <w:t xml:space="preserve">ASU 2023-05, on joint venture formations, affects only the joint venture's own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ventures   ·   together   ·   acquired   ·   identify   ·   research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Wholesale and Tadmor Retail, 202 — Amount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Barada Wholesale and Tadmor Retail, 202</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Price paid for 75% of Tadmor Retail LLC, January 1, 2028</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6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600"/>
            <w:tcMar>
              <w:top w:type="dxa" w:w="50"/>
              <w:left w:type="dxa" w:w="110"/>
              <w:bottom w:type="dxa" w:w="50"/>
              <w:right w:type="dxa" w:w="110"/>
            </w:tcMar>
          </w:tcPr>
          <w:p>
            <w:pPr>
              <w:spacing w:before="28" w:after="28"/>
            </w:pPr>
            <w:r>
              <w:rPr>
                <w:sz w:val="15"/>
                <w:szCs w:val="15"/>
              </w:rPr>
              <w:t xml:space="preserve">700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Barada sold goods to Tadmor: sales 200, margin 30%, 25% still held by Tadmor</w:t>
            </w:r>
          </w:p>
        </w:tc>
        <w:tc>
          <w:tcPr>
            <w:tcW w:type="pct" w:w="26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sales 160, margin 25%, 50% still held by Barada</w:t>
            </w:r>
          </w:p>
        </w:tc>
        <w:tc>
          <w:tcPr>
            <w:tcW w:type="pct" w:w="2600"/>
            <w:tcMar>
              <w:top w:type="dxa" w:w="50"/>
              <w:left w:type="dxa" w:w="110"/>
              <w:bottom w:type="dxa" w:w="50"/>
              <w:right w:type="dxa" w:w="110"/>
            </w:tcMar>
          </w:tcPr>
          <w:p>
            <w:pPr>
              <w:spacing w:before="28" w:after="28"/>
            </w:pPr>
            <w:r>
              <w:rPr>
                <w:sz w:val="15"/>
                <w:szCs w:val="15"/>
              </w:rPr>
              <w:t xml:space="preserve"> </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Tadmor owes Barada at December 31, 2028</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Tadmor's 2028 net income (before any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adjustment)</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Tadmor's assets are at fair value on its books, so there is no step-up to depreciate.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also holds 30% of a supplier (significant influence) and 8% of a listed food company.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Tadmor sold goods to Barada   ·   consolidation   ·   Fair value of Tadmor's identifiable net assets   ·   Dividends paid by Tadmor in 2028   ·   Fair value of the 25% noncontrolling interest   ·   Listed food company (8%)</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6"/>
        <w:gridCol w:w="47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1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81"/>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19"/>
            <w:tcMar>
              <w:top w:type="dxa" w:w="50"/>
              <w:left w:type="dxa" w:w="110"/>
              <w:bottom w:type="dxa" w:w="50"/>
              <w:right w:type="dxa" w:w="110"/>
            </w:tcMar>
          </w:tcPr>
          <w:p>
            <w:pPr>
              <w:spacing w:before="28" w:after="28"/>
            </w:pPr>
            <w:r>
              <w:rPr>
                <w:sz w:val="15"/>
                <w:szCs w:val="15"/>
              </w:rPr>
              <w:t xml:space="preserve">Less: upstream unrealized profit</w:t>
            </w:r>
          </w:p>
        </w:tc>
        <w:tc>
          <w:tcPr>
            <w:tcW w:type="pct" w:w="2481"/>
            <w:tcMar>
              <w:top w:type="dxa" w:w="50"/>
              <w:left w:type="dxa" w:w="110"/>
              <w:bottom w:type="dxa" w:w="50"/>
              <w:right w:type="dxa" w:w="110"/>
            </w:tcMar>
          </w:tcPr>
          <w:p>
            <w:pPr>
              <w:spacing w:before="28" w:after="28"/>
            </w:pPr>
            <w:r>
              <w:rPr>
                <w:sz w:val="15"/>
                <w:szCs w:val="15"/>
              </w:rPr>
              <w:t xml:space="preserve">(25,000)</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Adjusted net income of Levant</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519"/>
            <w:tcMar>
              <w:top w:type="dxa" w:w="50"/>
              <w:left w:type="dxa" w:w="110"/>
              <w:bottom w:type="dxa" w:w="50"/>
              <w:right w:type="dxa" w:w="110"/>
            </w:tcMar>
          </w:tcPr>
          <w:p>
            <w:pPr>
              <w:spacing w:before="28" w:after="28"/>
            </w:pPr>
            <w:r>
              <w:rPr>
                <w:sz w:val="15"/>
                <w:szCs w:val="15"/>
              </w:rPr>
              <w:t xml:space="preserve">NCI share</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Less: dividends paid to NCI</w:t>
            </w:r>
          </w:p>
        </w:tc>
        <w:tc>
          <w:tcPr>
            <w:tcW w:type="pct" w:w="2481"/>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519"/>
            <w:tcMar>
              <w:top w:type="dxa" w:w="50"/>
              <w:left w:type="dxa" w:w="110"/>
              <w:bottom w:type="dxa" w:w="50"/>
              <w:right w:type="dxa" w:w="110"/>
            </w:tcMar>
          </w:tcPr>
          <w:p>
            <w:pPr>
              <w:spacing w:before="28" w:after="28"/>
            </w:pPr>
            <w:r>
              <w:rPr>
                <w:sz w:val="15"/>
                <w:szCs w:val="15"/>
              </w:rPr>
              <w:t xml:space="preserve">NCI at December 31, 2027</w:t>
            </w:r>
          </w:p>
        </w:tc>
        <w:tc>
          <w:tcPr>
            <w:tcW w:type="pct" w:w="2481"/>
            <w:tcMar>
              <w:top w:type="dxa" w:w="50"/>
              <w:left w:type="dxa" w:w="110"/>
              <w:bottom w:type="dxa" w:w="50"/>
              <w:right w:type="dxa" w:w="110"/>
            </w:tcMar>
          </w:tcPr>
          <w:p>
            <w:pPr>
              <w:spacing w:before="28" w:after="28"/>
            </w:pPr>
            <w:r>
              <w:rPr>
                <w:sz w:val="15"/>
                <w:szCs w:val="15"/>
              </w:rPr>
              <w:t xml:space="preserve">1,900,000 + 151,000 − 20,000 = 2,031,000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900,000 − 120,000 − 25,000 = 755,000   ·   Fair value of the 25% noncontrolling interest   ·   20% × 755,000 = 151,000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Tadmor Retail (75%)</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Supplier (30%, significant influence)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Listed food company (8%)</w:t>
            </w:r>
          </w:p>
        </w:tc>
        <w:tc>
          <w:tcPr>
            <w:tcW w:type="pct" w:w="2400"/>
            <w:tcMar>
              <w:top w:type="dxa" w:w="50"/>
              <w:left w:type="dxa" w:w="110"/>
              <w:bottom w:type="dxa" w:w="50"/>
              <w:right w:type="dxa" w:w="110"/>
            </w:tcMar>
          </w:tcPr>
          <w:p>
            <w:pPr>
              <w:spacing w:before="28" w:after="28"/>
            </w:pPr>
            <w:r>
              <w:rPr>
                <w:sz w:val="15"/>
                <w:szCs w:val="15"/>
              </w:rPr>
              <w:t xml:space="preserve">Fair value through net income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Cold-storage SPV that Barada directs and guarantees (VIE)</w:t>
            </w:r>
          </w:p>
        </w:tc>
        <w:tc>
          <w:tcPr>
            <w:tcW w:type="pct" w:w="2400"/>
            <w:shd w:fill="FBFAF6" w:val="clear"/>
            <w:tcMar>
              <w:top w:type="dxa" w:w="50"/>
              <w:left w:type="dxa" w:w="110"/>
              <w:bottom w:type="dxa" w:w="50"/>
              <w:right w:type="dxa" w:w="110"/>
            </w:tcMar>
          </w:tcPr>
          <w:p>
            <w:pPr>
              <w:spacing w:before="28" w:after="28"/>
            </w:pPr>
            <w:r>
              <w:rPr>
                <w:sz w:val="15"/>
                <w:szCs w:val="15"/>
              </w:rPr>
              <w:t xml:space="preserve">Full consolidation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   primary beneficiary   ·   Equity method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method   ·   proportionate consolidation   ·   upstream sale   ·   goodwill</w:t>
            </w:r>
          </w:p>
        </w:tc>
      </w:tr>
    </w:tbl>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IFRS differences and what is changing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research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exposure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Fair value of the 25% 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Fair value of Tadmor's identifiable net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Tadmor sold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Dividends paid by Tadmor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900,000 − 120,000 − 25,000 = 755,000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Two: VIE model first, then voting interest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20% × 755,000 = 151,000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Not through voting alone (unless a VIE)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Full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Fair value (full goodwill)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 general uniformity rule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non-investment-entity parent consolidates them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10 uses one control model: an investor controls an entity if it has power over it, exposure to variable returns, and the ability to use its power to affect those returns. There is no separate VIE model, and an investor can have de facto control with less than half of the votes. IFRS 3 lets a company measure NCI either at fair value or at its share of net assets, which gives partial goodwill: for Levant, $1,200,000 instead of $1,400,000. Under IFRS 11, joint ventures use the equity method and joint operations recognize their own share of assets and liabilities.</w:t>
      </w:r>
    </w:p>
    <w:p>
      <w:pPr>
        <w:spacing w:before="20" w:after="20"/>
        <w:ind w:left="240" w:hanging="240"/>
      </w:pPr>
      <w:r>
        <w:rPr>
          <w:b/>
          <w:bCs/>
          <w:color w:val="353A7C"/>
          <w:sz w:val="15"/>
          <w:szCs w:val="15"/>
        </w:rPr>
        <w:t xml:space="preserve">Summary 2   </w:t>
      </w:r>
      <w:r>
        <w:rPr>
          <w:color w:val="6B7280"/>
          <w:sz w:val="15"/>
          <w:szCs w:val="15"/>
        </w:rPr>
        <w:t xml:space="preserve">ASU 2025-03 changes how to identify the acquirer when the acquired company is a VIE; it is not testable before about January 2028. In January 2026 the FASB began research on bringing the VIE and voting models closer together. That is a proposal only. ASU 2023-05, on joint venture formations, affects only the joint venture's own statements.</w:t>
      </w:r>
    </w:p>
    <w:p>
      <w:pPr>
        <w:sectPr>
          <w:headerReference w:type="default" r:id="rIdHdr1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(i) Share-based payments and employee benefits</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(iii) Inventories   ·   (i) Share-based payments and employee benefits   ·   (vi) Impairment   ·   (v) Long-lived assets</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For share awards that vest in parts, or graded vesting, U.S. GAAP lets a company recognize 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the whole period or tranche by tranche, when the awards have only service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IFRS 2 requires tranche by tranche, which puts more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early years. </w:t>
      </w:r>
      <w:r>
        <w:rPr>
          <w:sz w:val="19"/>
          <w:szCs w:val="19"/>
        </w:rPr>
        <w:t xml:space="preserve">U.S. GAAP also allows a policy choice to record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 they occur; IFRS 2 requires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Employer payroll taxes on share awards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the tax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arises under U.S. GAAP, but accrued over the vesting period under IFRS. </w:t>
      </w:r>
      <w:r>
        <w:rPr>
          <w:sz w:val="19"/>
          <w:szCs w:val="19"/>
        </w:rPr>
        <w:t xml:space="preserve">For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benefit plan, both frameworks put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OCI. </w:t>
      </w:r>
      <w:r>
        <w:rPr>
          <w:sz w:val="19"/>
          <w:szCs w:val="19"/>
        </w:rPr>
        <w:t xml:space="preserve">U.S. GAAP later amortizes them into net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IAS 19 never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them.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amends its plan and creates prior service cost of $50,000: U.S. GAAP amortizes $5,000 a year from OCI, while IAS 19 expenses the whole amount at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payroll   ·   Orontes   ·   conditions   ·   reclassifies   ·   expense   ·   income   ·   remeasurements   ·   straight-line   ·   obligation   ·   forfeitures   ·   estimate   ·   recognized   ·   defined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61"/>
        <w:gridCol w:w="3872"/>
        <w:gridCol w:w="22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Share-based payments and employee benefits: U.S. GAAP and IFRS</w:t>
            </w:r>
          </w:p>
        </w:tc>
      </w:tr>
      <w:tr>
        <w:tc>
          <w:tcPr>
            <w:tcW w:type="pct" w:w="1803"/>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016"/>
            <w:shd w:fill="353A7C" w:val="clear"/>
            <w:tcMar>
              <w:top w:type="dxa" w:w="50"/>
              <w:left w:type="dxa" w:w="110"/>
              <w:bottom w:type="dxa" w:w="50"/>
              <w:right w:type="dxa" w:w="110"/>
            </w:tcMar>
          </w:tcPr>
          <w:p>
            <w:pPr>
              <w:spacing w:before="30" w:after="30"/>
            </w:pPr>
            <w:r>
              <w:rPr>
                <w:b/>
                <w:bCs/>
                <w:color w:val="FFFFFF"/>
                <w:sz w:val="15"/>
                <w:szCs w:val="15"/>
              </w:rPr>
              <w:t xml:space="preserve">U.S. GAAP (ASC 718, 715)</w:t>
            </w:r>
          </w:p>
        </w:tc>
        <w:tc>
          <w:tcPr>
            <w:tcW w:type="pct" w:w="1181"/>
            <w:shd w:fill="353A7C" w:val="clear"/>
            <w:tcMar>
              <w:top w:type="dxa" w:w="50"/>
              <w:left w:type="dxa" w:w="110"/>
              <w:bottom w:type="dxa" w:w="50"/>
              <w:right w:type="dxa" w:w="110"/>
            </w:tcMar>
          </w:tcPr>
          <w:p>
            <w:pPr>
              <w:spacing w:before="30" w:after="30"/>
            </w:pPr>
            <w:r>
              <w:rPr>
                <w:b/>
                <w:bCs/>
                <w:color w:val="FFFFFF"/>
                <w:sz w:val="15"/>
                <w:szCs w:val="15"/>
              </w:rPr>
              <w:t xml:space="preserve">IFRS (IFRS 2, IAS 19)</w:t>
            </w:r>
          </w:p>
        </w:tc>
      </w:tr>
      <w:tr>
        <w:tc>
          <w:tcPr>
            <w:tcW w:type="pct" w:w="1803"/>
            <w:tcMar>
              <w:top w:type="dxa" w:w="50"/>
              <w:left w:type="dxa" w:w="110"/>
              <w:bottom w:type="dxa" w:w="50"/>
              <w:right w:type="dxa" w:w="110"/>
            </w:tcMar>
          </w:tcPr>
          <w:p>
            <w:pPr>
              <w:spacing w:before="28" w:after="28"/>
            </w:pPr>
            <w:r>
              <w:rPr>
                <w:sz w:val="15"/>
                <w:szCs w:val="15"/>
              </w:rPr>
              <w:t xml:space="preserve">Graded vesting (service condition)</w:t>
            </w:r>
          </w:p>
        </w:tc>
        <w:tc>
          <w:tcPr>
            <w:tcW w:type="pct" w:w="2016"/>
            <w:tcMar>
              <w:top w:type="dxa" w:w="50"/>
              <w:left w:type="dxa" w:w="110"/>
              <w:bottom w:type="dxa" w:w="50"/>
              <w:right w:type="dxa" w:w="110"/>
            </w:tcMar>
          </w:tcPr>
          <w:p>
            <w:pPr>
              <w:spacing w:before="28" w:after="28"/>
            </w:pPr>
            <w:r>
              <w:rPr>
                <w:sz w:val="15"/>
                <w:szCs w:val="15"/>
              </w:rPr>
              <w:t xml:space="preserve">Choice: straight-line over the whole period or tranche by tranche</w:t>
            </w:r>
          </w:p>
        </w:tc>
        <w:tc>
          <w:tcPr>
            <w:tcW w:type="pct" w:w="1181"/>
            <w:tcMar>
              <w:top w:type="dxa" w:w="50"/>
              <w:left w:type="dxa" w:w="110"/>
              <w:bottom w:type="dxa" w:w="50"/>
              <w:right w:type="dxa" w:w="110"/>
            </w:tcMar>
          </w:tcPr>
          <w:p>
            <w:pPr>
              <w:spacing w:before="28" w:after="28"/>
            </w:pPr>
            <w:r>
              <w:rPr>
                <w:sz w:val="15"/>
                <w:szCs w:val="15"/>
              </w:rPr>
              <w:t xml:space="preserve">Tranche by tranche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Forfeitures</w:t>
            </w:r>
          </w:p>
        </w:tc>
        <w:tc>
          <w:tcPr>
            <w:tcW w:type="pct" w:w="2016"/>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estimate or record as they occur</w:t>
            </w:r>
          </w:p>
        </w:tc>
        <w:tc>
          <w:tcPr>
            <w:tcW w:type="pct" w:w="1181"/>
            <w:shd w:fill="FBFAF6" w:val="clear"/>
            <w:tcMar>
              <w:top w:type="dxa" w:w="50"/>
              <w:left w:type="dxa" w:w="110"/>
              <w:bottom w:type="dxa" w:w="50"/>
              <w:right w:type="dxa" w:w="110"/>
            </w:tcMar>
          </w:tcPr>
          <w:p>
            <w:pPr>
              <w:spacing w:before="28" w:after="28"/>
            </w:pPr>
            <w:r>
              <w:rPr>
                <w:sz w:val="15"/>
                <w:szCs w:val="15"/>
              </w:rPr>
              <w:t xml:space="preserve">Estimate</w:t>
            </w:r>
          </w:p>
        </w:tc>
      </w:tr>
      <w:tr>
        <w:tc>
          <w:tcPr>
            <w:tcW w:type="pct" w:w="1803"/>
            <w:tcMar>
              <w:top w:type="dxa" w:w="50"/>
              <w:left w:type="dxa" w:w="110"/>
              <w:bottom w:type="dxa" w:w="50"/>
              <w:right w:type="dxa" w:w="110"/>
            </w:tcMar>
          </w:tcPr>
          <w:p>
            <w:pPr>
              <w:spacing w:before="28" w:after="28"/>
            </w:pPr>
            <w:r>
              <w:rPr>
                <w:sz w:val="15"/>
                <w:szCs w:val="15"/>
              </w:rPr>
              <w:t xml:space="preserve">Employer payroll taxes on awards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81"/>
            <w:tcMar>
              <w:top w:type="dxa" w:w="50"/>
              <w:left w:type="dxa" w:w="110"/>
              <w:bottom w:type="dxa" w:w="50"/>
              <w:right w:type="dxa" w:w="110"/>
            </w:tcMar>
          </w:tcPr>
          <w:p>
            <w:pPr>
              <w:spacing w:before="28" w:after="28"/>
            </w:pPr>
            <w:r>
              <w:rPr>
                <w:sz w:val="15"/>
                <w:szCs w:val="15"/>
              </w:rPr>
              <w:t xml:space="preserve">Accrued over the vesting period</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Pension remeasurements (actuarial gains and losses)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81"/>
            <w:shd w:fill="FBFAF6" w:val="clear"/>
            <w:tcMar>
              <w:top w:type="dxa" w:w="50"/>
              <w:left w:type="dxa" w:w="110"/>
              <w:bottom w:type="dxa" w:w="50"/>
              <w:right w:type="dxa" w:w="110"/>
            </w:tcMar>
          </w:tcPr>
          <w:p>
            <w:pPr>
              <w:spacing w:before="28" w:after="28"/>
            </w:pPr>
            <w:r>
              <w:rPr>
                <w:sz w:val="15"/>
                <w:szCs w:val="15"/>
              </w:rPr>
              <w:t xml:space="preserve">OCI, never reclassified to profit</w:t>
            </w:r>
          </w:p>
        </w:tc>
      </w:tr>
      <w:tr>
        <w:tc>
          <w:tcPr>
            <w:tcW w:type="pct" w:w="1803"/>
            <w:tcMar>
              <w:top w:type="dxa" w:w="50"/>
              <w:left w:type="dxa" w:w="110"/>
              <w:bottom w:type="dxa" w:w="50"/>
              <w:right w:type="dxa" w:w="110"/>
            </w:tcMar>
          </w:tcPr>
          <w:p>
            <w:pPr>
              <w:spacing w:before="28" w:after="28"/>
            </w:pPr>
            <w:r>
              <w:rPr>
                <w:sz w:val="15"/>
                <w:szCs w:val="15"/>
              </w:rPr>
              <w:t xml:space="preserve">Return on plan assets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81"/>
            <w:tcMar>
              <w:top w:type="dxa" w:w="50"/>
              <w:left w:type="dxa" w:w="110"/>
              <w:bottom w:type="dxa" w:w="50"/>
              <w:right w:type="dxa" w:w="110"/>
            </w:tcMar>
          </w:tcPr>
          <w:p>
            <w:pPr>
              <w:spacing w:before="28" w:after="28"/>
            </w:pPr>
            <w:r>
              <w:rPr>
                <w:sz w:val="15"/>
                <w:szCs w:val="15"/>
              </w:rPr>
              <w:t xml:space="preserve">Net interest at the discount rate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Prior service cost: Orontes amendment of 50,000</w:t>
            </w:r>
          </w:p>
        </w:tc>
        <w:tc>
          <w:tcPr>
            <w:tcW w:type="pct" w:w="2016"/>
            <w:shd w:fill="FBFAF6" w:val="clear"/>
            <w:tcMar>
              <w:top w:type="dxa" w:w="50"/>
              <w:left w:type="dxa" w:w="110"/>
              <w:bottom w:type="dxa" w:w="50"/>
              <w:right w:type="dxa" w:w="110"/>
            </w:tcMar>
          </w:tcPr>
          <w:p>
            <w:pPr>
              <w:spacing w:before="28" w:after="28"/>
            </w:pPr>
            <w:r>
              <w:rPr>
                <w:sz w:val="15"/>
                <w:szCs w:val="15"/>
              </w:rPr>
              <w:t xml:space="preserve">OCI, amortized over 10 years: 5,000 a year</w:t>
            </w:r>
          </w:p>
        </w:tc>
        <w:tc>
          <w:tcPr>
            <w:tcW w:type="pct" w:w="1181"/>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Policy choice   ·   component depreciation   ·   Expected return   ·   When the tax obligation arises (exercise or vesting)   ·   OCI, then amortized into net income (corridor)   ·   Expensed at once: 50,000</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value in use   ·   defined benefit plan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graded vesting</w:t>
            </w:r>
          </w:p>
        </w:tc>
        <w:tc>
          <w:tcPr>
            <w:tcW w:type="pct" w:w="2471"/>
            <w:tcMar>
              <w:top w:type="dxa" w:w="50"/>
              <w:left w:type="dxa" w:w="110"/>
              <w:bottom w:type="dxa" w:w="50"/>
              <w:right w:type="dxa" w:w="110"/>
            </w:tcMar>
          </w:tcPr>
          <w:p>
            <w:pPr>
              <w:spacing w:before="26" w:after="26"/>
            </w:pPr>
            <w:r>
              <w:rPr>
                <w:color w:val="232733"/>
                <w:sz w:val="16"/>
                <w:szCs w:val="16"/>
              </w:rPr>
              <w:t xml:space="preserve">الاستحقاق المتدرج</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تكلفة الخدمة السابقة</w:t>
            </w:r>
          </w:p>
        </w:tc>
      </w:tr>
      <w:tr>
        <w:tc>
          <w:tcPr>
            <w:tcW w:type="pct" w:w="2529"/>
            <w:tcMar>
              <w:top w:type="dxa" w:w="50"/>
              <w:left w:type="dxa" w:w="110"/>
              <w:bottom w:type="dxa" w:w="50"/>
              <w:right w:type="dxa" w:w="110"/>
            </w:tcMar>
          </w:tcPr>
          <w:p>
            <w:pPr>
              <w:spacing w:before="26" w:after="26"/>
            </w:pPr>
            <w:r>
              <w:rPr>
                <w:color w:val="232733"/>
                <w:sz w:val="16"/>
                <w:szCs w:val="16"/>
              </w:rPr>
              <w:t xml:space="preserve">remeasurements</w:t>
            </w:r>
          </w:p>
        </w:tc>
        <w:tc>
          <w:tcPr>
            <w:tcW w:type="pct" w:w="2471"/>
            <w:tcMar>
              <w:top w:type="dxa" w:w="50"/>
              <w:left w:type="dxa" w:w="110"/>
              <w:bottom w:type="dxa" w:w="50"/>
              <w:right w:type="dxa" w:w="110"/>
            </w:tcMar>
          </w:tcPr>
          <w:p>
            <w:pPr>
              <w:spacing w:before="26" w:after="26"/>
            </w:pPr>
            <w:r>
              <w:rPr>
                <w:color w:val="232733"/>
                <w:sz w:val="16"/>
                <w:szCs w:val="16"/>
              </w:rPr>
              <w:t xml:space="preserve">إعادة القياس</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خطة المنافع المحددة</w:t>
            </w:r>
          </w:p>
        </w:tc>
      </w:tr>
    </w:tbl>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(i) Share-based payments and employee benefits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 Share-based payments and employee benefits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(iii) Inventories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 Long-lived assets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Policy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When the tax obligation arises (exercise or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forfeitures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OCI, then amortized into net income (corridor)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Expected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Expensed at once: 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graded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defined benefit plan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 awards that vest in parts, or graded vesting, U.S. GAAP lets a company recognize the cost straight-line over the whole period or tranche by tranche, when the awards have only service conditions. IFRS 2 requires tranche by tranche, which puts more expense in the early years. U.S. GAAP also allows a policy choice to record forfeitures as they occur; IFRS 2 requires an estimate. Employer payroll taxes on share awards are recognized when the tax obligation arises under U.S. GAAP, but accrued over the vesting period under IFRS. For a defined benefit plan, both frameworks put remeasurements in OCI. U.S. GAAP later amortizes them into net income; IAS 19 never reclassifies them. Orontes amends its plan and creates prior service cost of $50,000: U.S. GAAP amortizes $5,000 a year from OCI, while IAS 19 expenses the whole amount at once.</w:t>
      </w:r>
    </w:p>
    <w:p>
      <w:pPr>
        <w:sectPr>
          <w:headerReference w:type="default" r:id="rIdHdr1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(ii) Intangible assets</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intangibles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development costs. </w:t>
      </w:r>
      <w:r>
        <w:rPr>
          <w:sz w:val="19"/>
          <w:szCs w:val="19"/>
        </w:rPr>
        <w:t xml:space="preserve">U.S. GAAP expenses research and development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narrow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software. </w:t>
      </w:r>
      <w:r>
        <w:rPr>
          <w:sz w:val="19"/>
          <w:szCs w:val="19"/>
        </w:rPr>
        <w:t xml:space="preserve">IAS 38 expenses research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development once six criteria are met, such as technical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intention and ability to complete, and a way to generate future benefits.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Orontes spends $300,000 developing a new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line, and all six criteria are met. </w:t>
      </w:r>
      <w:r>
        <w:rPr>
          <w:sz w:val="19"/>
          <w:szCs w:val="19"/>
        </w:rPr>
        <w:t xml:space="preserve">Under U.S. GAAP the whole amount is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under IFRS it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asset, amortized once the product is ready. </w:t>
      </w:r>
      <w:r>
        <w:rPr>
          <w:sz w:val="19"/>
          <w:szCs w:val="19"/>
        </w:rPr>
        <w:t xml:space="preserve">IAS 38 also allows the revaluation model for intangibles, but only where an active market exists, which is rare. </w:t>
      </w:r>
      <w:r>
        <w:rPr>
          <w:sz w:val="19"/>
          <w:szCs w:val="19"/>
        </w:rPr>
        <w:t xml:space="preserve">U.S. GAAP never revalues intangibles upward. </w:t>
      </w:r>
      <w:r>
        <w:rPr>
          <w:sz w:val="19"/>
          <w:szCs w:val="19"/>
        </w:rPr>
        <w:t xml:space="preserve">Both frameworks refuse to recognize internally generated brands.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capitalizes   ·   intangible   ·   incurred   ·   exceptions   ·   sparkling-juice   ·   recognize   ·   expense   ·   largest   ·   Suppose   ·   feasibility   ·   difference</w:t>
            </w:r>
          </w:p>
        </w:tc>
      </w:tr>
    </w:tbl>
    <w:p/>
    <w:p>
      <w:pPr>
        <w:spacing w:before="44" w:after="10"/>
      </w:pPr>
      <w:r>
        <w:rPr>
          <w:b/>
          <w:bCs/>
          <w:color w:val="353A7C"/>
          <w:sz w:val="18"/>
          <w:szCs w:val="18"/>
        </w:rPr>
        <w:t xml:space="preserve">Intangible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Capitalized: all six IAS 38 criteria are met   ·   Not allowed   ·   Not recognized   ·   Only private companies may elect it   ·   Capitalized only in limited stages (ASC 985-20, 350-40)</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15–17</w:t>
      </w:r>
    </w:p>
    <w:p>
      <w:pPr>
        <w:spacing w:before="20" w:after="20" w:line="360" w:lineRule="auto"/>
        <w:ind w:left="200"/>
      </w:pPr>
      <w:r>
        <w:rPr>
          <w:sz w:val="19"/>
          <w:szCs w:val="19"/>
        </w:rPr>
        <w:t xml:space="preserve">ASU 2025-06 simplifies when internal-use software costs are capitalized, and ASU 2026-02 creates new rules for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credits. </w:t>
      </w:r>
      <w:r>
        <w:rPr>
          <w:sz w:val="19"/>
          <w:szCs w:val="19"/>
        </w:rPr>
        <w:t xml:space="preserve">Neither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2029. </w:t>
      </w:r>
      <w:r>
        <w:rPr>
          <w:sz w:val="19"/>
          <w:szCs w:val="19"/>
        </w:rPr>
        <w:t xml:space="preserve">Private companies may amortize goodwill, but an SEC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such as Orontes may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environmental   ·   testable   ·   registrant   ·   technical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التطوير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(ii) Intangible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Capitalized: all six IAS 38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Capitalized only in limited stages (ASC 985-20, 350-40)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exceptions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Not 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private companies may elect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feasibility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environmental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sparkling-juice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registrant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intangibles difference is development costs. U.S. GAAP expenses research and development as incurred, with narrow exceptions for software. IAS 38 expenses research but capitalizes development once six criteria are met, such as technical feasibility, intention and ability to complete, and a way to generate future benefits. Suppose Orontes spends $300,000 developing a new sparkling-juice line, and all six criteria are met. Under U.S. GAAP the whole amount is an expense; under IFRS it is an intangible asset, amortized once the product is ready. IAS 38 also allows the revaluation model for intangibles, but only where an active market exists, which is rare. U.S. GAAP never revalues intangibles upward. Both frameworks refuse to recognize internally generated brands.</w:t>
      </w:r>
    </w:p>
    <w:p>
      <w:pPr>
        <w:spacing w:before="20" w:after="20"/>
        <w:ind w:left="240" w:hanging="240"/>
      </w:pPr>
      <w:r>
        <w:rPr>
          <w:b/>
          <w:bCs/>
          <w:color w:val="353A7C"/>
          <w:sz w:val="15"/>
          <w:szCs w:val="15"/>
        </w:rPr>
        <w:t xml:space="preserve">Summary 2   </w:t>
      </w:r>
      <w:r>
        <w:rPr>
          <w:color w:val="6B7280"/>
          <w:sz w:val="15"/>
          <w:szCs w:val="15"/>
        </w:rPr>
        <w:t xml:space="preserve">ASU 2025-06 simplifies when internal-use software costs are capitalized, and ASU 2026-02 creates new rules for environmental credits. Neither is testable before about January 2029. Private companies may amortize goodwill, but an SEC registrant such as Orontes may not.</w:t>
      </w:r>
    </w:p>
    <w:p>
      <w:pPr>
        <w:sectPr>
          <w:headerReference w:type="default" r:id="rIdHdr1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(iii) Inventories</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Stocks, provision</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Both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write inventory down when its value falls below cost. </w:t>
      </w:r>
      <w:r>
        <w:rPr>
          <w:sz w:val="19"/>
          <w:szCs w:val="19"/>
        </w:rPr>
        <w:t xml:space="preserve">The key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comes when value recovers.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frameworks   ·   difference   ·   inventory</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reverses   ·   inventory   ·   remeasurements   ·   average   ·   write-down</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In U.S. terms,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reduces the inventory itself; do not call it a provision or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depreciation   ·   reduces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14"/>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bl>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(iii) Inventories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reverses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Both frameworks write inventory down when its value falls below cost. The key difference comes when value recovers.</w:t>
      </w:r>
    </w:p>
    <w:p>
      <w:pPr>
        <w:spacing w:before="20" w:after="20"/>
        <w:ind w:left="240" w:hanging="240"/>
      </w:pPr>
      <w:r>
        <w:rPr>
          <w:b/>
          <w:bCs/>
          <w:color w:val="353A7C"/>
          <w:sz w:val="15"/>
          <w:szCs w:val="15"/>
        </w:rPr>
        <w:t xml:space="preserve">Summary 2   </w:t>
      </w:r>
      <w:r>
        <w:rPr>
          <w:color w:val="6B7280"/>
          <w:sz w:val="15"/>
          <w:szCs w:val="15"/>
        </w:rPr>
        <w:t xml:space="preserve">Not depreciation. In U.S. terms, a write-down reduces the inventory itself; do not call it a provision or a reserve.</w:t>
      </w:r>
    </w:p>
    <w:p>
      <w:pPr>
        <w:sectPr>
          <w:headerReference w:type="default" r:id="rIdHdr1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(iv) Leases: the lessee</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20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734050" cy="2203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interest   ·   Orontes's   ·   remeasurements   ·   straight-line</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Over the whole lease, total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same. </w:t>
      </w:r>
      <w:r>
        <w:rPr>
          <w:sz w:val="19"/>
          <w:szCs w:val="19"/>
        </w:rPr>
        <w:t xml:space="preserve">IFRS 16 also allows an exemption for low-value assets,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liability when an index such as CPI changes,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lease principal as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remeasures   ·   treated   ·   classifies</w:t>
            </w:r>
          </w:p>
        </w:tc>
      </w:tr>
    </w:tbl>
    <w:p/>
    <w:p>
      <w:pPr>
        <w:pageBreakBefore w:val="true"/>
        <w:spacing w:after="0"/>
      </w:pPr>
      <w:r>
        <w:rPr>
          <w:sz w:val="2"/>
        </w:rPr>
        <w:t xml:space="preserve"> </w:t>
      </w:r>
    </w:p>
    <w:p>
      <w:pPr>
        <w:spacing w:before="44" w:after="10"/>
      </w:pPr>
      <w:r>
        <w:rPr>
          <w:b/>
          <w:bCs/>
          <w:color w:val="353A7C"/>
          <w:sz w:val="18"/>
          <w:szCs w:val="18"/>
        </w:rPr>
        <w:t xml:space="preserve">Lessee accounting: U.S. GAAP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52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734050" cy="3523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Low-value assets   ·   Full gain if a sale   ·   One: all leases like finance leases   ·   Liability remeasured   ·   Operating   ·   One straight-line lease cost: 100,000</w:t>
            </w:r>
          </w:p>
        </w:tc>
      </w:tr>
    </w:tbl>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(iv) Leases: the lessee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One: all leases like finance leases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One straight-line lease cost: 100,000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 remeasured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Full gain if a sale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Over the whole lease, total expense is the same. IFRS 16 also allows an exemption for low-value assets, remeasures the liability when an index such as CPI changes, and classifies lease principal as financing.</w:t>
      </w:r>
    </w:p>
    <w:p>
      <w:pPr>
        <w:sectPr>
          <w:headerReference w:type="default" r:id="rIdHdr1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(v) Long-lived assets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Long-lived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32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734050" cy="3327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Allowed, not required   ·   Capitalized; investment income generally not offset   ·   At least every year   ·   Stays at 2,000,000</w:t>
            </w:r>
          </w:p>
        </w:tc>
      </w:tr>
    </w:tbl>
    <w:p/>
    <w:p>
      <w:pPr>
        <w:spacing w:before="44" w:after="14"/>
      </w:pPr>
      <w:r>
        <w:rPr>
          <w:b/>
          <w:bCs/>
          <w:color w:val="353A7C"/>
          <w:sz w:val="18"/>
          <w:szCs w:val="18"/>
        </w:rPr>
        <w:t xml:space="preserve">Summary 1</w:t>
      </w:r>
      <w:r>
        <w:rPr>
          <w:color w:val="6B7280"/>
          <w:sz w:val="16"/>
          <w:szCs w:val="16"/>
        </w:rPr>
        <w:t xml:space="preserve">      gaps 5–9</w:t>
      </w:r>
    </w:p>
    <w:p>
      <w:pPr>
        <w:spacing w:before="20" w:after="20" w:line="360" w:lineRule="auto"/>
        <w:ind w:left="200"/>
      </w:pPr>
      <w:r>
        <w:rPr>
          <w:sz w:val="19"/>
          <w:szCs w:val="19"/>
        </w:rPr>
        <w:t xml:space="preserve">IAS 16 also allows the revaluation model for a whole class of assets: the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fair value,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 to a revaluation surplus in OCI. </w:t>
      </w:r>
      <w:r>
        <w:rPr>
          <w:sz w:val="19"/>
          <w:szCs w:val="19"/>
        </w:rPr>
        <w:t xml:space="preserve">Suppose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land in Amman cost $2,000,000 and is now worth $2,600,000. </w:t>
      </w:r>
      <w:r>
        <w:rPr>
          <w:sz w:val="19"/>
          <w:szCs w:val="19"/>
        </w:rPr>
        <w:t xml:space="preserve">IFRS requires component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significant parts with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lives; U.S. GAAP allows but does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carried   ·   significant   ·   increases   ·   Orontes's   ·   different   ·   depreciation</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3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734050" cy="2338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frameworks   ·   surplus   ·   construction   ·   revaluation model   ·   recoverable amount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recoverability test   ·   component depreciation   ·   revaluation model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إعادة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فائض إعادة التقييم</w:t>
            </w:r>
          </w:p>
        </w:tc>
      </w:tr>
      <w:tr>
        <w:tc>
          <w:tcPr>
            <w:tcW w:type="pct" w:w="2600"/>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0"/>
            <w:tcMar>
              <w:top w:type="dxa" w:w="50"/>
              <w:left w:type="dxa" w:w="110"/>
              <w:bottom w:type="dxa" w:w="50"/>
              <w:right w:type="dxa" w:w="110"/>
            </w:tcMar>
          </w:tcPr>
          <w:p>
            <w:pPr>
              <w:spacing w:before="26" w:after="26"/>
            </w:pPr>
            <w:r>
              <w:rPr>
                <w:color w:val="232733"/>
                <w:sz w:val="16"/>
                <w:szCs w:val="16"/>
              </w:rPr>
              <w:t xml:space="preserve">الإهلاك حسب المكونات</w:t>
            </w:r>
          </w:p>
        </w:tc>
      </w:tr>
    </w:tbl>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(v) Long-lived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Stays at 2,000,000</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Allowed, not required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At least every year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Capitalized; investment income generally not offset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surplus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component depreciation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16 also allows the revaluation model for a whole class of assets: the assets are carried at fair value, and increases go to a revaluation surplus in OCI. Suppose Orontes's land in Amman cost $2,000,000 and is now worth $2,600,000. IFRS requires component depreciation for significant parts with different lives; U.S. GAAP allows but does not require it.</w:t>
      </w:r>
    </w:p>
    <w:p>
      <w:pPr>
        <w:sectPr>
          <w:headerReference w:type="default" r:id="rIdHdr1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(vi) Impairment</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U.S. GAAP tests a held-and-used asset group in two steps. </w:t>
      </w:r>
      <w:r>
        <w:rPr>
          <w:sz w:val="19"/>
          <w:szCs w:val="19"/>
        </w:rPr>
        <w:t xml:space="preserve">First, it compares the carrying amount with undiscounted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cash flows. </w:t>
      </w:r>
      <w:r>
        <w:rPr>
          <w:sz w:val="19"/>
          <w:szCs w:val="19"/>
        </w:rPr>
        <w:t xml:space="preserve">Only if the carrying amount is higher does it measure a loss, equal to the carrying amount minus fair value. </w:t>
      </w:r>
      <w:r>
        <w:rPr>
          <w:sz w:val="19"/>
          <w:szCs w:val="19"/>
        </w:rPr>
        <w:t xml:space="preserve">IAS 36 uses one step. </w:t>
      </w:r>
      <w:r>
        <w:rPr>
          <w:sz w:val="19"/>
          <w:szCs w:val="19"/>
        </w:rPr>
        <w:t xml:space="preserve">It compares the carrying amount of an asset 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unit with its recoverable amount: the higher of fair value less costs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value in use,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cash-flow measure.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there is no undiscounted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IFRS losses often come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also differ after the loss. </w:t>
      </w:r>
      <w:r>
        <w:rPr>
          <w:sz w:val="19"/>
          <w:szCs w:val="19"/>
        </w:rPr>
        <w:t xml:space="preserve">IFRS reverses an impairment when the recoverable amount rises, but not for goodwill and not above the carrying amount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loss. </w:t>
      </w:r>
      <w:r>
        <w:rPr>
          <w:sz w:val="19"/>
          <w:szCs w:val="19"/>
        </w:rPr>
        <w:t xml:space="preserve">U.S. GAAP never reverses an impairment of a held-and-used asset or of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without   ·   frameworks   ·   screen   ·   Because   ·   earlier   ·   cash-generating   ·   measure   ·   future   ·   discounted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 plant</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Undiscounted cash flows of $4,200,000 are above the carrying amount of $4,000,000: the plant is recoverable, so there is no loss. </w:t>
      </w:r>
      <w:r>
        <w:rPr>
          <w:sz w:val="19"/>
          <w:szCs w:val="19"/>
        </w:rPr>
        <w:t xml:space="preserve">Recoverable amount is the higher of $3,500,000 and $3,700,000: $3,700,000. </w:t>
      </w:r>
      <w:r>
        <w:rPr>
          <w:sz w:val="19"/>
          <w:szCs w:val="19"/>
        </w:rPr>
        <w:t xml:space="preserve">The carrying amount is higher, so the loss is $300,000. </w:t>
      </w:r>
      <w:r>
        <w:rPr>
          <w:sz w:val="19"/>
          <w:szCs w:val="19"/>
        </w:rPr>
        <w:t xml:space="preserve">If the U.S. test had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loss would have been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against fair value: $500,000.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goodwill   ·   failed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framework?</w:t>
            </w:r>
          </w:p>
        </w:tc>
      </w:tr>
    </w:tbl>
    <w:p/>
    <w:p>
      <w:pPr>
        <w:spacing w:before="44" w:after="10"/>
      </w:pPr>
      <w:r>
        <w:rPr>
          <w:b/>
          <w:bCs/>
          <w:color w:val="353A7C"/>
          <w:sz w:val="18"/>
          <w:szCs w:val="18"/>
        </w:rPr>
        <w:t xml:space="preserve">Which framework?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 service cost is expensed immediately   ·   Inventory write-downs are reversed when NRV recovers   ·   Development costs are capitalized when criteria are met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The IASB is still discussing changes to goodwill impairment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after its 2024 exposure draft. </w:t>
      </w:r>
      <w:r>
        <w:rPr>
          <w:sz w:val="19"/>
          <w:szCs w:val="19"/>
        </w:rPr>
        <w:t xml:space="preserve">Goodwill remains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under both frameworks for public companies. </w:t>
      </w:r>
      <w:r>
        <w:rPr>
          <w:sz w:val="19"/>
          <w:szCs w:val="19"/>
        </w:rPr>
        <w:t xml:space="preserve">Do not treat the proposal as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impairment-only   ·   discussing   ·   disclosures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Levant Distribution LLC,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Levant Distribution LLC,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Levant's 2027 net income under IFRS (local books)</w:t>
            </w:r>
          </w:p>
        </w:tc>
        <w:tc>
          <w:tcPr>
            <w:tcW w:type="pct" w:w="2600"/>
            <w:tcMar>
              <w:top w:type="dxa" w:w="50"/>
              <w:left w:type="dxa" w:w="110"/>
              <w:bottom w:type="dxa" w:w="50"/>
              <w:right w:type="dxa" w:w="110"/>
            </w:tcMar>
          </w:tcPr>
          <w:p>
            <w:pPr>
              <w:spacing w:before="28" w:after="28"/>
            </w:pPr>
            <w:r>
              <w:rPr>
                <w:sz w:val="15"/>
                <w:szCs w:val="15"/>
              </w:rPr>
              <w:t xml:space="preserve">1,114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L1</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of a new ordering app capitalized in 2027 under IAS 38: 240. None is amortized yet.</w:t>
            </w:r>
          </w:p>
        </w:tc>
      </w:tr>
      <w:tr>
        <w:tc>
          <w:tcPr>
            <w:tcW w:type="pct" w:w="2400"/>
            <w:tcMar>
              <w:top w:type="dxa" w:w="50"/>
              <w:left w:type="dxa" w:w="110"/>
              <w:bottom w:type="dxa" w:w="50"/>
              <w:right w:type="dxa" w:w="110"/>
            </w:tcMar>
          </w:tcPr>
          <w:p>
            <w:pPr>
              <w:spacing w:before="28" w:after="28"/>
            </w:pPr>
            <w:r>
              <w:rPr>
                <w:sz w:val="15"/>
                <w:szCs w:val="15"/>
              </w:rPr>
              <w:t xml:space="preserve">L2</w:t>
            </w:r>
          </w:p>
        </w:tc>
        <w:tc>
          <w:tcPr>
            <w:tcW w:type="pct" w:w="2600"/>
            <w:tcMar>
              <w:top w:type="dxa" w:w="50"/>
              <w:left w:type="dxa" w:w="110"/>
              <w:bottom w:type="dxa" w:w="50"/>
              <w:right w:type="dxa" w:w="110"/>
            </w:tcMar>
          </w:tcPr>
          <w:p>
            <w:pPr>
              <w:spacing w:before="28" w:after="28"/>
            </w:pPr>
            <w:r>
              <w:rPr>
                <w:sz w:val="15"/>
                <w:szCs w:val="15"/>
              </w:rPr>
              <w:t xml:space="preserve">A 2026 inventory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was reversed in 2027 under IAS 2: gain of 30.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L3</w:t>
            </w:r>
          </w:p>
        </w:tc>
        <w:tc>
          <w:tcPr>
            <w:tcW w:type="pct" w:w="2600"/>
            <w:shd w:fill="FBFAF6" w:val="clear"/>
            <w:tcMar>
              <w:top w:type="dxa" w:w="50"/>
              <w:left w:type="dxa" w:w="110"/>
              <w:bottom w:type="dxa" w:w="50"/>
              <w:right w:type="dxa" w:w="110"/>
            </w:tcMar>
          </w:tcPr>
          <w:p>
            <w:pPr>
              <w:spacing w:before="28" w:after="28"/>
            </w:pPr>
            <w:r>
              <w:rPr>
                <w:sz w:val="15"/>
                <w:szCs w:val="15"/>
              </w:rPr>
              <w:t xml:space="preserve">Warehouse land revalued upward by 400; the surplus is in OCI.</w:t>
            </w:r>
          </w:p>
        </w:tc>
      </w:tr>
      <w:tr>
        <w:tc>
          <w:tcPr>
            <w:tcW w:type="pct" w:w="2400"/>
            <w:tcMar>
              <w:top w:type="dxa" w:w="50"/>
              <w:left w:type="dxa" w:w="110"/>
              <w:bottom w:type="dxa" w:w="50"/>
              <w:right w:type="dxa" w:w="110"/>
            </w:tcMar>
          </w:tcPr>
          <w:p>
            <w:pPr>
              <w:spacing w:before="28" w:after="28"/>
            </w:pPr>
            <w:r>
              <w:rPr>
                <w:sz w:val="15"/>
                <w:szCs w:val="15"/>
              </w:rPr>
              <w:t xml:space="preserve">L4</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IAS 36 impairment loss of 50; carrying amount now 450. Undiscounted cash flows are higher than the carrying amount before th</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L5</w:t>
            </w:r>
          </w:p>
        </w:tc>
        <w:tc>
          <w:tcPr>
            <w:tcW w:type="pct" w:w="2600"/>
            <w:shd w:fill="FBFAF6" w:val="clear"/>
            <w:tcMar>
              <w:top w:type="dxa" w:w="50"/>
              <w:left w:type="dxa" w:w="110"/>
              <w:bottom w:type="dxa" w:w="50"/>
              <w:right w:type="dxa" w:w="110"/>
            </w:tcMar>
          </w:tcPr>
          <w:p>
            <w:pPr>
              <w:spacing w:before="28" w:after="28"/>
            </w:pPr>
            <w:r>
              <w:rPr>
                <w:sz w:val="15"/>
                <w:szCs w:val="15"/>
              </w:rPr>
              <w:t xml:space="preserve">Truck lease: IFRS 16 expense 78; as a U.S. operating lease, the straight-line cost would be 72.</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Orontes must convert Levant's figures to U.S. GAAP before consolidation (Chapter 16). Ignore tax effects.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Truck lease   ·   Development costs   ·   Delivery fleet</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tested first with undiscounted cash flows   ·   Development costs capitalized when criteria are met</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defined benefit plan   ·   L5 Truck lease   ·   L2 Write-down reversal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research and development (R&amp;D)   ·   value in 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value in use</w:t>
            </w:r>
          </w:p>
        </w:tc>
        <w:tc>
          <w:tcPr>
            <w:tcW w:type="pct" w:w="2600"/>
            <w:tcMar>
              <w:top w:type="dxa" w:w="50"/>
              <w:left w:type="dxa" w:w="110"/>
              <w:bottom w:type="dxa" w:w="50"/>
              <w:right w:type="dxa" w:w="110"/>
            </w:tcMar>
          </w:tcPr>
          <w:p>
            <w:pPr>
              <w:spacing w:before="26" w:after="26"/>
            </w:pPr>
            <w:r>
              <w:rPr>
                <w:color w:val="232733"/>
                <w:sz w:val="16"/>
                <w:szCs w:val="16"/>
              </w:rPr>
              <w:t xml:space="preserve">القيمة من الاستخدام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recoverable amount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المبلغ القابل للاسترداد</w:t>
            </w:r>
          </w:p>
        </w:tc>
      </w:tr>
      <w:tr>
        <w:tc>
          <w:tcPr>
            <w:tcW w:type="pct" w:w="2400"/>
            <w:tcMar>
              <w:top w:type="dxa" w:w="50"/>
              <w:left w:type="dxa" w:w="110"/>
              <w:bottom w:type="dxa" w:w="50"/>
              <w:right w:type="dxa" w:w="110"/>
            </w:tcMar>
          </w:tcPr>
          <w:p>
            <w:pPr>
              <w:spacing w:before="26" w:after="26"/>
            </w:pPr>
            <w:r>
              <w:rPr>
                <w:color w:val="232733"/>
                <w:sz w:val="16"/>
                <w:szCs w:val="16"/>
              </w:rPr>
              <w:t xml:space="preserve">cash-generating unit</w:t>
            </w:r>
          </w:p>
        </w:tc>
        <w:tc>
          <w:tcPr>
            <w:tcW w:type="pct" w:w="2600"/>
            <w:tcMar>
              <w:top w:type="dxa" w:w="50"/>
              <w:left w:type="dxa" w:w="110"/>
              <w:bottom w:type="dxa" w:w="50"/>
              <w:right w:type="dxa" w:w="110"/>
            </w:tcMar>
          </w:tcPr>
          <w:p>
            <w:pPr>
              <w:spacing w:before="26" w:after="26"/>
            </w:pPr>
            <w:r>
              <w:rPr>
                <w:color w:val="232733"/>
                <w:sz w:val="16"/>
                <w:szCs w:val="16"/>
              </w:rPr>
              <w:t xml:space="preserve">وحدة توليد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العادلة ناقصاً تكاليف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600"/>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bl>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(vi) Impairment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future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Prior service cost is expensed 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cash-generating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impairment-only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Development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screen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Delivery fleet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Development costs capitalized when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L2 Write-down 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L5 Truck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failed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value in 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fair value less costs of disposal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Development costs are capitalized when criteria are met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tests a held-and-used asset group in two steps. First, it compares the carrying amount with undiscounted future cash flows. Only if the carrying amount is higher does it measure a loss, equal to the carrying amount minus fair value. IAS 36 uses one step. It compares the carrying amount of an asset or cash-generating unit with its recoverable amount: the higher of fair value less costs of disposal and value in use, a discounted cash-flow measure. Because there is no undiscounted screen, IFRS losses often come earlier. The frameworks also differ after the loss. IFRS reverses an impairment when the recoverable amount rises, but not for goodwill and not above the carrying amount without the loss. U.S. GAAP never reverses an impairment of a held-and-used asset or of goodwill.</w:t>
      </w:r>
    </w:p>
    <w:p>
      <w:pPr>
        <w:spacing w:before="20" w:after="20"/>
        <w:ind w:left="240" w:hanging="240"/>
      </w:pPr>
      <w:r>
        <w:rPr>
          <w:b/>
          <w:bCs/>
          <w:color w:val="353A7C"/>
          <w:sz w:val="15"/>
          <w:szCs w:val="15"/>
        </w:rPr>
        <w:t xml:space="preserve">Summary 2   </w:t>
      </w:r>
      <w:r>
        <w:rPr>
          <w:color w:val="6B7280"/>
          <w:sz w:val="15"/>
          <w:szCs w:val="15"/>
        </w:rPr>
        <w:t xml:space="preserve">Undiscounted cash flows of $4,200,000 are above the carrying amount of $4,000,000: the plant is recoverable, so there is no loss. Recoverable amount is the higher of $3,500,000 and $3,700,000: $3,700,000. The carrying amount is higher, so the loss is $300,000. If the U.S. test had failed, the loss would have been measured against fair value: $500,000.</w:t>
      </w:r>
    </w:p>
    <w:p>
      <w:pPr>
        <w:spacing w:before="20" w:after="20"/>
        <w:ind w:left="240" w:hanging="240"/>
      </w:pPr>
      <w:r>
        <w:rPr>
          <w:b/>
          <w:bCs/>
          <w:color w:val="353A7C"/>
          <w:sz w:val="15"/>
          <w:szCs w:val="15"/>
        </w:rPr>
        <w:t xml:space="preserve">Summary 3   </w:t>
      </w:r>
      <w:r>
        <w:rPr>
          <w:color w:val="6B7280"/>
          <w:sz w:val="15"/>
          <w:szCs w:val="15"/>
        </w:rPr>
        <w:t xml:space="preserve">The IASB is still discussing changes to goodwill impairment disclosures after its 2024 exposure draft. Goodwill remains impairment-only under both frameworks for public companies. Do not treat the proposal as a rule.</w:t>
      </w:r>
    </w:p>
    <w:p>
      <w:pPr>
        <w:sectPr>
          <w:headerReference w:type="default" r:id="rIdHdr1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Integrated thinking, integrated reporting and the integrated report</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reporting and sustainability disclo   ·   value creation process   ·   Guiding principles and content elements   ·   The primary purpose</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Integrated thinking is the way management considers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the company's units and the resources,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it uses and affects. </w:t>
      </w:r>
      <w:r>
        <w:rPr>
          <w:sz w:val="19"/>
          <w:szCs w:val="19"/>
        </w:rPr>
        <w:t xml:space="preserve">It leads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consider value creation over the short,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long term. </w:t>
      </w:r>
      <w:r>
        <w:rPr>
          <w:sz w:val="19"/>
          <w:szCs w:val="19"/>
        </w:rPr>
        <w:t xml:space="preserve">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the process, founded on integrated thinking, that results in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integrated report. </w:t>
      </w:r>
      <w:r>
        <w:rPr>
          <w:sz w:val="19"/>
          <w:szCs w:val="19"/>
        </w:rPr>
        <w:t xml:space="preserve">The integrated report is the product: a concise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about how the company's strategy, governance, performance and prospects lead to the creation,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erosion of value over time. </w:t>
      </w:r>
      <w:r>
        <w:rPr>
          <w:sz w:val="19"/>
          <w:szCs w:val="19"/>
        </w:rPr>
        <w:t xml:space="preserve">The three ideas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each other.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integrated thinking, a report is just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separate facts. </w:t>
      </w:r>
      <w:r>
        <w:rPr>
          <w:sz w:val="19"/>
          <w:szCs w:val="19"/>
        </w:rPr>
        <w:t xml:space="preserve">The rules are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&lt;IR&gt; Framework, last revised in January 2021. </w:t>
      </w:r>
      <w:r>
        <w:rPr>
          <w:sz w:val="19"/>
          <w:szCs w:val="19"/>
        </w:rPr>
        <w:t xml:space="preserve">The IFRS Foundation now owns it, and the IASB and the ISSB are jointly responsible for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   ·   communication   ·   preservation   ·   International   ·   medium   ·   periodic   ·   resources   ·   Without   ·   capitals   ·   reporting   ·   decisions   ·   relationships   ·   collection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thinking   ·   integrated reporting   ·   التقرير المتكامل</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reporting</w:t>
            </w:r>
          </w:p>
        </w:tc>
        <w:tc>
          <w:tcPr>
            <w:tcW w:type="pct" w:w="2596"/>
            <w:tcMar>
              <w:top w:type="dxa" w:w="50"/>
              <w:left w:type="dxa" w:w="110"/>
              <w:bottom w:type="dxa" w:w="50"/>
              <w:right w:type="dxa" w:w="110"/>
            </w:tcMar>
          </w:tcPr>
          <w:p>
            <w:pPr>
              <w:spacing w:before="26" w:after="26"/>
            </w:pPr>
            <w:r>
              <w:rPr>
                <w:color w:val="232733"/>
                <w:sz w:val="16"/>
                <w:szCs w:val="16"/>
              </w:rPr>
              <w:t xml:space="preserve">إعداد التقارير المتكاملة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integrated report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التقرير المتكامل</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thinking</w:t>
            </w:r>
          </w:p>
        </w:tc>
        <w:tc>
          <w:tcPr>
            <w:tcW w:type="pct" w:w="2596"/>
            <w:tcMar>
              <w:top w:type="dxa" w:w="50"/>
              <w:left w:type="dxa" w:w="110"/>
              <w:bottom w:type="dxa" w:w="50"/>
              <w:right w:type="dxa" w:w="110"/>
            </w:tcMar>
          </w:tcPr>
          <w:p>
            <w:pPr>
              <w:spacing w:before="26" w:after="26"/>
            </w:pPr>
            <w:r>
              <w:rPr>
                <w:color w:val="232733"/>
                <w:sz w:val="16"/>
                <w:szCs w:val="16"/>
              </w:rPr>
              <w:t xml:space="preserve">التفكير المتكامل</w:t>
            </w:r>
          </w:p>
        </w:tc>
      </w:tr>
    </w:tbl>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Integrated thinking, integrated reporting and the integrated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primary purpose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communication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Guiding principles and content elements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Integrated reporting and sustainability disclo</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medium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integrated thinking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Integrated thinking is the way management considers the relationships between the company's units and the resources, or capitals, that it uses and affects. It leads to decisions that consider value creation over the short, medium and long term. Integrated reporting is the process, founded on integrated thinking, that results in a periodic integrated report. The integrated report is the product: a concise communication about how the company's strategy, governance, performance and prospects lead to the creation, preservation or erosion of value over time. The three ideas depend on each other. Without integrated thinking, a report is just a collection of separate facts. The rules are in the International &lt;IR&gt; Framework, last revised in January 2021. The IFRS Foundation now owns it, and the IASB and the ISSB are jointly responsible for it.</w:t>
      </w:r>
    </w:p>
    <w:p>
      <w:pPr>
        <w:sectPr>
          <w:headerReference w:type="default" r:id="rIdHdr1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primary purpose</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primary purpose of an integrated report is to explain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financial capital,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lenders, how the company creates, preserves or erodes value over time. </w:t>
      </w:r>
      <w:r>
        <w:rPr>
          <w:sz w:val="19"/>
          <w:szCs w:val="19"/>
        </w:rPr>
        <w:t xml:space="preserve">This is the exam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'Who is the main audience?'. </w:t>
      </w:r>
      <w:r>
        <w:rPr>
          <w:sz w:val="19"/>
          <w:szCs w:val="19"/>
        </w:rPr>
        <w:t xml:space="preserve">Other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also benefit: employees, customers, suppliers, communities, regulators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are not the primary audience, but the report is useful to anyone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company's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create value. </w:t>
      </w:r>
      <w:r>
        <w:rPr>
          <w:sz w:val="19"/>
          <w:szCs w:val="19"/>
        </w:rPr>
        <w:t xml:space="preserve">In the United States, 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voluntary; U.S. GAAP and the SEC do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interested   ·   ability   ·   shareholders   ·   providers   ·   stakeholders   ·   answer   ·   require   ·   policymakers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3"/>
        <w:gridCol w:w="1272"/>
        <w:gridCol w:w="3367"/>
        <w:gridCol w:w="215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Integrated reports and other reports</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Report</w:t>
            </w:r>
          </w:p>
        </w:tc>
        <w:tc>
          <w:tcPr>
            <w:tcW w:type="pct" w:w="662"/>
            <w:shd w:fill="353A7C" w:val="clear"/>
            <w:tcMar>
              <w:top w:type="dxa" w:w="50"/>
              <w:left w:type="dxa" w:w="110"/>
              <w:bottom w:type="dxa" w:w="50"/>
              <w:right w:type="dxa" w:w="110"/>
            </w:tcMar>
          </w:tcPr>
          <w:p>
            <w:pPr>
              <w:spacing w:before="30" w:after="30"/>
            </w:pPr>
            <w:r>
              <w:rPr>
                <w:b/>
                <w:bCs/>
                <w:color w:val="FFFFFF"/>
                <w:sz w:val="15"/>
                <w:szCs w:val="15"/>
              </w:rPr>
              <w:t xml:space="preserve">Primary audience</w:t>
            </w:r>
          </w:p>
        </w:tc>
        <w:tc>
          <w:tcPr>
            <w:tcW w:type="pct" w:w="1753"/>
            <w:shd w:fill="353A7C" w:val="clear"/>
            <w:tcMar>
              <w:top w:type="dxa" w:w="50"/>
              <w:left w:type="dxa" w:w="110"/>
              <w:bottom w:type="dxa" w:w="50"/>
              <w:right w:type="dxa" w:w="110"/>
            </w:tcMar>
          </w:tcPr>
          <w:p>
            <w:pPr>
              <w:spacing w:before="30" w:after="30"/>
            </w:pPr>
            <w:r>
              <w:rPr>
                <w:b/>
                <w:bCs/>
                <w:color w:val="FFFFFF"/>
                <w:sz w:val="15"/>
                <w:szCs w:val="15"/>
              </w:rPr>
              <w:t xml:space="preserve">Focus</w:t>
            </w:r>
          </w:p>
        </w:tc>
        <w:tc>
          <w:tcPr>
            <w:tcW w:type="pct" w:w="1124"/>
            <w:shd w:fill="353A7C" w:val="clear"/>
            <w:tcMar>
              <w:top w:type="dxa" w:w="50"/>
              <w:left w:type="dxa" w:w="110"/>
              <w:bottom w:type="dxa" w:w="50"/>
              <w:right w:type="dxa" w:w="110"/>
            </w:tcMar>
          </w:tcPr>
          <w:p>
            <w:pPr>
              <w:spacing w:before="30" w:after="30"/>
            </w:pPr>
            <w:r>
              <w:rPr>
                <w:b/>
                <w:bCs/>
                <w:color w:val="FFFFFF"/>
                <w:sz w:val="15"/>
                <w:szCs w:val="15"/>
              </w:rPr>
              <w:t xml:space="preserve">Required for Orontes?</w:t>
            </w:r>
          </w:p>
        </w:tc>
      </w:tr>
      <w:tr>
        <w:tc>
          <w:tcPr>
            <w:tcW w:type="pct" w:w="1460"/>
            <w:tcMar>
              <w:top w:type="dxa" w:w="50"/>
              <w:left w:type="dxa" w:w="110"/>
              <w:bottom w:type="dxa" w:w="50"/>
              <w:right w:type="dxa" w:w="110"/>
            </w:tcMar>
          </w:tcPr>
          <w:p>
            <w:pPr>
              <w:spacing w:before="28" w:after="28"/>
            </w:pPr>
            <w:r>
              <w:rPr>
                <w:sz w:val="15"/>
                <w:szCs w:val="15"/>
              </w:rPr>
              <w:t xml:space="preserve">Financial statements (U.S. GAAP)</w:t>
            </w:r>
          </w:p>
        </w:tc>
        <w:tc>
          <w:tcPr>
            <w:tcW w:type="pct" w:w="662"/>
            <w:tcMar>
              <w:top w:type="dxa" w:w="50"/>
              <w:left w:type="dxa" w:w="110"/>
              <w:bottom w:type="dxa" w:w="50"/>
              <w:right w:type="dxa" w:w="110"/>
            </w:tcMar>
          </w:tcPr>
          <w:p>
            <w:pPr>
              <w:spacing w:before="28" w:after="28"/>
            </w:pPr>
            <w:r>
              <w:rPr>
                <w:sz w:val="15"/>
                <w:szCs w:val="15"/>
              </w:rPr>
              <w:t xml:space="preserve">Investors and creditors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24"/>
            <w:tcMar>
              <w:top w:type="dxa" w:w="50"/>
              <w:left w:type="dxa" w:w="110"/>
              <w:bottom w:type="dxa" w:w="50"/>
              <w:right w:type="dxa" w:w="110"/>
            </w:tcMar>
          </w:tcPr>
          <w:p>
            <w:pPr>
              <w:spacing w:before="28" w:after="28"/>
            </w:pPr>
            <w:r>
              <w:rPr>
                <w:sz w:val="15"/>
                <w:szCs w:val="15"/>
              </w:rPr>
              <w:t xml:space="preserve">Yes: required for an SEC registrant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Management's discussion and analysis (MD&amp;A)</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BFAF6" w:val="clear"/>
            <w:tcMar>
              <w:top w:type="dxa" w:w="50"/>
              <w:left w:type="dxa" w:w="110"/>
              <w:bottom w:type="dxa" w:w="50"/>
              <w:right w:type="dxa" w:w="110"/>
            </w:tcMar>
          </w:tcPr>
          <w:p>
            <w:pPr>
              <w:spacing w:before="28" w:after="28"/>
            </w:pPr>
            <w:r>
              <w:rPr>
                <w:sz w:val="15"/>
                <w:szCs w:val="15"/>
              </w:rPr>
              <w:t xml:space="preserve">Explains results, liquidity and risks</w:t>
            </w:r>
          </w:p>
        </w:tc>
        <w:tc>
          <w:tcPr>
            <w:tcW w:type="pct" w:w="112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460"/>
            <w:tcMar>
              <w:top w:type="dxa" w:w="50"/>
              <w:left w:type="dxa" w:w="110"/>
              <w:bottom w:type="dxa" w:w="50"/>
              <w:right w:type="dxa" w:w="110"/>
            </w:tcMar>
          </w:tcPr>
          <w:p>
            <w:pPr>
              <w:spacing w:before="28" w:after="28"/>
            </w:pPr>
            <w:r>
              <w:rPr>
                <w:sz w:val="15"/>
                <w:szCs w:val="15"/>
              </w:rPr>
              <w:t xml:space="preserve">Integrated report (&lt;IR&gt; Framework)</w:t>
            </w:r>
          </w:p>
        </w:tc>
        <w:tc>
          <w:tcPr>
            <w:tcW w:type="pct" w:w="66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53"/>
            <w:tcMar>
              <w:top w:type="dxa" w:w="50"/>
              <w:left w:type="dxa" w:w="110"/>
              <w:bottom w:type="dxa" w:w="50"/>
              <w:right w:type="dxa" w:w="110"/>
            </w:tcMar>
          </w:tcPr>
          <w:p>
            <w:pPr>
              <w:spacing w:before="28" w:after="28"/>
            </w:pPr>
            <w:r>
              <w:rPr>
                <w:sz w:val="15"/>
                <w:szCs w:val="15"/>
              </w:rPr>
              <w:t xml:space="preserve">How value is created, preserved or eroded, using all six capitals</w:t>
            </w:r>
          </w:p>
        </w:tc>
        <w:tc>
          <w:tcPr>
            <w:tcW w:type="pct" w:w="1124"/>
            <w:tcMar>
              <w:top w:type="dxa" w:w="50"/>
              <w:left w:type="dxa" w:w="110"/>
              <w:bottom w:type="dxa" w:w="50"/>
              <w:right w:type="dxa" w:w="110"/>
            </w:tcMar>
          </w:tcPr>
          <w:p>
            <w:pPr>
              <w:spacing w:before="28" w:after="28"/>
            </w:pPr>
            <w:r>
              <w:rPr>
                <w:sz w:val="15"/>
                <w:szCs w:val="15"/>
              </w:rPr>
              <w:t xml:space="preserve">No: voluntary</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Sustainability disclosures (IFRS S1 and S2)</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24"/>
            <w:shd w:fill="FBFAF6" w:val="clear"/>
            <w:tcMar>
              <w:top w:type="dxa" w:w="50"/>
              <w:left w:type="dxa" w:w="110"/>
              <w:bottom w:type="dxa" w:w="50"/>
              <w:right w:type="dxa" w:w="110"/>
            </w:tcMar>
          </w:tcPr>
          <w:p>
            <w:pPr>
              <w:spacing w:before="28" w:after="28"/>
            </w:pPr>
            <w:r>
              <w:rPr>
                <w:sz w:val="15"/>
                <w:szCs w:val="15"/>
              </w:rPr>
              <w:t xml:space="preserve">Only where a jurisdiction adopts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Providers of financial capital, then other stakeholders   ·   Yes: SEC requirement   ·   Yes: required for an SEC registrant   ·   Sustainability and climate risks that affect prospects   ·   Financial position and performance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Audience trap</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The primary audience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financial capital, not 'all stakeholders'. </w:t>
      </w:r>
      <w:r>
        <w:rPr>
          <w:sz w:val="19"/>
          <w:szCs w:val="19"/>
        </w:rPr>
        <w:t xml:space="preserve">All stakeholders benefit, but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names investors and lenders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   ·   shareholders   ·   providers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capital   ·   integrated reporting   ·   integrated thinking</w:t>
            </w:r>
          </w:p>
        </w:tc>
      </w:tr>
    </w:tbl>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primary purpose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providers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Financial position and 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Yes: SEC 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Providers of financial capital, then other stakeholders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stakeholders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Sustainability and climate risks that affect prospects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policymakers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providers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financial capital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primary purpose of an integrated report is to explain to providers of financial capital, such as shareholders and lenders, how the company creates, preserves or erodes value over time. This is the exam answer to 'Who is the main audience?'. Other stakeholders also benefit: employees, customers, suppliers, communities, regulators and policymakers. They are not the primary audience, but the report is useful to anyone interested in the company's ability to create value. In the United States, integrated reporting is voluntary; U.S. GAAP and the SEC do not require it.</w:t>
      </w:r>
    </w:p>
    <w:p>
      <w:pPr>
        <w:spacing w:before="20" w:after="20"/>
        <w:ind w:left="240" w:hanging="240"/>
      </w:pPr>
      <w:r>
        <w:rPr>
          <w:b/>
          <w:bCs/>
          <w:color w:val="353A7C"/>
          <w:sz w:val="15"/>
          <w:szCs w:val="15"/>
        </w:rPr>
        <w:t xml:space="preserve">Summary 2   </w:t>
      </w:r>
      <w:r>
        <w:rPr>
          <w:color w:val="6B7280"/>
          <w:sz w:val="15"/>
          <w:szCs w:val="15"/>
        </w:rPr>
        <w:t xml:space="preserve">The primary audience is providers of financial capital, not 'all stakeholders'. All stakeholders benefit, but the Framework names investors and lenders first.</w:t>
      </w:r>
    </w:p>
    <w:p>
      <w:pPr>
        <w:sectPr>
          <w:headerReference w:type="default" r:id="rIdHdr1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Value creation and the six capitals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describes value in terms of six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stocks of value that increase, decrease or change as the company works. </w:t>
      </w:r>
      <w:r>
        <w:rPr>
          <w:sz w:val="19"/>
          <w:szCs w:val="19"/>
        </w:rPr>
        <w:t xml:space="preserve">They are financial capital,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capital, intellectual capital, human capital, social and relationship capital and natural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products   ·   Framework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07"/>
        <w:gridCol w:w="4224"/>
        <w:gridCol w:w="27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six capitals, 2027</w:t>
            </w:r>
          </w:p>
        </w:tc>
      </w:tr>
      <w:tr>
        <w:tc>
          <w:tcPr>
            <w:tcW w:type="pct" w:w="1358"/>
            <w:shd w:fill="353A7C" w:val="clear"/>
            <w:tcMar>
              <w:top w:type="dxa" w:w="50"/>
              <w:left w:type="dxa" w:w="110"/>
              <w:bottom w:type="dxa" w:w="50"/>
              <w:right w:type="dxa" w:w="110"/>
            </w:tcMar>
          </w:tcPr>
          <w:p>
            <w:pPr>
              <w:spacing w:before="30" w:after="30"/>
            </w:pPr>
            <w:r>
              <w:rPr>
                <w:b/>
                <w:bCs/>
                <w:color w:val="FFFFFF"/>
                <w:sz w:val="15"/>
                <w:szCs w:val="15"/>
              </w:rPr>
              <w:t xml:space="preserve">Capital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 (2027)</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Possible measure</w:t>
            </w:r>
          </w:p>
        </w:tc>
      </w:tr>
      <w:tr>
        <w:tc>
          <w:tcPr>
            <w:tcW w:type="pct" w:w="1358"/>
            <w:tcMar>
              <w:top w:type="dxa" w:w="50"/>
              <w:left w:type="dxa" w:w="110"/>
              <w:bottom w:type="dxa" w:w="50"/>
              <w:right w:type="dxa" w:w="110"/>
            </w:tcMar>
          </w:tcPr>
          <w:p>
            <w:pPr>
              <w:spacing w:before="28" w:after="28"/>
            </w:pPr>
            <w:r>
              <w:rPr>
                <w:sz w:val="15"/>
                <w:szCs w:val="15"/>
              </w:rPr>
              <w:t xml:space="preserve">Financial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442"/>
            <w:tcMar>
              <w:top w:type="dxa" w:w="50"/>
              <w:left w:type="dxa" w:w="110"/>
              <w:bottom w:type="dxa" w:w="50"/>
              <w:right w:type="dxa" w:w="110"/>
            </w:tcMar>
          </w:tcPr>
          <w:p>
            <w:pPr>
              <w:spacing w:before="28" w:after="28"/>
            </w:pPr>
            <w:r>
              <w:rPr>
                <w:sz w:val="15"/>
                <w:szCs w:val="15"/>
              </w:rPr>
              <w:t xml:space="preserve">Cash flow from operations</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Manufactured</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442"/>
            <w:shd w:fill="FBFAF6" w:val="clear"/>
            <w:tcMar>
              <w:top w:type="dxa" w:w="50"/>
              <w:left w:type="dxa" w:w="110"/>
              <w:bottom w:type="dxa" w:w="50"/>
              <w:right w:type="dxa" w:w="110"/>
            </w:tcMar>
          </w:tcPr>
          <w:p>
            <w:pPr>
              <w:spacing w:before="28" w:after="28"/>
            </w:pPr>
            <w:r>
              <w:rPr>
                <w:sz w:val="15"/>
                <w:szCs w:val="15"/>
              </w:rPr>
              <w:t xml:space="preserve">Plant capacity</w:t>
            </w:r>
          </w:p>
        </w:tc>
      </w:tr>
      <w:tr>
        <w:tc>
          <w:tcPr>
            <w:tcW w:type="pct" w:w="1358"/>
            <w:tcMar>
              <w:top w:type="dxa" w:w="50"/>
              <w:left w:type="dxa" w:w="110"/>
              <w:bottom w:type="dxa" w:w="50"/>
              <w:right w:type="dxa" w:w="110"/>
            </w:tcMar>
          </w:tcPr>
          <w:p>
            <w:pPr>
              <w:spacing w:before="28" w:after="28"/>
            </w:pPr>
            <w:r>
              <w:rPr>
                <w:sz w:val="15"/>
                <w:szCs w:val="15"/>
              </w:rPr>
              <w:t xml:space="preserve">Intellectual</w:t>
            </w:r>
          </w:p>
        </w:tc>
        <w:tc>
          <w:tcPr>
            <w:tcW w:type="pct" w:w="2200"/>
            <w:tcMar>
              <w:top w:type="dxa" w:w="50"/>
              <w:left w:type="dxa" w:w="110"/>
              <w:bottom w:type="dxa" w:w="50"/>
              <w:right w:type="dxa" w:w="110"/>
            </w:tcMar>
          </w:tcPr>
          <w:p>
            <w:pPr>
              <w:spacing w:before="28" w:after="28"/>
            </w:pPr>
            <w:r>
              <w:rPr>
                <w:sz w:val="15"/>
                <w:szCs w:val="15"/>
              </w:rPr>
              <w:t xml:space="preserve">Recipes, brand, new sparkling-juice line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Human</w:t>
            </w:r>
          </w:p>
        </w:tc>
        <w:tc>
          <w:tcPr>
            <w:tcW w:type="pct" w:w="2200"/>
            <w:shd w:fill="FBFAF6" w:val="clear"/>
            <w:tcMar>
              <w:top w:type="dxa" w:w="50"/>
              <w:left w:type="dxa" w:w="110"/>
              <w:bottom w:type="dxa" w:w="50"/>
              <w:right w:type="dxa" w:w="110"/>
            </w:tcMar>
          </w:tcPr>
          <w:p>
            <w:pPr>
              <w:spacing w:before="28" w:after="28"/>
            </w:pPr>
            <w:r>
              <w:rPr>
                <w:sz w:val="15"/>
                <w:szCs w:val="15"/>
              </w:rPr>
              <w:t xml:space="preserve">1,850 employees</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358"/>
            <w:tcMar>
              <w:top w:type="dxa" w:w="50"/>
              <w:left w:type="dxa" w:w="110"/>
              <w:bottom w:type="dxa" w:w="50"/>
              <w:right w:type="dxa" w:w="110"/>
            </w:tcMar>
          </w:tcPr>
          <w:p>
            <w:pPr>
              <w:spacing w:before="28" w:after="28"/>
            </w:pPr>
            <w:r>
              <w:rPr>
                <w:sz w:val="15"/>
                <w:szCs w:val="15"/>
              </w:rPr>
              <w:t xml:space="preserve">Social and relationship</w:t>
            </w:r>
          </w:p>
        </w:tc>
        <w:tc>
          <w:tcPr>
            <w:tcW w:type="pct" w:w="2200"/>
            <w:tcMar>
              <w:top w:type="dxa" w:w="50"/>
              <w:left w:type="dxa" w:w="110"/>
              <w:bottom w:type="dxa" w:w="50"/>
              <w:right w:type="dxa" w:w="110"/>
            </w:tcMar>
          </w:tcPr>
          <w:p>
            <w:pPr>
              <w:spacing w:before="28" w:after="28"/>
            </w:pPr>
            <w:r>
              <w:rPr>
                <w:sz w:val="15"/>
                <w:szCs w:val="15"/>
              </w:rPr>
              <w:t xml:space="preserve">2,400 farmers in grower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supermarket customers</w:t>
            </w:r>
          </w:p>
        </w:tc>
        <w:tc>
          <w:tcPr>
            <w:tcW w:type="pct" w:w="1442"/>
            <w:tcMar>
              <w:top w:type="dxa" w:w="50"/>
              <w:left w:type="dxa" w:w="110"/>
              <w:bottom w:type="dxa" w:w="50"/>
              <w:right w:type="dxa" w:w="110"/>
            </w:tcMar>
          </w:tcPr>
          <w:p>
            <w:pPr>
              <w:spacing w:before="28" w:after="28"/>
            </w:pPr>
            <w:r>
              <w:rPr>
                <w:sz w:val="15"/>
                <w:szCs w:val="15"/>
              </w:rPr>
              <w:t xml:space="preserve">Farmer contracts renewed</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Natural</w:t>
            </w:r>
          </w:p>
        </w:tc>
        <w:tc>
          <w:tcPr>
            <w:tcW w:type="pct" w:w="2200"/>
            <w:shd w:fill="FBFAF6" w:val="clear"/>
            <w:tcMar>
              <w:top w:type="dxa" w:w="50"/>
              <w:left w:type="dxa" w:w="110"/>
              <w:bottom w:type="dxa" w:w="50"/>
              <w:right w:type="dxa" w:w="110"/>
            </w:tcMar>
          </w:tcPr>
          <w:p>
            <w:pPr>
              <w:spacing w:before="28" w:after="28"/>
            </w:pPr>
            <w:r>
              <w:rPr>
                <w:sz w:val="15"/>
                <w:szCs w:val="15"/>
              </w:rPr>
              <w:t xml:space="preserve">Olive groves, water, energy</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and bank loans (Part I)   ·   Share of sales from new products   ·   Presses, bottling lines, cold stores   ·   Water 900,000 m3; renewable electricity 30%   ·   cooperatives   ·   20 training hours per employee   ·   manufactured capital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In the value creation process, the business model takes capitals as inputs and turns them, through its activities, into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waste.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the effects on the capitals, inside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w:t>
      </w:r>
      <w:r>
        <w:rPr>
          <w:sz w:val="19"/>
          <w:szCs w:val="19"/>
        </w:rPr>
        <w:t xml:space="preserve">Capitals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decisions involve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 six categories are not mandatory; a company may group them differently, but it should consider all the capitals it uses or affects.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trade-offs   ·   by-products   ·   outputs   ·   financial   ·   outside   ·   outcomes   ·   connected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irrigation trade-off</w:t>
            </w:r>
          </w:p>
        </w:tc>
      </w:tr>
    </w:tbl>
    <w:p/>
    <w:p>
      <w:pPr>
        <w:spacing w:before="44" w:after="14"/>
      </w:pPr>
      <w:r>
        <w:rPr>
          <w:b/>
          <w:bCs/>
          <w:color w:val="353A7C"/>
          <w:sz w:val="18"/>
          <w:szCs w:val="18"/>
        </w:rPr>
        <w:t xml:space="preserve">Summary 3</w:t>
      </w:r>
      <w:r>
        <w:rPr>
          <w:color w:val="6B7280"/>
          <w:sz w:val="16"/>
          <w:szCs w:val="16"/>
        </w:rPr>
        <w:t xml:space="preserve">      gaps 16–20</w:t>
      </w:r>
    </w:p>
    <w:p>
      <w:pPr>
        <w:spacing w:before="20" w:after="20" w:line="360" w:lineRule="auto"/>
        <w:ind w:left="200"/>
      </w:pPr>
      <w:r>
        <w:rPr>
          <w:sz w:val="19"/>
          <w:szCs w:val="19"/>
        </w:rPr>
        <w:t xml:space="preserve">Suppose Orontes spends $2,000,000 on drip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its groves: financial capital falls and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rises. </w:t>
      </w:r>
      <w:r>
        <w:rPr>
          <w:sz w:val="19"/>
          <w:szCs w:val="19"/>
        </w:rPr>
        <w:t xml:space="preserve">Water use falls by 150,000 m3, about 17% of the total: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Orontes trains 400 cooperative farmers to use the system: human and social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capital rise. </w:t>
      </w:r>
      <w:r>
        <w:rPr>
          <w:sz w:val="19"/>
          <w:szCs w:val="19"/>
        </w:rPr>
        <w:t xml:space="preserve">An integrated report explains the whole trade-off, not only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preserved   ·   manufactured   ·   explains   ·   irrigation   ·   natural   ·   relationship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capital?</w:t>
            </w:r>
          </w:p>
        </w:tc>
      </w:tr>
    </w:tbl>
    <w:p/>
    <w:p>
      <w:pPr>
        <w:pageBreakBefore w:val="true"/>
        <w:spacing w:after="0"/>
      </w:pPr>
      <w:r>
        <w:rPr>
          <w:sz w:val="2"/>
        </w:rPr>
        <w:t xml:space="preserve"> </w:t>
      </w:r>
    </w:p>
    <w:p>
      <w:pPr>
        <w:spacing w:before="44" w:after="10"/>
      </w:pPr>
      <w:r>
        <w:rPr>
          <w:b/>
          <w:bCs/>
          <w:color w:val="353A7C"/>
          <w:sz w:val="18"/>
          <w:szCs w:val="18"/>
        </w:rPr>
        <w:t xml:space="preserve">Which capital?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trademark for Orontes Gold olive oil   ·   Headroom under bank loan covenants   ·   Water drawn from local wells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Capitals, capitaux</w:t>
            </w:r>
          </w:p>
        </w:tc>
      </w:tr>
    </w:tbl>
    <w:p/>
    <w:p>
      <w:pPr>
        <w:spacing w:before="20" w:after="20" w:line="360" w:lineRule="auto"/>
        <w:ind w:left="200"/>
      </w:pPr>
      <w:r>
        <w:rPr>
          <w:sz w:val="19"/>
          <w:szCs w:val="19"/>
        </w:rPr>
        <w:t xml:space="preserve">In integrated reporting, capitals are resources and relationships, not share capital. Read the whole phrase.</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capital   ·   intellectual capital   ·   social and relationship capital   ·   financial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7"/>
        <w:gridCol w:w="46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6"/>
            <w:tcMar>
              <w:top w:type="dxa" w:w="50"/>
              <w:left w:type="dxa" w:w="110"/>
              <w:bottom w:type="dxa" w:w="50"/>
              <w:right w:type="dxa" w:w="110"/>
            </w:tcMar>
          </w:tcPr>
          <w:p>
            <w:pPr>
              <w:spacing w:before="26" w:after="26"/>
            </w:pPr>
            <w:r>
              <w:rPr>
                <w:color w:val="232733"/>
                <w:sz w:val="16"/>
                <w:szCs w:val="16"/>
              </w:rPr>
              <w:t xml:space="preserve">capitals</w:t>
            </w:r>
          </w:p>
        </w:tc>
        <w:tc>
          <w:tcPr>
            <w:tcW w:type="pct" w:w="2434"/>
            <w:tcMar>
              <w:top w:type="dxa" w:w="50"/>
              <w:left w:type="dxa" w:w="110"/>
              <w:bottom w:type="dxa" w:w="50"/>
              <w:right w:type="dxa" w:w="110"/>
            </w:tcMar>
          </w:tcPr>
          <w:p>
            <w:pPr>
              <w:spacing w:before="26" w:after="26"/>
            </w:pPr>
            <w:r>
              <w:rPr>
                <w:color w:val="232733"/>
                <w:sz w:val="16"/>
                <w:szCs w:val="16"/>
              </w:rPr>
              <w:t xml:space="preserve">رؤوس الأموال</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financial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المالي</w:t>
            </w:r>
          </w:p>
        </w:tc>
      </w:tr>
      <w:tr>
        <w:tc>
          <w:tcPr>
            <w:tcW w:type="pct" w:w="2566"/>
            <w:tcMar>
              <w:top w:type="dxa" w:w="50"/>
              <w:left w:type="dxa" w:w="110"/>
              <w:bottom w:type="dxa" w:w="50"/>
              <w:right w:type="dxa" w:w="110"/>
            </w:tcMar>
          </w:tcPr>
          <w:p>
            <w:pPr>
              <w:spacing w:before="26" w:after="26"/>
            </w:pPr>
            <w:r>
              <w:rPr>
                <w:color w:val="232733"/>
                <w:sz w:val="16"/>
                <w:szCs w:val="16"/>
              </w:rPr>
              <w:t xml:space="preserve">manufactured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المصنَّع</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الفكري</w:t>
            </w:r>
          </w:p>
        </w:tc>
      </w:tr>
      <w:tr>
        <w:tc>
          <w:tcPr>
            <w:tcW w:type="pct" w:w="2566"/>
            <w:tcMar>
              <w:top w:type="dxa" w:w="50"/>
              <w:left w:type="dxa" w:w="110"/>
              <w:bottom w:type="dxa" w:w="50"/>
              <w:right w:type="dxa" w:w="110"/>
            </w:tcMar>
          </w:tcPr>
          <w:p>
            <w:pPr>
              <w:spacing w:before="26" w:after="26"/>
            </w:pPr>
            <w:r>
              <w:rPr>
                <w:color w:val="232733"/>
                <w:sz w:val="16"/>
                <w:szCs w:val="16"/>
              </w:rPr>
              <w:t xml:space="preserve">human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البشري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social and relationship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الاجتماعي والعلاقات</w:t>
            </w:r>
          </w:p>
        </w:tc>
      </w:tr>
      <w:tr>
        <w:tc>
          <w:tcPr>
            <w:tcW w:type="pct" w:w="2566"/>
            <w:tcMar>
              <w:top w:type="dxa" w:w="50"/>
              <w:left w:type="dxa" w:w="110"/>
              <w:bottom w:type="dxa" w:w="50"/>
              <w:right w:type="dxa" w:w="110"/>
            </w:tcMar>
          </w:tcPr>
          <w:p>
            <w:pPr>
              <w:spacing w:before="26" w:after="26"/>
            </w:pPr>
            <w:r>
              <w:rPr>
                <w:color w:val="232733"/>
                <w:sz w:val="16"/>
                <w:szCs w:val="16"/>
              </w:rPr>
              <w:t xml:space="preserve">natural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الطبيعي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value creation process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عملية خلق القيمة</w:t>
            </w:r>
          </w:p>
        </w:tc>
      </w:tr>
      <w:tr>
        <w:tc>
          <w:tcPr>
            <w:tcW w:type="pct" w:w="2566"/>
            <w:tcMar>
              <w:top w:type="dxa" w:w="50"/>
              <w:left w:type="dxa" w:w="110"/>
              <w:bottom w:type="dxa" w:w="50"/>
              <w:right w:type="dxa" w:w="110"/>
            </w:tcMar>
          </w:tcPr>
          <w:p>
            <w:pPr>
              <w:spacing w:before="26" w:after="26"/>
            </w:pPr>
            <w:r>
              <w:rPr>
                <w:color w:val="232733"/>
                <w:sz w:val="16"/>
                <w:szCs w:val="16"/>
              </w:rPr>
              <w:t xml:space="preserve">outputs</w:t>
            </w:r>
          </w:p>
        </w:tc>
        <w:tc>
          <w:tcPr>
            <w:tcW w:type="pct" w:w="2434"/>
            <w:tcMar>
              <w:top w:type="dxa" w:w="50"/>
              <w:left w:type="dxa" w:w="110"/>
              <w:bottom w:type="dxa" w:w="50"/>
              <w:right w:type="dxa" w:w="110"/>
            </w:tcMar>
          </w:tcPr>
          <w:p>
            <w:pPr>
              <w:spacing w:before="26" w:after="26"/>
            </w:pPr>
            <w:r>
              <w:rPr>
                <w:color w:val="232733"/>
                <w:sz w:val="16"/>
                <w:szCs w:val="16"/>
              </w:rPr>
              <w:t xml:space="preserve">المخرجات</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outcomes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النتائج (الآثار)</w:t>
            </w:r>
          </w:p>
        </w:tc>
      </w:tr>
    </w:tbl>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Value creation and the six capitals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connected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trade-offs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irrigation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 and bank loans (Part I)</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Presses, bottling lines, cold stores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natural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 of sales from new products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preserved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 training hours per employee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cooperatives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The trademark for Orontes Gold olive oil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Water 900,000 m3; renewable electricity 30%</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Water drawn from local wells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by-products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intellectual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outcomes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describes value in terms of six capitals: stocks of value that increase, decrease or change as the company works. They are financial capital, manufactured capital, intellectual capital, human capital, social and relationship capital and natural capital.</w:t>
      </w:r>
    </w:p>
    <w:p>
      <w:pPr>
        <w:spacing w:before="20" w:after="20"/>
        <w:ind w:left="240" w:hanging="240"/>
      </w:pPr>
      <w:r>
        <w:rPr>
          <w:b/>
          <w:bCs/>
          <w:color w:val="353A7C"/>
          <w:sz w:val="15"/>
          <w:szCs w:val="15"/>
        </w:rPr>
        <w:t xml:space="preserve">Summary 2   </w:t>
      </w:r>
      <w:r>
        <w:rPr>
          <w:color w:val="6B7280"/>
          <w:sz w:val="15"/>
          <w:szCs w:val="15"/>
        </w:rPr>
        <w:t xml:space="preserve">In the value creation process, the business model takes capitals as inputs and turns them, through its activities, into outputs: products, by-products and waste. The outcomes are the effects on the capitals, inside and outside the company. Capitals are connected, so decisions involve trade-offs. The six categories are not mandatory; a company may group them differently, but it should consider all the capitals it uses or affects.</w:t>
      </w:r>
    </w:p>
    <w:p>
      <w:pPr>
        <w:spacing w:before="20" w:after="20"/>
        <w:ind w:left="240" w:hanging="240"/>
      </w:pPr>
      <w:r>
        <w:rPr>
          <w:b/>
          <w:bCs/>
          <w:color w:val="353A7C"/>
          <w:sz w:val="15"/>
          <w:szCs w:val="15"/>
        </w:rPr>
        <w:t xml:space="preserve">Summary 3   </w:t>
      </w:r>
      <w:r>
        <w:rPr>
          <w:color w:val="6B7280"/>
          <w:sz w:val="15"/>
          <w:szCs w:val="15"/>
        </w:rPr>
        <w:t xml:space="preserve">Suppose Orontes spends $2,000,000 on drip irrigation for its groves: financial capital falls and manufactured capital rises. Water use falls by 150,000 m3, about 17% of the total: natural capital is preserved. Orontes trains 400 cooperative farmers to use the system: human and social and relationship capital rise. An integrated report explains the whole trade-off, not only the cost.</w:t>
      </w:r>
    </w:p>
    <w:p>
      <w:pPr>
        <w:sectPr>
          <w:headerReference w:type="default" r:id="rIdHdr1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Guiding principles and content elements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Framework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does not prescribe KPIs or measurement methods. </w:t>
      </w:r>
      <w:r>
        <w:rPr>
          <w:sz w:val="19"/>
          <w:szCs w:val="19"/>
        </w:rPr>
        <w:t xml:space="preserve">Seven guiding principles shape how the report is prepared,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information, materiality and conciseness.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element   ·   principles-based   ·   connectivity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32"/>
        <w:gridCol w:w="3754"/>
        <w:gridCol w:w="32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seven guiding principles</w:t>
            </w:r>
          </w:p>
        </w:tc>
      </w:tr>
      <w:tr>
        <w:tc>
          <w:tcPr>
            <w:tcW w:type="pct" w:w="1371"/>
            <w:shd w:fill="353A7C" w:val="clear"/>
            <w:tcMar>
              <w:top w:type="dxa" w:w="50"/>
              <w:left w:type="dxa" w:w="110"/>
              <w:bottom w:type="dxa" w:w="50"/>
              <w:right w:type="dxa" w:w="110"/>
            </w:tcMar>
          </w:tcPr>
          <w:p>
            <w:pPr>
              <w:spacing w:before="30" w:after="30"/>
            </w:pPr>
            <w:r>
              <w:rPr>
                <w:b/>
                <w:bCs/>
                <w:color w:val="FFFFFF"/>
                <w:sz w:val="15"/>
                <w:szCs w:val="15"/>
              </w:rPr>
              <w:t xml:space="preserve">Guiding principle (7)</w:t>
            </w:r>
          </w:p>
        </w:tc>
        <w:tc>
          <w:tcPr>
            <w:tcW w:type="pct" w:w="1955"/>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371"/>
            <w:tcMar>
              <w:top w:type="dxa" w:w="50"/>
              <w:left w:type="dxa" w:w="110"/>
              <w:bottom w:type="dxa" w:w="50"/>
              <w:right w:type="dxa" w:w="110"/>
            </w:tcMar>
          </w:tcPr>
          <w:p>
            <w:pPr>
              <w:spacing w:before="28" w:after="28"/>
            </w:pPr>
            <w:r>
              <w:rPr>
                <w:sz w:val="15"/>
                <w:szCs w:val="15"/>
              </w:rPr>
              <w:t xml:space="preserve">Strategic focus and future orientation</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674"/>
            <w:tcMar>
              <w:top w:type="dxa" w:w="50"/>
              <w:left w:type="dxa" w:w="110"/>
              <w:bottom w:type="dxa" w:w="50"/>
              <w:right w:type="dxa" w:w="110"/>
            </w:tcMar>
          </w:tcPr>
          <w:p>
            <w:pPr>
              <w:spacing w:before="28" w:after="28"/>
            </w:pPr>
            <w:r>
              <w:rPr>
                <w:sz w:val="15"/>
                <w:szCs w:val="15"/>
              </w:rPr>
              <w:t xml:space="preserve">Plans for the sparkling-juice line to 2030</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Connectivity of information</w:t>
            </w:r>
          </w:p>
        </w:tc>
        <w:tc>
          <w:tcPr>
            <w:tcW w:type="pct" w:w="1955"/>
            <w:shd w:fill="FBFAF6" w:val="clear"/>
            <w:tcMar>
              <w:top w:type="dxa" w:w="50"/>
              <w:left w:type="dxa" w:w="110"/>
              <w:bottom w:type="dxa" w:w="50"/>
              <w:right w:type="dxa" w:w="110"/>
            </w:tcMar>
          </w:tcPr>
          <w:p>
            <w:pPr>
              <w:spacing w:before="28" w:after="28"/>
            </w:pPr>
            <w:r>
              <w:rPr>
                <w:sz w:val="15"/>
                <w:szCs w:val="15"/>
              </w:rPr>
              <w:t xml:space="preserve">Show how capitals, strategy and performance link</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spending linked to water use and grower yields</w:t>
            </w:r>
          </w:p>
        </w:tc>
      </w:tr>
      <w:tr>
        <w:tc>
          <w:tcPr>
            <w:tcW w:type="pct" w:w="1371"/>
            <w:tcMar>
              <w:top w:type="dxa" w:w="50"/>
              <w:left w:type="dxa" w:w="110"/>
              <w:bottom w:type="dxa" w:w="50"/>
              <w:right w:type="dxa" w:w="110"/>
            </w:tcMar>
          </w:tcPr>
          <w:p>
            <w:pPr>
              <w:spacing w:before="28" w:after="28"/>
            </w:pPr>
            <w:r>
              <w:rPr>
                <w:sz w:val="15"/>
                <w:szCs w:val="15"/>
              </w:rPr>
              <w:t xml:space="preserve">Stakeholder relationships</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74"/>
            <w:tcMar>
              <w:top w:type="dxa" w:w="50"/>
              <w:left w:type="dxa" w:w="110"/>
              <w:bottom w:type="dxa" w:w="50"/>
              <w:right w:type="dxa" w:w="110"/>
            </w:tcMar>
          </w:tcPr>
          <w:p>
            <w:pPr>
              <w:spacing w:before="28" w:after="28"/>
            </w:pPr>
            <w:r>
              <w:rPr>
                <w:sz w:val="15"/>
                <w:szCs w:val="15"/>
              </w:rPr>
              <w:t xml:space="preserve">Work with grower cooperatives</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Materiality</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matters that substantively affect value creation</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71"/>
            <w:tcMar>
              <w:top w:type="dxa" w:w="50"/>
              <w:left w:type="dxa" w:w="110"/>
              <w:bottom w:type="dxa" w:w="50"/>
              <w:right w:type="dxa" w:w="110"/>
            </w:tcMar>
          </w:tcPr>
          <w:p>
            <w:pPr>
              <w:spacing w:before="28" w:after="28"/>
            </w:pPr>
            <w:r>
              <w:rPr>
                <w:sz w:val="15"/>
                <w:szCs w:val="15"/>
              </w:rPr>
              <w:t xml:space="preserve">Conciseness</w:t>
            </w:r>
          </w:p>
        </w:tc>
        <w:tc>
          <w:tcPr>
            <w:tcW w:type="pct" w:w="1955"/>
            <w:tcMar>
              <w:top w:type="dxa" w:w="50"/>
              <w:left w:type="dxa" w:w="110"/>
              <w:bottom w:type="dxa" w:w="50"/>
              <w:right w:type="dxa" w:w="110"/>
            </w:tcMar>
          </w:tcPr>
          <w:p>
            <w:pPr>
              <w:spacing w:before="28" w:after="28"/>
            </w:pPr>
            <w:r>
              <w:rPr>
                <w:sz w:val="15"/>
                <w:szCs w:val="15"/>
              </w:rPr>
              <w:t xml:space="preserve">Be short and clear</w:t>
            </w:r>
          </w:p>
        </w:tc>
        <w:tc>
          <w:tcPr>
            <w:tcW w:type="pct" w:w="1674"/>
            <w:tcMar>
              <w:top w:type="dxa" w:w="50"/>
              <w:left w:type="dxa" w:w="110"/>
              <w:bottom w:type="dxa" w:w="50"/>
              <w:right w:type="dxa" w:w="110"/>
            </w:tcMar>
          </w:tcPr>
          <w:p>
            <w:pPr>
              <w:spacing w:before="28" w:after="28"/>
            </w:pPr>
            <w:r>
              <w:rPr>
                <w:sz w:val="15"/>
                <w:szCs w:val="15"/>
              </w:rPr>
              <w:t xml:space="preserve">Refer to the financial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rather than repeat them</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Reliability and completeness</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positive and negative matters, without material error</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71"/>
            <w:tcMar>
              <w:top w:type="dxa" w:w="50"/>
              <w:left w:type="dxa" w:w="110"/>
              <w:bottom w:type="dxa" w:w="50"/>
              <w:right w:type="dxa" w:w="110"/>
            </w:tcMar>
          </w:tcPr>
          <w:p>
            <w:pPr>
              <w:spacing w:before="28" w:after="28"/>
            </w:pPr>
            <w:r>
              <w:rPr>
                <w:sz w:val="15"/>
                <w:szCs w:val="15"/>
              </w:rPr>
              <w:t xml:space="preserve">Consistency and comparability</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74"/>
            <w:tcMar>
              <w:top w:type="dxa" w:w="50"/>
              <w:left w:type="dxa" w:w="110"/>
              <w:bottom w:type="dxa" w:w="50"/>
              <w:right w:type="dxa" w:w="110"/>
            </w:tcMar>
          </w:tcPr>
          <w:p>
            <w:pPr>
              <w:spacing w:before="28" w:after="28"/>
            </w:pPr>
            <w:r>
              <w:rPr>
                <w:sz w:val="15"/>
                <w:szCs w:val="15"/>
              </w:rPr>
              <w:t xml:space="preserve">Same water measure every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 a failed product launch too   ·   Water scarcity; olive prices   ·   Explain key relationships and how the company responds   ·   Irrigation   ·   statements   ·   Explain strategy and how it creates value over time   ·   Use the same basis over time and allow comparison   ·   Grow, press, bottle, sell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Eight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elements set what the report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element answers a question: what the company does, how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works, how its business model creates value, which risks and opportunities it faces, where its strategy is going, how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what lies ahead, and how the report was prepared. </w:t>
      </w:r>
      <w:r>
        <w:rPr>
          <w:sz w:val="19"/>
          <w:szCs w:val="19"/>
        </w:rPr>
        <w:t xml:space="preserve">The elements are linked,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chapters. </w:t>
      </w:r>
      <w:r>
        <w:rPr>
          <w:sz w:val="19"/>
          <w:szCs w:val="19"/>
        </w:rPr>
        <w:t xml:space="preserve">For example, Orontes's water risk appears under risks and opportunities, drives its strategy, and is measured under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content   ·   performance   ·   performed   ·   separate   ·   governance   ·   covers   ·   statement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78"/>
        <w:gridCol w:w="3585"/>
        <w:gridCol w:w="323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eight content elements</w:t>
            </w:r>
          </w:p>
        </w:tc>
      </w:tr>
      <w:tr>
        <w:tc>
          <w:tcPr>
            <w:tcW w:type="pct" w:w="1447"/>
            <w:shd w:fill="353A7C" w:val="clear"/>
            <w:tcMar>
              <w:top w:type="dxa" w:w="50"/>
              <w:left w:type="dxa" w:w="110"/>
              <w:bottom w:type="dxa" w:w="50"/>
              <w:right w:type="dxa" w:w="110"/>
            </w:tcMar>
          </w:tcPr>
          <w:p>
            <w:pPr>
              <w:spacing w:before="30" w:after="30"/>
            </w:pPr>
            <w:r>
              <w:rPr>
                <w:b/>
                <w:bCs/>
                <w:color w:val="FFFFFF"/>
                <w:sz w:val="15"/>
                <w:szCs w:val="15"/>
              </w:rPr>
              <w:t xml:space="preserve">Content element (8)</w:t>
            </w:r>
          </w:p>
        </w:tc>
        <w:tc>
          <w:tcPr>
            <w:tcW w:type="pct" w:w="1867"/>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447"/>
            <w:tcMar>
              <w:top w:type="dxa" w:w="50"/>
              <w:left w:type="dxa" w:w="110"/>
              <w:bottom w:type="dxa" w:w="50"/>
              <w:right w:type="dxa" w:w="110"/>
            </w:tcMar>
          </w:tcPr>
          <w:p>
            <w:pPr>
              <w:spacing w:before="28" w:after="28"/>
            </w:pPr>
            <w:r>
              <w:rPr>
                <w:sz w:val="15"/>
                <w:szCs w:val="15"/>
              </w:rPr>
              <w:t xml:space="preserve">Organizational overview and external environment</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686"/>
            <w:tcMar>
              <w:top w:type="dxa" w:w="50"/>
              <w:left w:type="dxa" w:w="110"/>
              <w:bottom w:type="dxa" w:w="50"/>
              <w:right w:type="dxa" w:w="110"/>
            </w:tcMar>
          </w:tcPr>
          <w:p>
            <w:pPr>
              <w:spacing w:before="28" w:after="28"/>
            </w:pPr>
            <w:r>
              <w:rPr>
                <w:sz w:val="15"/>
                <w:szCs w:val="15"/>
              </w:rPr>
              <w:t xml:space="preserve">Food producer based in Amman, Jordan, selling across the region</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Governance</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686"/>
            <w:shd w:fill="FBFAF6" w:val="clear"/>
            <w:tcMar>
              <w:top w:type="dxa" w:w="50"/>
              <w:left w:type="dxa" w:w="110"/>
              <w:bottom w:type="dxa" w:w="50"/>
              <w:right w:type="dxa" w:w="110"/>
            </w:tcMar>
          </w:tcPr>
          <w:p>
            <w:pPr>
              <w:spacing w:before="28" w:after="28"/>
            </w:pPr>
            <w:r>
              <w:rPr>
                <w:sz w:val="15"/>
                <w:szCs w:val="15"/>
              </w:rPr>
              <w:t xml:space="preserve">Board committee oversees water risk</w:t>
            </w:r>
          </w:p>
        </w:tc>
      </w:tr>
      <w:tr>
        <w:tc>
          <w:tcPr>
            <w:tcW w:type="pct" w:w="1447"/>
            <w:tcMar>
              <w:top w:type="dxa" w:w="50"/>
              <w:left w:type="dxa" w:w="110"/>
              <w:bottom w:type="dxa" w:w="50"/>
              <w:right w:type="dxa" w:w="110"/>
            </w:tcMar>
          </w:tcPr>
          <w:p>
            <w:pPr>
              <w:spacing w:before="28" w:after="28"/>
            </w:pPr>
            <w:r>
              <w:rPr>
                <w:sz w:val="15"/>
                <w:szCs w:val="15"/>
              </w:rPr>
              <w:t xml:space="preserve">Business model</w:t>
            </w:r>
          </w:p>
        </w:tc>
        <w:tc>
          <w:tcPr>
            <w:tcW w:type="pct" w:w="1867"/>
            <w:tcMar>
              <w:top w:type="dxa" w:w="50"/>
              <w:left w:type="dxa" w:w="110"/>
              <w:bottom w:type="dxa" w:w="50"/>
              <w:right w:type="dxa" w:w="110"/>
            </w:tcMar>
          </w:tcPr>
          <w:p>
            <w:pPr>
              <w:spacing w:before="28" w:after="28"/>
            </w:pPr>
            <w:r>
              <w:rPr>
                <w:sz w:val="15"/>
                <w:szCs w:val="15"/>
              </w:rPr>
              <w:t xml:space="preserve">How does the company turn capitals into value?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Risks and opportunities</w:t>
            </w:r>
          </w:p>
        </w:tc>
        <w:tc>
          <w:tcPr>
            <w:tcW w:type="pct" w:w="1867"/>
            <w:shd w:fill="FBFAF6" w:val="clear"/>
            <w:tcMar>
              <w:top w:type="dxa" w:w="50"/>
              <w:left w:type="dxa" w:w="110"/>
              <w:bottom w:type="dxa" w:w="50"/>
              <w:right w:type="dxa" w:w="110"/>
            </w:tcMar>
          </w:tcPr>
          <w:p>
            <w:pPr>
              <w:spacing w:before="28" w:after="28"/>
            </w:pPr>
            <w:r>
              <w:rPr>
                <w:sz w:val="15"/>
                <w:szCs w:val="15"/>
              </w:rPr>
              <w:t xml:space="preserve">What could help or harm value creation?</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1447"/>
            <w:tcMar>
              <w:top w:type="dxa" w:w="50"/>
              <w:left w:type="dxa" w:w="110"/>
              <w:bottom w:type="dxa" w:w="50"/>
              <w:right w:type="dxa" w:w="110"/>
            </w:tcMar>
          </w:tcPr>
          <w:p>
            <w:pPr>
              <w:spacing w:before="28" w:after="28"/>
            </w:pPr>
            <w:r>
              <w:rPr>
                <w:sz w:val="15"/>
                <w:szCs w:val="15"/>
              </w:rPr>
              <w:t xml:space="preserve">Strategy and resource allocation</w:t>
            </w:r>
          </w:p>
        </w:tc>
        <w:tc>
          <w:tcPr>
            <w:tcW w:type="pct" w:w="1867"/>
            <w:tcMar>
              <w:top w:type="dxa" w:w="50"/>
              <w:left w:type="dxa" w:w="110"/>
              <w:bottom w:type="dxa" w:w="50"/>
              <w:right w:type="dxa" w:w="110"/>
            </w:tcMar>
          </w:tcPr>
          <w:p>
            <w:pPr>
              <w:spacing w:before="28" w:after="28"/>
            </w:pPr>
            <w:r>
              <w:rPr>
                <w:sz w:val="15"/>
                <w:szCs w:val="15"/>
              </w:rPr>
              <w:t xml:space="preserve">Where is it going, and how will it get there?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Performance</w:t>
            </w:r>
          </w:p>
        </w:tc>
        <w:tc>
          <w:tcPr>
            <w:tcW w:type="pct" w:w="1867"/>
            <w:shd w:fill="FBFAF6" w:val="clear"/>
            <w:tcMar>
              <w:top w:type="dxa" w:w="50"/>
              <w:left w:type="dxa" w:w="110"/>
              <w:bottom w:type="dxa" w:w="50"/>
              <w:right w:type="dxa" w:w="110"/>
            </w:tcMar>
          </w:tcPr>
          <w:p>
            <w:pPr>
              <w:spacing w:before="28" w:after="28"/>
            </w:pPr>
            <w:r>
              <w:rPr>
                <w:sz w:val="15"/>
                <w:szCs w:val="15"/>
              </w:rPr>
              <w:t xml:space="preserve">What did it achieve, and with what effects on the capitals?</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1447"/>
            <w:tcMar>
              <w:top w:type="dxa" w:w="50"/>
              <w:left w:type="dxa" w:w="110"/>
              <w:bottom w:type="dxa" w:w="50"/>
              <w:right w:type="dxa" w:w="110"/>
            </w:tcMar>
          </w:tcPr>
          <w:p>
            <w:pPr>
              <w:spacing w:before="28" w:after="28"/>
            </w:pPr>
            <w:r>
              <w:rPr>
                <w:sz w:val="15"/>
                <w:szCs w:val="15"/>
              </w:rPr>
              <w:t xml:space="preserve">Outlook</w:t>
            </w:r>
          </w:p>
        </w:tc>
        <w:tc>
          <w:tcPr>
            <w:tcW w:type="pct" w:w="1867"/>
            <w:tcMar>
              <w:top w:type="dxa" w:w="50"/>
              <w:left w:type="dxa" w:w="110"/>
              <w:bottom w:type="dxa" w:w="50"/>
              <w:right w:type="dxa" w:w="110"/>
            </w:tcMar>
          </w:tcPr>
          <w:p>
            <w:pPr>
              <w:spacing w:before="28" w:after="28"/>
            </w:pPr>
            <w:r>
              <w:rPr>
                <w:sz w:val="15"/>
                <w:szCs w:val="15"/>
              </w:rPr>
              <w:t xml:space="preserve">What challenges and uncertainties lie ahead?</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Basis of preparation and presentation</w:t>
            </w:r>
          </w:p>
        </w:tc>
        <w:tc>
          <w:tcPr>
            <w:tcW w:type="pct" w:w="1867"/>
            <w:shd w:fill="FBFAF6" w:val="clear"/>
            <w:tcMar>
              <w:top w:type="dxa" w:w="50"/>
              <w:left w:type="dxa" w:w="110"/>
              <w:bottom w:type="dxa" w:w="50"/>
              <w:right w:type="dxa" w:w="110"/>
            </w:tcMar>
          </w:tcPr>
          <w:p>
            <w:pPr>
              <w:spacing w:before="28" w:after="28"/>
            </w:pPr>
            <w:r>
              <w:rPr>
                <w:sz w:val="15"/>
                <w:szCs w:val="15"/>
              </w:rPr>
              <w:t xml:space="preserve">How were matters chosen and measured?</w:t>
            </w:r>
          </w:p>
        </w:tc>
        <w:tc>
          <w:tcPr>
            <w:tcW w:type="pct" w:w="1686"/>
            <w:shd w:fill="FBFAF6" w:val="clear"/>
            <w:tcMar>
              <w:top w:type="dxa" w:w="50"/>
              <w:left w:type="dxa" w:w="110"/>
              <w:bottom w:type="dxa" w:w="50"/>
              <w:right w:type="dxa" w:w="110"/>
            </w:tcMar>
          </w:tcPr>
          <w:p>
            <w:pPr>
              <w:spacing w:before="28" w:after="28"/>
            </w:pPr>
            <w:r>
              <w:rPr>
                <w:sz w:val="15"/>
                <w:szCs w:val="15"/>
              </w:rPr>
              <w:t xml:space="preserve">Materiality process; measurement methods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Renewable electricity 30%   ·   Olive yields and prices to 2030   ·   Water scarcity; demand for healthy drinks   ·   What does the company do, and where?   ·   Show how capitals, strategy and performance link   ·   Invest in irrigation and new products   ·   How does governance support value creation?   ·   Grow, press, bottle, sell</w:t>
            </w:r>
          </w:p>
        </w:tc>
      </w:tr>
    </w:tbl>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Those charged with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such as the board, should include a statement that they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the integrated report. </w:t>
      </w:r>
      <w:r>
        <w:rPr>
          <w:sz w:val="19"/>
          <w:szCs w:val="19"/>
        </w:rPr>
        <w:t xml:space="preserve">The report can stand alone or be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part of another report, such as the annual report.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governance   ·   distinguishable   ·   responsible   ·   outlook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Seven or eight?</w:t>
            </w:r>
          </w:p>
        </w:tc>
      </w:tr>
    </w:tbl>
    <w:p/>
    <w:p>
      <w:pPr>
        <w:spacing w:before="44" w:after="14"/>
      </w:pPr>
      <w:r>
        <w:rPr>
          <w:b/>
          <w:bCs/>
          <w:color w:val="353A7C"/>
          <w:sz w:val="18"/>
          <w:szCs w:val="18"/>
        </w:rPr>
        <w:t xml:space="preserve">Summary 4</w:t>
      </w:r>
      <w:r>
        <w:rPr>
          <w:color w:val="6B7280"/>
          <w:sz w:val="16"/>
          <w:szCs w:val="16"/>
        </w:rPr>
        <w:t xml:space="preserve">      gaps 26–27</w:t>
      </w:r>
    </w:p>
    <w:p>
      <w:pPr>
        <w:spacing w:before="20" w:after="20" w:line="360" w:lineRule="auto"/>
        <w:ind w:left="200"/>
      </w:pPr>
      <w:r>
        <w:rPr>
          <w:sz w:val="19"/>
          <w:szCs w:val="19"/>
        </w:rPr>
        <w:t xml:space="preserve">There are seven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principles (how to report) and eight content elements (what to report). </w:t>
      </w:r>
      <w:r>
        <w:rPr>
          <w:sz w:val="19"/>
          <w:szCs w:val="19"/>
        </w:rPr>
        <w:t xml:space="preserve">Materiality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 principles; governance, business model and outlook are content elements.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connectivity   ·   guiding   ·   distinguishable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رؤوس الأموال   ·   guiding principles   ·   content elements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guiding principles</w:t>
            </w:r>
          </w:p>
        </w:tc>
        <w:tc>
          <w:tcPr>
            <w:tcW w:type="pct" w:w="2400"/>
            <w:tcMar>
              <w:top w:type="dxa" w:w="50"/>
              <w:left w:type="dxa" w:w="110"/>
              <w:bottom w:type="dxa" w:w="50"/>
              <w:right w:type="dxa" w:w="110"/>
            </w:tcMar>
          </w:tcPr>
          <w:p>
            <w:pPr>
              <w:spacing w:before="26" w:after="26"/>
            </w:pPr>
            <w:r>
              <w:rPr>
                <w:color w:val="232733"/>
                <w:sz w:val="16"/>
                <w:szCs w:val="16"/>
              </w:rPr>
              <w:t xml:space="preserve">المبادئ التوجيهية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content elements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عناصر المحتوى</w:t>
            </w:r>
          </w:p>
        </w:tc>
      </w:tr>
    </w:tbl>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Guiding principles and content elements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principles-based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What does the company do, and 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connectivity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How does governance support value creation?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Explain strategy and how it creates value over time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Grow, press, bottle,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Irrigation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Water scarcity; demand for healthy drinks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 key relationships and how the company responds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Invest in irrigation and new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Water scarcity; olive prices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Renewable electricity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 yields and prices to 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 a failed product launch too</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Use the same basis over time and allow 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distinguishable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guiding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governance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connectivity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performed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content elements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guiding principles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is principles-based: it does not prescribe KPIs or measurement methods. Seven guiding principles shape how the report is prepared, such as connectivity of information, materiality and conciseness.</w:t>
      </w:r>
    </w:p>
    <w:p>
      <w:pPr>
        <w:spacing w:before="20" w:after="20"/>
        <w:ind w:left="240" w:hanging="240"/>
      </w:pPr>
      <w:r>
        <w:rPr>
          <w:b/>
          <w:bCs/>
          <w:color w:val="353A7C"/>
          <w:sz w:val="15"/>
          <w:szCs w:val="15"/>
        </w:rPr>
        <w:t xml:space="preserve">Summary 2   </w:t>
      </w:r>
      <w:r>
        <w:rPr>
          <w:color w:val="6B7280"/>
          <w:sz w:val="15"/>
          <w:szCs w:val="15"/>
        </w:rPr>
        <w:t xml:space="preserve">Eight content elements set what the report covers. Each element answers a question: what the company does, how its governance works, how its business model creates value, which risks and opportunities it faces, where its strategy is going, how it performed, what lies ahead, and how the report was prepared. The elements are linked, not separate chapters. For example, Orontes's water risk appears under risks and opportunities, drives its strategy, and is measured under performance.</w:t>
      </w:r>
    </w:p>
    <w:p>
      <w:pPr>
        <w:spacing w:before="20" w:after="20"/>
        <w:ind w:left="240" w:hanging="240"/>
      </w:pPr>
      <w:r>
        <w:rPr>
          <w:b/>
          <w:bCs/>
          <w:color w:val="353A7C"/>
          <w:sz w:val="15"/>
          <w:szCs w:val="15"/>
        </w:rPr>
        <w:t xml:space="preserve">Summary 3   </w:t>
      </w:r>
      <w:r>
        <w:rPr>
          <w:color w:val="6B7280"/>
          <w:sz w:val="15"/>
          <w:szCs w:val="15"/>
        </w:rPr>
        <w:t xml:space="preserve">Those charged with governance, such as the board, should include a statement that they are responsible for the integrated report. The report can stand alone or be a distinguishable part of another report, such as the annual report.</w:t>
      </w:r>
    </w:p>
    <w:p>
      <w:pPr>
        <w:spacing w:before="20" w:after="20"/>
        <w:ind w:left="240" w:hanging="240"/>
      </w:pPr>
      <w:r>
        <w:rPr>
          <w:b/>
          <w:bCs/>
          <w:color w:val="353A7C"/>
          <w:sz w:val="15"/>
          <w:szCs w:val="15"/>
        </w:rPr>
        <w:t xml:space="preserve">Summary 4   </w:t>
      </w:r>
      <w:r>
        <w:rPr>
          <w:color w:val="6B7280"/>
          <w:sz w:val="15"/>
          <w:szCs w:val="15"/>
        </w:rPr>
        <w:t xml:space="preserve">There are seven guiding principles (how to report) and eight content elements (what to report). Materiality and connectivity are principles; governance, business model and outlook are content elements.</w:t>
      </w:r>
    </w:p>
    <w:p>
      <w:pPr>
        <w:sectPr>
          <w:headerReference w:type="default" r:id="rIdHdr1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Benefits and challenges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Benefits against Challenges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30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5734050" cy="3085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assurance   ·   information   ·   capitals   ·   non-financial   ·   Framework   ·   integrated reporting   ·   comparability   ·   relationships   ·   investors   ·   guiding principles</w:t>
            </w:r>
          </w:p>
        </w:tc>
      </w:tr>
    </w:tbl>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Benefits and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 reporting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relationships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assurance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non-financial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comparability</w:t>
            </w:r>
          </w:p>
        </w:tc>
      </w:tr>
    </w:tbl>
    <w:p/>
    <w:p>
      <w:pPr>
        <w:spacing w:before="50" w:after="14"/>
      </w:pPr>
      <w:r>
        <w:rPr>
          <w:b/>
          <w:bCs/>
          <w:color w:val="353A7C"/>
          <w:sz w:val="18"/>
          <w:szCs w:val="18"/>
        </w:rPr>
        <w:t xml:space="preserve">the summaries in full</w:t>
      </w:r>
    </w:p>
    <w:p>
      <w:pPr>
        <w:sectPr>
          <w:headerReference w:type="default" r:id="rIdHdr1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Integrated reporting and sustainability disclosures</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IFRS S1 and IFRS S2, issued by the ISSB, require disclosure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climate risks that affect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prospects. </w:t>
      </w:r>
      <w:r>
        <w:rPr>
          <w:sz w:val="19"/>
          <w:szCs w:val="19"/>
        </w:rPr>
        <w:t xml:space="preserve">They apply only where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adopts them. </w:t>
      </w:r>
      <w:r>
        <w:rPr>
          <w:sz w:val="19"/>
          <w:szCs w:val="19"/>
        </w:rPr>
        <w:t xml:space="preserve">S1 asks for connected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idea taken from integrated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S1 and S2 disclosures are not an integrated report. </w:t>
      </w:r>
      <w:r>
        <w:rPr>
          <w:sz w:val="19"/>
          <w:szCs w:val="19"/>
        </w:rPr>
        <w:t xml:space="preserve">In 2024 the ISSB decided not to start a separate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project, and the boards continue to support the &lt;IR&gt;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IASB's revised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Statement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commentary, issued in June 2025, also draws on integrated-reporting concepts. </w:t>
      </w:r>
      <w:r>
        <w:rPr>
          <w:sz w:val="19"/>
          <w:szCs w:val="19"/>
        </w:rPr>
        <w:t xml:space="preserve">It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 is not in the LOS. </w:t>
      </w:r>
      <w:r>
        <w:rPr>
          <w:sz w:val="19"/>
          <w:szCs w:val="19"/>
        </w:rPr>
        <w:t xml:space="preserve">The SEC's 2024 climate disclosure rule never took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is stayed, and the SEC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rescind it in 2026. </w:t>
      </w:r>
      <w:r>
        <w:rPr>
          <w:sz w:val="19"/>
          <w:szCs w:val="19"/>
        </w:rPr>
        <w:t xml:space="preserve">Some MENA markets now require ISSB-based disclosures, for example Qatar from 2026 and the largest Amman Stock Exchange companies from 2026. </w:t>
      </w:r>
      <w:r>
        <w:rPr>
          <w:sz w:val="19"/>
          <w:szCs w:val="19"/>
        </w:rPr>
        <w:t xml:space="preserve">These are background facts, not exam content.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integration   ·   Practice   ·   proposed   ·   separate   ·   information   ·   Framework   ·   effect   ·   reporting   ·   voluntary   ·   jurisdiction   ·   company's   ·   management   ·   sustainability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Barada Wholesale: draft first integrated report,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draft first integrated report,</w:t>
            </w:r>
          </w:p>
        </w:tc>
      </w:tr>
      <w:tr>
        <w:tc>
          <w:tcPr>
            <w:tcW w:type="pct" w:w="2400"/>
            <w:tcMar>
              <w:top w:type="dxa" w:w="50"/>
              <w:left w:type="dxa" w:w="110"/>
              <w:bottom w:type="dxa" w:w="50"/>
              <w:right w:type="dxa" w:w="110"/>
            </w:tcMar>
          </w:tcPr>
          <w:p>
            <w:pPr>
              <w:spacing w:before="28" w:after="28"/>
            </w:pPr>
            <w:r>
              <w:rPr>
                <w:sz w:val="15"/>
                <w:szCs w:val="15"/>
              </w:rPr>
              <w:t xml:space="preserve">D1</w:t>
            </w:r>
          </w:p>
        </w:tc>
        <w:tc>
          <w:tcPr>
            <w:tcW w:type="pct" w:w="2600"/>
            <w:tcMar>
              <w:top w:type="dxa" w:w="50"/>
              <w:left w:type="dxa" w:w="110"/>
              <w:bottom w:type="dxa" w:w="50"/>
              <w:right w:type="dxa" w:w="110"/>
            </w:tcMar>
          </w:tcPr>
          <w:p>
            <w:pPr>
              <w:spacing w:before="28" w:after="28"/>
            </w:pPr>
            <w:r>
              <w:rPr>
                <w:sz w:val="15"/>
                <w:szCs w:val="15"/>
              </w:rPr>
              <w:t xml:space="preserve">Barada trained all delivery drivers in safe driving.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used 600 MWh of electricity in 2028; 150 MWh came from its own solar panels.</w:t>
            </w:r>
          </w:p>
        </w:tc>
      </w:tr>
      <w:tr>
        <w:tc>
          <w:tcPr>
            <w:tcW w:type="pct" w:w="2400"/>
            <w:tcMar>
              <w:top w:type="dxa" w:w="50"/>
              <w:left w:type="dxa" w:w="110"/>
              <w:bottom w:type="dxa" w:w="50"/>
              <w:right w:type="dxa" w:w="110"/>
            </w:tcMar>
          </w:tcPr>
          <w:p>
            <w:pPr>
              <w:spacing w:before="28" w:after="28"/>
            </w:pPr>
            <w:r>
              <w:rPr>
                <w:sz w:val="15"/>
                <w:szCs w:val="15"/>
              </w:rPr>
              <w:t xml:space="preserve">D3</w:t>
            </w:r>
          </w:p>
        </w:tc>
        <w:tc>
          <w:tcPr>
            <w:tcW w:type="pct" w:w="2600"/>
            <w:tcMar>
              <w:top w:type="dxa" w:w="50"/>
              <w:left w:type="dxa" w:w="110"/>
              <w:bottom w:type="dxa" w:w="50"/>
              <w:right w:type="dxa" w:w="110"/>
            </w:tcMar>
          </w:tcPr>
          <w:p>
            <w:pPr>
              <w:spacing w:before="28" w:after="28"/>
            </w:pPr>
            <w:r>
              <w:rPr>
                <w:sz w:val="15"/>
                <w:szCs w:val="15"/>
              </w:rPr>
              <w:t xml:space="preserve">Barada signed five-year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with 60 small farmers.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D4</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400"/>
            <w:tcMar>
              <w:top w:type="dxa" w:w="50"/>
              <w:left w:type="dxa" w:w="110"/>
              <w:bottom w:type="dxa" w:w="50"/>
              <w:right w:type="dxa" w:w="110"/>
            </w:tcMar>
          </w:tcPr>
          <w:p>
            <w:pPr>
              <w:spacing w:before="28" w:after="28"/>
            </w:pPr>
            <w:r>
              <w:rPr>
                <w:sz w:val="15"/>
                <w:szCs w:val="15"/>
              </w:rPr>
              <w:t xml:space="preserve">D5</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D6</w:t>
            </w:r>
          </w:p>
        </w:tc>
        <w:tc>
          <w:tcPr>
            <w:tcW w:type="pct" w:w="2600"/>
            <w:shd w:fill="FBFAF6" w:val="clear"/>
            <w:tcMar>
              <w:top w:type="dxa" w:w="50"/>
              <w:left w:type="dxa" w:w="110"/>
              <w:bottom w:type="dxa" w:w="50"/>
              <w:right w:type="dxa" w:w="110"/>
            </w:tcMar>
          </w:tcPr>
          <w:p>
            <w:pPr>
              <w:spacing w:before="28" w:after="28"/>
            </w:pPr>
            <w:r>
              <w:rPr>
                <w:sz w:val="15"/>
                <w:szCs w:val="15"/>
              </w:rPr>
              <w:t xml:space="preserve">Rising fuel prices could cut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delivery margins in 2029 and 2030.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The draft says: 'This report is written mainly for our employees and the local community.'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draft links each strategic goal to the KPI and the capital it affects.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Barada's   ·   partnerships   ·   Staff turnover in the warehouse fell from 25% to 15%.   ·   Packaging waste sent to landfill fell by one third.   ·   guiding principles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Safety training for factory staff</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trademark for Orontes Gold olive oil</w:t>
            </w:r>
          </w:p>
        </w:tc>
        <w:tc>
          <w:tcPr>
            <w:tcW w:type="pct" w:w="2400"/>
            <w:shd w:fill="FBFAF6" w:val="clear"/>
            <w:tcMar>
              <w:top w:type="dxa" w:w="50"/>
              <w:left w:type="dxa" w:w="110"/>
              <w:bottom w:type="dxa" w:w="50"/>
              <w:right w:type="dxa" w:w="110"/>
            </w:tcMar>
          </w:tcPr>
          <w:p>
            <w:pPr>
              <w:spacing w:before="28" w:after="28"/>
            </w:pPr>
            <w:r>
              <w:rPr>
                <w:sz w:val="15"/>
                <w:szCs w:val="15"/>
              </w:rPr>
              <w:t xml:space="preserve">Intellectual capital</w:t>
            </w:r>
          </w:p>
        </w:tc>
      </w:tr>
      <w:tr>
        <w:tc>
          <w:tcPr>
            <w:tcW w:type="pct" w:w="2600"/>
            <w:tcMar>
              <w:top w:type="dxa" w:w="50"/>
              <w:left w:type="dxa" w:w="110"/>
              <w:bottom w:type="dxa" w:w="50"/>
              <w:right w:type="dxa" w:w="110"/>
            </w:tcMar>
          </w:tcPr>
          <w:p>
            <w:pPr>
              <w:spacing w:before="28" w:after="28"/>
            </w:pPr>
            <w:r>
              <w:rPr>
                <w:sz w:val="15"/>
                <w:szCs w:val="15"/>
              </w:rPr>
              <w:t xml:space="preserve">Water drawn from local wells</w:t>
            </w:r>
          </w:p>
        </w:tc>
        <w:tc>
          <w:tcPr>
            <w:tcW w:type="pct" w:w="2400"/>
            <w:tcMar>
              <w:top w:type="dxa" w:w="50"/>
              <w:left w:type="dxa" w:w="110"/>
              <w:bottom w:type="dxa" w:w="50"/>
              <w:right w:type="dxa" w:w="110"/>
            </w:tcMar>
          </w:tcPr>
          <w:p>
            <w:pPr>
              <w:spacing w:before="28" w:after="28"/>
            </w:pPr>
            <w:r>
              <w:rPr>
                <w:sz w:val="15"/>
                <w:szCs w:val="15"/>
              </w:rPr>
              <w:t xml:space="preserve">Natural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Long-term contracts with grower cooperatives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Social and relationship capital   ·   natural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Disclosure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D1 Driver training</w:t>
            </w:r>
          </w:p>
        </w:tc>
        <w:tc>
          <w:tcPr>
            <w:tcW w:type="pct" w:w="2400"/>
            <w:tcMar>
              <w:top w:type="dxa" w:w="50"/>
              <w:left w:type="dxa" w:w="110"/>
              <w:bottom w:type="dxa" w:w="50"/>
              <w:right w:type="dxa" w:w="110"/>
            </w:tcMar>
          </w:tcPr>
          <w:p>
            <w:pPr>
              <w:spacing w:before="28" w:after="28"/>
            </w:pPr>
            <w:r>
              <w:rPr>
                <w:sz w:val="15"/>
                <w:szCs w:val="15"/>
              </w:rPr>
              <w:t xml:space="preserve">Human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D2 Electricity and solar</w:t>
            </w:r>
          </w:p>
        </w:tc>
        <w:tc>
          <w:tcPr>
            <w:tcW w:type="pct" w:w="2400"/>
            <w:shd w:fill="FBFAF6" w:val="clear"/>
            <w:tcMar>
              <w:top w:type="dxa" w:w="50"/>
              <w:left w:type="dxa" w:w="110"/>
              <w:bottom w:type="dxa" w:w="50"/>
              <w:right w:type="dxa" w:w="110"/>
            </w:tcMar>
          </w:tcPr>
          <w:p>
            <w:pPr>
              <w:spacing w:before="28" w:after="28"/>
            </w:pPr>
            <w:r>
              <w:rPr>
                <w:sz w:val="15"/>
                <w:szCs w:val="15"/>
              </w:rPr>
              <w:t xml:space="preserve">Natural capital</w:t>
            </w:r>
          </w:p>
        </w:tc>
      </w:tr>
      <w:tr>
        <w:tc>
          <w:tcPr>
            <w:tcW w:type="pct" w:w="2600"/>
            <w:tcMar>
              <w:top w:type="dxa" w:w="50"/>
              <w:left w:type="dxa" w:w="110"/>
              <w:bottom w:type="dxa" w:w="50"/>
              <w:right w:type="dxa" w:w="110"/>
            </w:tcMar>
          </w:tcPr>
          <w:p>
            <w:pPr>
              <w:spacing w:before="28" w:after="28"/>
            </w:pPr>
            <w:r>
              <w:rPr>
                <w:sz w:val="15"/>
                <w:szCs w:val="15"/>
              </w:rPr>
              <w:t xml:space="preserve">D3 Farmer partnerships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D4 Warehouse staff turnover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D5 Packaging waste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manufactured capital   ·   Social and relationship capital   ·   Natural capital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رؤوس الأموال   ·   integrated report</w:t>
            </w:r>
          </w:p>
        </w:tc>
      </w:tr>
    </w:tbl>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Integrated reporting and sustainability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sustainability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partnerships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Staff turnover in the warehouse fell from 25% to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jurisdiction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Packaging waste sent to landfill fell by one third.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integration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Natural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voluntary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integrated 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capitals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S1 and IFRS S2, issued by the ISSB, require disclosure of sustainability and climate risks that affect a company's prospects. They apply only where a jurisdiction adopts them. S1 asks for connected information, an idea taken from integrated reporting, but S1 and S2 disclosures are not an integrated report. In 2024 the ISSB decided not to start a separate integration project, and the boards continue to support the &lt;IR&gt; Framework. The IASB's revised Practice Statement on management commentary, issued in June 2025, also draws on integrated-reporting concepts. It is voluntary, and it is not in the LOS. The SEC's 2024 climate disclosure rule never took effect; it is stayed, and the SEC proposed to rescind it in 2026. Some MENA markets now require ISSB-based disclosures, for example Qatar from 2026 and the largest Amman Stock Exchange companies from 2026. These are background facts, not exam content.</w:t>
      </w:r>
    </w:p>
    <w:p>
      <w:pPr>
        <w:sectPr>
          <w:headerReference w:type="default" r:id="rIdHdr188"/>
          <w:pgSz w:w="11906" w:h="16838" w:orient="portrait"/>
          <w:pgMar w:top="1180" w:right="1000" w:bottom="900" w:left="1000" w:header="708" w:footer="708" w:gutter="0"/>
          <w:docGrid w:linePitch="360"/>
          <w:pgNumType w:start="1"/>
        </w:sectPr>
      </w:pPr>
    </w:p>
    <w:sectPr>
      <w:headerReference w:type="default" r:id="rIdHdr18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Other presentation matters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Purpose and structure of the income statement</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Building the multi-step income statement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Unusual items and discontinued operations</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Comprehensive income</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Components of equity and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Issuing and buying back shares</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Dividends, stock dividends and stock splits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Retained earnings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Purpose and structure of the statement of cash flows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Classifying cash flows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The indirect method</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The direct method and required disclosures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Limitations and links between the four statements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Recognizing and measuring receivables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Transferring receivables: sale or secured borrowing?</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Which test applies?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Lower of cost or market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retail inventory method and the gross profit method</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Advantages and disadvantages of the methods</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Recommending a method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Three categories of debt securities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Measuring debt securities</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Credit losses on debt securities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Equity securities and the equity method</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The cost of property, plant and equipment</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Depreciation methods and their effects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Recommending a depreciation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Disposal of fixed assets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Impairment of long-lived assets, intangibles and goodwill</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Revenue and the core principle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Steps 1 and 2: the contract and its performance obligations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Steps 3 and 4: the transaction price and its allocation</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Step 5: recognizing revenue over time or at a point in time</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Special situations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Matching, contract costs and IFRS differences</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What makes a liability current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Payroll, taxes collected and compensated absences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Short-term debt expected to be refinanced</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IFRS and covenants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Warranties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Why book income and taxable income differ</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Temporary and permanent differences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Measuring current and deferred taxes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Rate changes, valuation allowances, losses and presentation</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IFRS differences and disclosures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What is a lease?</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Finance or operating? The five criteria</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Initial measurement</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Subsequent measurement: two expense patterns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Presentation</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Short-term leases, sale and leaseback, and IFRS 16</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Gains and losses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Expense recognition</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Comprehensive income and reclassification</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Is it a discontinued operation?</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Held for sale: criteria and measurement</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Presentation and IFRS differences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consolidated statements are</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Two control models: VIE first, then votes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Full consolidation, proportionate consolidation and the equity method</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Eliminating intercompany balances and transactions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IFRS differences and what is changing</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(i) Share-based payments and employee benefits</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(ii) Intangible assets</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(iii) Inventories</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(iv) Leases: the lessee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(v) Long-lived assets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(vi) Impairment</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Integrated thinking, integrated reporting and the integrated report</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primary purpose</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Value creation and the six capitals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Guiding principles and content elements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Benefits and challenges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Integrated reporting and sustainability disclosures</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fb3409c59d5ba967155659445d60da5da01136b.png" Type="http://schemas.openxmlformats.org/officeDocument/2006/relationships/image"/><Relationship Id="rId102" Target="media/e6cd6c3f15face523ac58431cbe41acddf35ae08.png" Type="http://schemas.openxmlformats.org/officeDocument/2006/relationships/image"/><Relationship Id="rId103" Target="media/21f6a451e2701825b997f01d8e7ac7d40d3a3ac5.png" Type="http://schemas.openxmlformats.org/officeDocument/2006/relationships/image"/><Relationship Id="rId104" Target="media/e3ab0274cc721aec522d6b552b42df94bd71405a.png" Type="http://schemas.openxmlformats.org/officeDocument/2006/relationships/image"/><Relationship Id="rId105" Target="media/ee850982fcdb7396c23f1f5394785c09793d16ec.png" Type="http://schemas.openxmlformats.org/officeDocument/2006/relationships/image"/><Relationship Id="rId106" Target="media/e978a255da0730ff0ca8ea8154e04f8d083475d2.png" Type="http://schemas.openxmlformats.org/officeDocument/2006/relationships/image"/><Relationship Id="rId107" Target="media/94ca45930d9e6201388e2282e4bbab0b9174c139.png" Type="http://schemas.openxmlformats.org/officeDocument/2006/relationships/image"/><Relationship Id="rId108" Target="media/606b29f8e606b81a649bb3ab3cb2a9fdad59a237.png" Type="http://schemas.openxmlformats.org/officeDocument/2006/relationships/image"/><Relationship Id="rId109" Target="media/efef428e16f6bcd528bc2d7543a0c9f34eefe1aa.png" Type="http://schemas.openxmlformats.org/officeDocument/2006/relationships/image"/><Relationship Id="rId110" Target="media/c8f9bc9301c519fa51cdcd7d57e36a7dc172e6d2.png" Type="http://schemas.openxmlformats.org/officeDocument/2006/relationships/image"/><Relationship Id="rId111" Target="media/2d433156bdc1333ff5fc44a2d81a87bd0a3d3e8f.png" Type="http://schemas.openxmlformats.org/officeDocument/2006/relationships/image"/><Relationship Id="rId112" Target="media/0dece7206b1150af26055271d0da2e81b778f13e.png" Type="http://schemas.openxmlformats.org/officeDocument/2006/relationships/image"/><Relationship Id="rId113" Target="media/bc498578c61b76cbb87adfe3bbe9e1d2d1297a70.png" Type="http://schemas.openxmlformats.org/officeDocument/2006/relationships/image"/><Relationship Id="rId114" Target="media/b787336fc654f523ad74989a47cc8d612fe08f0b.png" Type="http://schemas.openxmlformats.org/officeDocument/2006/relationships/image"/><Relationship Id="rId115" Target="media/c390347e725739f5aced1d5707d7c7605db50f90.png" Type="http://schemas.openxmlformats.org/officeDocument/2006/relationships/image"/><Relationship Id="rId116" Target="media/d056aa72316d75178c03d54d92fcd78b476581f4.png" Type="http://schemas.openxmlformats.org/officeDocument/2006/relationships/image"/><Relationship Id="rId117" Target="media/b3c13ee14d573e9c11a446fa760a79c792d27b12.png" Type="http://schemas.openxmlformats.org/officeDocument/2006/relationships/image"/><Relationship Id="rId118" Target="media/62696186d75f7aba50e3a5457b5ee77057337ef6.png" Type="http://schemas.openxmlformats.org/officeDocument/2006/relationships/image"/><Relationship Id="rId119" Target="media/e532e14566190bb0ca65a7bc990028384b543be3.png" Type="http://schemas.openxmlformats.org/officeDocument/2006/relationships/image"/><Relationship Id="rId120" Target="media/2ec8f26fe1363498b17b14836aa057388e3b2797.png" Type="http://schemas.openxmlformats.org/officeDocument/2006/relationships/image"/><Relationship Id="rId121" Target="media/a8d893ed39d62d80f594cff6c158c76e2880c991.png" Type="http://schemas.openxmlformats.org/officeDocument/2006/relationships/image"/><Relationship Id="rId122" Target="media/f7f05d536e572afa00a2beade0d626b2ca466cfc.png" Type="http://schemas.openxmlformats.org/officeDocument/2006/relationships/image"/><Relationship Id="rId123" Target="media/4c3fa441cc369e817f4f6a6716835197d532c505.png" Type="http://schemas.openxmlformats.org/officeDocument/2006/relationships/image"/><Relationship Id="rId124" Target="media/92e983519e27173f101a38f225c58733cf9262b7.png" Type="http://schemas.openxmlformats.org/officeDocument/2006/relationships/image"/><Relationship Id="rId125" Target="media/74c3341ead4c1174cdd6be8e2f7f4166ec0e3a72.png" Type="http://schemas.openxmlformats.org/officeDocument/2006/relationships/image"/><Relationship Id="rId126" Target="media/82030786494837d1e00a382193d3fee737a62007.png" Type="http://schemas.openxmlformats.org/officeDocument/2006/relationships/image"/><Relationship Id="rId127" Target="media/5f8657749c0b7cca9bff7cd90214cca4deb5c264.png" Type="http://schemas.openxmlformats.org/officeDocument/2006/relationships/image"/><Relationship Id="rId128" Target="media/24d9e605f47edce61e68b7ae3f2a818a9e5e93cb.png" Type="http://schemas.openxmlformats.org/officeDocument/2006/relationships/image"/><Relationship Id="rId129" Target="media/d55e27355a5df1a55ed0c9138591ee96bef155dd.png" Type="http://schemas.openxmlformats.org/officeDocument/2006/relationships/image"/><Relationship Id="rId130" Target="media/dfc49f3dcaccdd3432ab12eb81ec7c2e6e39001d.png" Type="http://schemas.openxmlformats.org/officeDocument/2006/relationships/image"/><Relationship Id="rId131" Target="media/d6a737557e5217da5d375874c7c4f118048b2981.png" Type="http://schemas.openxmlformats.org/officeDocument/2006/relationships/image"/><Relationship Id="rId132" Target="media/570f8c1e8c48d24363ff024860b438fb79c72bde.png" Type="http://schemas.openxmlformats.org/officeDocument/2006/relationships/image"/><Relationship Id="rId133" Target="media/98671c5b9b80adaf867b9e3dcdcfee344ee2759f.png" Type="http://schemas.openxmlformats.org/officeDocument/2006/relationships/image"/><Relationship Id="rId134" Target="media/99647f6ebbd49a11a2e841816a0b8ee84d4dfdea.png" Type="http://schemas.openxmlformats.org/officeDocument/2006/relationships/image"/><Relationship Id="rId135" Target="media/8e8240a756d8365560b2c35e38dad7ae05558565.png" Type="http://schemas.openxmlformats.org/officeDocument/2006/relationships/image"/><Relationship Id="rId136" Target="media/4c0e3406fac51c6c8767a568e257d702b781e29a.png" Type="http://schemas.openxmlformats.org/officeDocument/2006/relationships/image"/><Relationship Id="rId137" Target="media/c2ccdcef03ee4613a15991a3f896b6b54d951f4d.png" Type="http://schemas.openxmlformats.org/officeDocument/2006/relationships/image"/><Relationship Id="rId138" Target="media/8db2abe1ddbaafa868e515fed5519dfe0d92bc90.png" Type="http://schemas.openxmlformats.org/officeDocument/2006/relationships/image"/><Relationship Id="rId139" Target="media/cc9a644d92103316c913de4bde48f6c0a6ffc573.png" Type="http://schemas.openxmlformats.org/officeDocument/2006/relationships/image"/><Relationship Id="rId140" Target="media/85eabf43db71974cbc38e28059b6e26880a3bf42.png" Type="http://schemas.openxmlformats.org/officeDocument/2006/relationships/image"/><Relationship Id="rId141" Target="media/cd050a3751879b5e2321c2fea9ec57d212e7bf58.png" Type="http://schemas.openxmlformats.org/officeDocument/2006/relationships/image"/><Relationship Id="rId142" Target="media/0e3dcc198ce4b402c04a40ded42335ed43da313a.png" Type="http://schemas.openxmlformats.org/officeDocument/2006/relationships/image"/><Relationship Id="rId143" Target="media/ac28cb4267294a1fdf891ef640e6c77a94e2cbd5.png" Type="http://schemas.openxmlformats.org/officeDocument/2006/relationships/image"/><Relationship Id="rId144" Target="media/597d787ba2590e6f9f4c217a0177cb97919cba7e.png" Type="http://schemas.openxmlformats.org/officeDocument/2006/relationships/image"/><Relationship Id="rId145" Target="media/34e9764ef4202ca17b3b2fa4bda7ca70638417e8.png" Type="http://schemas.openxmlformats.org/officeDocument/2006/relationships/image"/><Relationship Id="rId146" Target="media/9d21e786eb1cb89d97e9bbf8aac784cf0ebfcd79.png" Type="http://schemas.openxmlformats.org/officeDocument/2006/relationships/image"/><Relationship Id="rId147" Target="media/2a0f3c5eaad6fc83db91e67c1d2f13144fcb5c7a.png" Type="http://schemas.openxmlformats.org/officeDocument/2006/relationships/image"/><Relationship Id="rId148" Target="media/039cfb7799b0037741ef0ec7b9f6a3becc800c16.png" Type="http://schemas.openxmlformats.org/officeDocument/2006/relationships/image"/><Relationship Id="rId149" Target="media/90990591fe9056e34070906d86f9fe9c1ec3c455.png" Type="http://schemas.openxmlformats.org/officeDocument/2006/relationships/image"/><Relationship Id="rId150" Target="media/94391c13d155da102c3d4694cffbe6152d6ef6f4.png" Type="http://schemas.openxmlformats.org/officeDocument/2006/relationships/image"/><Relationship Id="rId151" Target="media/bdcdca741bd05997feaa6ac96eecc161b0dc4d09.png" Type="http://schemas.openxmlformats.org/officeDocument/2006/relationships/image"/><Relationship Id="rId152" Target="media/e9beb181497f995c7f4f820f51958262b18d4a9c.png" Type="http://schemas.openxmlformats.org/officeDocument/2006/relationships/image"/><Relationship Id="rId153" Target="media/611f181b763d2eec21e3333049fd1941c35b1f3c.png" Type="http://schemas.openxmlformats.org/officeDocument/2006/relationships/image"/><Relationship Id="rId154" Target="media/185b272c7b29ebe30bd5a70e90af4c5da883be9f.png" Type="http://schemas.openxmlformats.org/officeDocument/2006/relationships/image"/><Relationship Id="rId155" Target="media/a2bb541241bbac7bf96fd3c7b95978d07a1337fa.png" Type="http://schemas.openxmlformats.org/officeDocument/2006/relationships/image"/><Relationship Id="rId156" Target="media/855fba116821b807c9ab51a62accc1d61365b658.png" Type="http://schemas.openxmlformats.org/officeDocument/2006/relationships/image"/><Relationship Id="rId157" Target="media/42dba3d6655ed6b730ca17aee695b94b39c2a2e0.png" Type="http://schemas.openxmlformats.org/officeDocument/2006/relationships/image"/><Relationship Id="rId158" Target="media/f7d1965f677c9fbe95666bdd7ac6e8576fe75753.png" Type="http://schemas.openxmlformats.org/officeDocument/2006/relationships/image"/><Relationship Id="rId159" Target="media/2b54fdcf833fe11ce0b4dc25f34d99d7e563dd72.png" Type="http://schemas.openxmlformats.org/officeDocument/2006/relationships/image"/><Relationship Id="rId160" Target="media/e2b35aaa50a5251826b899af27c7c527083e7ff0.png" Type="http://schemas.openxmlformats.org/officeDocument/2006/relationships/image"/><Relationship Id="rId161" Target="media/fba2b5ada76d7f9688f2668941cb6c8603ea7ef5.png" Type="http://schemas.openxmlformats.org/officeDocument/2006/relationships/image"/><Relationship Id="rId162" Target="media/f525dab043aa0b268e5e7845c36cd24090dfa1f2.png" Type="http://schemas.openxmlformats.org/officeDocument/2006/relationships/image"/><Relationship Id="rId163" Target="media/647e6f9a0a2afefce9e8e3680bfb8cad475ad403.png" Type="http://schemas.openxmlformats.org/officeDocument/2006/relationships/image"/><Relationship Id="rId164" Target="media/cf723f9c8f93e9a2bae680238b9bd4831ee43a6a.png" Type="http://schemas.openxmlformats.org/officeDocument/2006/relationships/image"/><Relationship Id="rId165" Target="media/5e2f42569df02f548672179510681a43a642affa.png" Type="http://schemas.openxmlformats.org/officeDocument/2006/relationships/image"/><Relationship Id="rId166" Target="media/aace9f1063881c66106365b1eabb457b06d1f8e5.png" Type="http://schemas.openxmlformats.org/officeDocument/2006/relationships/image"/><Relationship Id="rId167" Target="media/cedb5ab9d7c91d775501d61b6ee2e8f96dc509cd.png" Type="http://schemas.openxmlformats.org/officeDocument/2006/relationships/image"/><Relationship Id="rId168" Target="media/1e08ac3cb744318270531de87752c4c4d74589e3.png" Type="http://schemas.openxmlformats.org/officeDocument/2006/relationships/image"/><Relationship Id="rId169" Target="media/67b035e8a54802842b2b2062c45b9e17080ec6d4.png" Type="http://schemas.openxmlformats.org/officeDocument/2006/relationships/image"/><Relationship Id="rId170" Target="media/d541b3a9692372f77c4b9b220b3fec94a6413e32.png" Type="http://schemas.openxmlformats.org/officeDocument/2006/relationships/image"/><Relationship Id="rId171" Target="media/a160fa93b2380c09c96e361c2732e8fe0492715f.png" Type="http://schemas.openxmlformats.org/officeDocument/2006/relationships/image"/><Relationship Id="rId172" Target="media/ce5485de9a2a57634b2f77957276f20369ca7f19.png" Type="http://schemas.openxmlformats.org/officeDocument/2006/relationships/image"/><Relationship Id="rId173" Target="media/2f2b395c51d2599f16674019ad8bb92abbf954e5.png" Type="http://schemas.openxmlformats.org/officeDocument/2006/relationships/image"/><Relationship Id="rId174" Target="media/e8b25e07cdaf15d08cbffc91acf11f97ae334976.png" Type="http://schemas.openxmlformats.org/officeDocument/2006/relationships/image"/><Relationship Id="rId175" Target="media/b00ea7490dd164b3af8b631a42d8342e53a455f1.png" Type="http://schemas.openxmlformats.org/officeDocument/2006/relationships/image"/><Relationship Id="rId176" Target="media/883d6d583445e81aedf1f7b8b157a9d6569acfa7.png" Type="http://schemas.openxmlformats.org/officeDocument/2006/relationships/image"/><Relationship Id="rId177" Target="media/f98f39982d77ff660524514fc8f79d724a92aa5d.png" Type="http://schemas.openxmlformats.org/officeDocument/2006/relationships/image"/><Relationship Id="rId178" Target="media/ca821dc7724e8d7a963392327aebeb84ce07a2ae.png" Type="http://schemas.openxmlformats.org/officeDocument/2006/relationships/image"/><Relationship Id="rId179" Target="media/3b396b24f7bb9f4f794b379ee8ceb56d875595f6.png" Type="http://schemas.openxmlformats.org/officeDocument/2006/relationships/image"/><Relationship Id="rId180" Target="media/62ab27d3e4954656d8b7dccbb46172aa1c114b06.png" Type="http://schemas.openxmlformats.org/officeDocument/2006/relationships/image"/><Relationship Id="rId181" Target="media/0ab1e5735cfdf87991bbef41a2f57cb614950b6e.png" Type="http://schemas.openxmlformats.org/officeDocument/2006/relationships/image"/><Relationship Id="rId182" Target="media/683bc8aad0b67e817be65e6f6237919d39e2416a.png" Type="http://schemas.openxmlformats.org/officeDocument/2006/relationships/image"/><Relationship Id="rId183" Target="media/d111153324099ec7b943f10c4bc83f601e6f0d84.png" Type="http://schemas.openxmlformats.org/officeDocument/2006/relationships/image"/><Relationship Id="rId184" Target="media/9a78e68ea5c28c7993f9406368a6ecf213c4deb2.png" Type="http://schemas.openxmlformats.org/officeDocument/2006/relationships/image"/><Relationship Id="rId185" Target="media/12766161e94680159a2a21ae2ee0a457f938cdf7.png" Type="http://schemas.openxmlformats.org/officeDocument/2006/relationships/image"/><Relationship Id="rId186" Target="media/19a8f0638aa75a07518ee3e0a832d7a465424ec1.png" Type="http://schemas.openxmlformats.org/officeDocument/2006/relationships/image"/><Relationship Id="rId187" Target="media/e1b630ad262b1fe8c2900059e66f27b8c0ccccca.png" Type="http://schemas.openxmlformats.org/officeDocument/2006/relationships/image"/><Relationship Id="rId188" Target="media/95239b04230276ae52a00ec91eabbdc4c70fb25b.png" Type="http://schemas.openxmlformats.org/officeDocument/2006/relationships/image"/><Relationship Id="rId189" Target="media/ed46f9f1b2f5c2affe6908cc38b9197f1f9c1ac1.png" Type="http://schemas.openxmlformats.org/officeDocument/2006/relationships/image"/><Relationship Id="rId190" Target="media/d6466bce8f3cbfbee9aa4c85c55b95d20c73caac.png" Type="http://schemas.openxmlformats.org/officeDocument/2006/relationships/image"/><Relationship Id="rId191" Target="media/74c988504ab235d3e1218af4eb36c305eb3b82ee.png" Type="http://schemas.openxmlformats.org/officeDocument/2006/relationships/image"/><Relationship Id="rId192" Target="media/9dd87b9b12328c77c7e0e2a46945795ac59aa9ed.png" Type="http://schemas.openxmlformats.org/officeDocument/2006/relationships/image"/><Relationship Id="rId193" Target="media/f7e15f3041979c0f0800750646009153b0b2c194.png" Type="http://schemas.openxmlformats.org/officeDocument/2006/relationships/image"/><Relationship Id="rId194" Target="media/107ce98489355feb9a7abe24dd8b5830031b1f39.png" Type="http://schemas.openxmlformats.org/officeDocument/2006/relationships/image"/><Relationship Id="rId195" Target="media/b3b5045f6a64492f21b9b2f98b268b1174a57933.png" Type="http://schemas.openxmlformats.org/officeDocument/2006/relationships/image"/><Relationship Id="rId196" Target="media/abbdf57c8cd0304776854e99905965adc41728e6.png" Type="http://schemas.openxmlformats.org/officeDocument/2006/relationships/image"/><Relationship Id="rId197" Target="media/276faacc22f69db430f811d8773968f6be17fc17.png" Type="http://schemas.openxmlformats.org/officeDocument/2006/relationships/image"/><Relationship Id="rId198" Target="media/5d2c2fb9e7f4d56feaf8b756e92cc32e091daa9f.png" Type="http://schemas.openxmlformats.org/officeDocument/2006/relationships/image"/><Relationship Id="rId199" Target="media/5f34ad085fdfd10f0cb38ac3a807f5fc13bd99a3.png" Type="http://schemas.openxmlformats.org/officeDocument/2006/relationships/image"/><Relationship Id="rId200" Target="media/965105890a0b0e0f2efd70606d6606e6ad2833b3.png" Type="http://schemas.openxmlformats.org/officeDocument/2006/relationships/image"/><Relationship Id="rId201" Target="media/346e79b9c4429a31d43612e19e93195e6ab9bc29.png" Type="http://schemas.openxmlformats.org/officeDocument/2006/relationships/image"/><Relationship Id="rId202" Target="media/fcfb45eca7d811eb81d64b64dc59db8a3cfa597a.png" Type="http://schemas.openxmlformats.org/officeDocument/2006/relationships/image"/><Relationship Id="rId203" Target="media/5dcfd62c280437311370e2954585046c9358c7f0.png" Type="http://schemas.openxmlformats.org/officeDocument/2006/relationships/image"/><Relationship Id="rId204" Target="media/d5dff68cef7f5d77fc6cacfad65fbf605a9d073a.png" Type="http://schemas.openxmlformats.org/officeDocument/2006/relationships/image"/><Relationship Id="rId205" Target="media/f874be114b7abe27b8ffab80b8d515e1efcbb34a.png" Type="http://schemas.openxmlformats.org/officeDocument/2006/relationships/image"/><Relationship Id="rId206" Target="media/92b54f9c98329591c6ad7c0121dc4e453f86df19.png" Type="http://schemas.openxmlformats.org/officeDocument/2006/relationships/image"/><Relationship Id="rId207" Target="media/75edccbd1dabdd9f05f102278ee118cad7ee9faf.png" Type="http://schemas.openxmlformats.org/officeDocument/2006/relationships/image"/><Relationship Id="rId208" Target="media/850ef6aa05c74447d838e525cdba2a5fc9dff920.png" Type="http://schemas.openxmlformats.org/officeDocument/2006/relationships/image"/><Relationship Id="rId209" Target="media/0843ae7be6a4b21e06daf93d3b1c1c81ecb2caad.png" Type="http://schemas.openxmlformats.org/officeDocument/2006/relationships/image"/><Relationship Id="rId210" Target="media/a52102a1b5ba718b85dde308a42dc413702209da.png" Type="http://schemas.openxmlformats.org/officeDocument/2006/relationships/image"/><Relationship Id="rId211" Target="media/0387ddb538a75faf3a5d9222e11b6ee053fe2094.png" Type="http://schemas.openxmlformats.org/officeDocument/2006/relationships/image"/><Relationship Id="rId212" Target="media/33eec9b008143600d245f5669d24a115b204383f.png" Type="http://schemas.openxmlformats.org/officeDocument/2006/relationships/image"/><Relationship Id="rId213" Target="media/3f21923d0500c9882b696bf4c4cf6d35482aaf16.png" Type="http://schemas.openxmlformats.org/officeDocument/2006/relationships/image"/><Relationship Id="rId214" Target="media/e48f8ad27f65f10da9448b0b5d8b31c8c6afc0a5.png" Type="http://schemas.openxmlformats.org/officeDocument/2006/relationships/image"/><Relationship Id="rId215" Target="media/46161336aaa1fe5c9897d21eb406368b1b89664a.png" Type="http://schemas.openxmlformats.org/officeDocument/2006/relationships/image"/><Relationship Id="rId216" Target="media/f700317ec38426027e3b8f10f2b3c138ab56527f.png" Type="http://schemas.openxmlformats.org/officeDocument/2006/relationships/image"/><Relationship Id="rId217" Target="media/72039dc6389f2d0fee3b25c0e45322dd6c7d8aab.png" Type="http://schemas.openxmlformats.org/officeDocument/2006/relationships/image"/><Relationship Id="rId218" Target="media/dd26119acf80ffcc1d3c737b9abdc6478f03df0d.png" Type="http://schemas.openxmlformats.org/officeDocument/2006/relationships/image"/><Relationship Id="rId219" Target="media/88d2713b7e058f7992f2b3626227bef5553f3cc6.png" Type="http://schemas.openxmlformats.org/officeDocument/2006/relationships/image"/><Relationship Id="rId220" Target="media/8ca6d23550b824cb4b79c9cff2f0aca0ead6accf.png" Type="http://schemas.openxmlformats.org/officeDocument/2006/relationships/image"/><Relationship Id="rId221" Target="media/e90f0b11d82776a017dfef3fc427e27ac905d4bc.png" Type="http://schemas.openxmlformats.org/officeDocument/2006/relationships/image"/><Relationship Id="rId222" Target="media/a292a42ae8ffa10da3021466078307dc919edec2.png" Type="http://schemas.openxmlformats.org/officeDocument/2006/relationships/image"/><Relationship Id="rId223" Target="media/cef42b92b2fe3edd58c1662453c3d3306c50568a.png" Type="http://schemas.openxmlformats.org/officeDocument/2006/relationships/image"/><Relationship Id="rId224" Target="media/c8cfd1df502e1c40b5804f2ec5a8c1af153ecaf9.png" Type="http://schemas.openxmlformats.org/officeDocument/2006/relationships/image"/><Relationship Id="rId225" Target="media/ceda61ddb7dc70f609f54601d4aa4ba105cf9c52.png" Type="http://schemas.openxmlformats.org/officeDocument/2006/relationships/image"/><Relationship Id="rId226" Target="media/3876456d44ba9b23808d1d3561b12c2be2cd807d.png" Type="http://schemas.openxmlformats.org/officeDocument/2006/relationships/image"/><Relationship Id="rId227" Target="media/da99c5f5420c67ffba6f5d058f678640bda9a31b.png" Type="http://schemas.openxmlformats.org/officeDocument/2006/relationships/image"/><Relationship Id="rId228" Target="media/33009da2db2f0ea1f2fc7614f45f271f2d23c11c.png" Type="http://schemas.openxmlformats.org/officeDocument/2006/relationships/image"/><Relationship Id="rId229" Target="media/5320e7d0b92d11012c9ccd17926961d4a4bee897.png" Type="http://schemas.openxmlformats.org/officeDocument/2006/relationships/image"/><Relationship Id="rId230" Target="media/a2316d5b11ab5b31a5a9966d7ba884fac38c1265.png" Type="http://schemas.openxmlformats.org/officeDocument/2006/relationships/image"/><Relationship Id="rId231" Target="media/6079310665d3ec6b15530441b6fd27cf6232cd22.png" Type="http://schemas.openxmlformats.org/officeDocument/2006/relationships/image"/><Relationship Id="rId232" Target="media/a34c5c335e1eea830c4aba924780d8451d823039.png" Type="http://schemas.openxmlformats.org/officeDocument/2006/relationships/image"/><Relationship Id="rId233" Target="media/e561da45ab32e9c87b22cd6886f342742441c0ae.png" Type="http://schemas.openxmlformats.org/officeDocument/2006/relationships/image"/><Relationship Id="rId234" Target="media/9027e8c868cb1d36583a253bde8bc5b3dae5599e.png" Type="http://schemas.openxmlformats.org/officeDocument/2006/relationships/image"/><Relationship Id="rId235" Target="media/99b000406adab1971414a23c9fb9360fb2eef475.png" Type="http://schemas.openxmlformats.org/officeDocument/2006/relationships/image"/><Relationship Id="rId236" Target="media/76081f8d8f5544e267a65d4b005da097ddaacea7.png" Type="http://schemas.openxmlformats.org/officeDocument/2006/relationships/image"/><Relationship Id="rId237" Target="media/cf8da8baf689a174df57c4d380656786e7efe350.png" Type="http://schemas.openxmlformats.org/officeDocument/2006/relationships/image"/><Relationship Id="rId238" Target="media/50d5f7e827be402988e67ee439e88e4dea4bce3a.png" Type="http://schemas.openxmlformats.org/officeDocument/2006/relationships/image"/><Relationship Id="rId239" Target="media/c002b30933731060b7329218aa08baace7de5b84.png" Type="http://schemas.openxmlformats.org/officeDocument/2006/relationships/image"/><Relationship Id="rId240" Target="media/ee5e2a19d8703657e69dd22236cd24944392f419.png" Type="http://schemas.openxmlformats.org/officeDocument/2006/relationships/image"/><Relationship Id="rId241" Target="media/012dc85c90bd9c1f6e289bfc4b802f05148533d8.png" Type="http://schemas.openxmlformats.org/officeDocument/2006/relationships/image"/><Relationship Id="rId242" Target="media/5cc340de433f24afca0fc97a54c360c22adb9547.png" Type="http://schemas.openxmlformats.org/officeDocument/2006/relationships/image"/><Relationship Id="rId243" Target="media/6d98cda7354c574dd8c628403e842ddabe39743a.png" Type="http://schemas.openxmlformats.org/officeDocument/2006/relationships/image"/><Relationship Id="rId244" Target="media/4c7a846fa8aa7fca3e04c9f34bc7999a8ff338de.png" Type="http://schemas.openxmlformats.org/officeDocument/2006/relationships/image"/><Relationship Id="rId245" Target="media/5ab5dce138e136ad1f50b9018c266d193d440dc5.png" Type="http://schemas.openxmlformats.org/officeDocument/2006/relationships/image"/><Relationship Id="rId246" Target="media/53fe57f55846d83123cdc7cf041eea71b0a9a99c.png" Type="http://schemas.openxmlformats.org/officeDocument/2006/relationships/image"/><Relationship Id="rId247" Target="media/7fa5922cae2d4a0a3e530ecf3e9762ed89aa8a33.png" Type="http://schemas.openxmlformats.org/officeDocument/2006/relationships/image"/><Relationship Id="rId248" Target="media/3049647d6c1e0fc22a08f7b7ff5ec90e142c3937.png" Type="http://schemas.openxmlformats.org/officeDocument/2006/relationships/image"/><Relationship Id="rId249" Target="media/bbdfdd997fbc407477f3cde0be304b64fe1261ee.png" Type="http://schemas.openxmlformats.org/officeDocument/2006/relationships/image"/><Relationship Id="rId250" Target="media/818fa4282922ea543584a790d1f4091b5f457621.png" Type="http://schemas.openxmlformats.org/officeDocument/2006/relationships/image"/><Relationship Id="rId251" Target="media/e7bd9cb9efaa8c86c34594fb3a0349dc54bd38fa.png" Type="http://schemas.openxmlformats.org/officeDocument/2006/relationships/image"/><Relationship Id="rId252" Target="media/78905924507a058b631ca8df57244ede084fe1de.png" Type="http://schemas.openxmlformats.org/officeDocument/2006/relationships/image"/><Relationship Id="rId253" Target="media/f44b45c7f54b9dcf93165727472834e5db074db8.png" Type="http://schemas.openxmlformats.org/officeDocument/2006/relationships/image"/><Relationship Id="rId254" Target="media/83dc32318da747d75f83d3db2042d22203aef718.png" Type="http://schemas.openxmlformats.org/officeDocument/2006/relationships/image"/><Relationship Id="rId255" Target="media/3ed5d59b43a3e22f82603bac8c25e69a83a88a35.png" Type="http://schemas.openxmlformats.org/officeDocument/2006/relationships/image"/><Relationship Id="rId256" Target="media/5edd283dfab5863e204d839239197a35ff9b2de9.png" Type="http://schemas.openxmlformats.org/officeDocument/2006/relationships/image"/><Relationship Id="rId257" Target="media/b752323eb06ec2f731295efcb3d30e782a26ff12.png" Type="http://schemas.openxmlformats.org/officeDocument/2006/relationships/image"/><Relationship Id="rId258" Target="media/70472a846834fb7d38c62ec9bfc7ad3ab2a09dc4.png" Type="http://schemas.openxmlformats.org/officeDocument/2006/relationships/image"/><Relationship Id="rId259" Target="media/7b07a48bd02a14e7926ecfe7c8e861804da7a46b.png" Type="http://schemas.openxmlformats.org/officeDocument/2006/relationships/image"/><Relationship Id="rId260" Target="media/644c126bd411643e0055fcc7b9e57a48d68d18fb.png" Type="http://schemas.openxmlformats.org/officeDocument/2006/relationships/image"/><Relationship Id="rId261" Target="media/50f0bfdbb2d448ec93d133d6316c99a8c46b273c.png" Type="http://schemas.openxmlformats.org/officeDocument/2006/relationships/image"/><Relationship Id="rId262" Target="media/0aa17e88f44e1e63e96df26fb552938cfe7a1fb0.png" Type="http://schemas.openxmlformats.org/officeDocument/2006/relationships/image"/><Relationship Id="rId263" Target="media/9e43ed91368c0a157409e5fba944976916516ed2.png" Type="http://schemas.openxmlformats.org/officeDocument/2006/relationships/image"/><Relationship Id="rId264" Target="media/09683a216ab8176477e64a0d2a62873e032de727.png" Type="http://schemas.openxmlformats.org/officeDocument/2006/relationships/image"/><Relationship Id="rId265" Target="media/dcb36629addba6705fb486d5bd05443a434e774c.png" Type="http://schemas.openxmlformats.org/officeDocument/2006/relationships/image"/><Relationship Id="rId266" Target="media/f7064d2a48f405e9230781aad1091d977ed0c4f2.png" Type="http://schemas.openxmlformats.org/officeDocument/2006/relationships/image"/><Relationship Id="rId267" Target="media/8b773541aedb09df71ed4ef758d353b2f45362ac.png" Type="http://schemas.openxmlformats.org/officeDocument/2006/relationships/image"/><Relationship Id="rId268" Target="media/2d71cf5af4272bb87a2f65280bdaff4df77a6a1a.png" Type="http://schemas.openxmlformats.org/officeDocument/2006/relationships/image"/><Relationship Id="rId269" Target="media/036857c03df7b8d623d057093e58e47468c9124f.png" Type="http://schemas.openxmlformats.org/officeDocument/2006/relationships/image"/><Relationship Id="rId270" Target="media/e56ede6e62403fd1e49c433e603f14cdca348acd.png" Type="http://schemas.openxmlformats.org/officeDocument/2006/relationships/image"/><Relationship Id="rId271" Target="media/10307c680d16037bc8373e343357661284ee5f9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dc:title>
  <dc:subject>Summary handouts</dc:subject>
  <cp:category>Student Book</cp:category>
</cp:coreProperties>
</file>