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equity at one point in time. </w:t>
      </w:r>
      <w:r>
        <w:rPr>
          <w:sz w:val="19"/>
          <w:szCs w:val="19"/>
        </w:rPr>
        <w:t xml:space="preserve">It answers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without a current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All the amounts come from the same records as the earlier chapters on receivables, inventory, investments and long-lived assets. </w:t>
      </w:r>
      <w:r>
        <w:rPr>
          <w:sz w:val="19"/>
          <w:szCs w:val="19"/>
        </w:rPr>
        <w:t xml:space="preserve">For example, the equity-method investments include Jordan Glass Co. from, and goodwill fell after the impairments.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flexibility   ·   lenders   ·   company's   ·   unexpected   ·   coming   ·   questions   ·   current   ·   separates   ·   subtotal   ·   short-term   ·   solvency   ·   classified   ·   instead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depreciation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tcMar>
              <w:top w:type="dxa" w:w="50"/>
              <w:left w:type="dxa" w:w="110"/>
              <w:bottom w:type="dxa" w:w="50"/>
              <w:right w:type="dxa" w:w="110"/>
            </w:tcMar>
          </w:tcPr>
          <w:p>
            <w:pPr>
              <w:spacing w:before="28" w:after="28"/>
            </w:pPr>
            <w:r>
              <w:rPr>
                <w:sz w:val="15"/>
                <w:szCs w:val="15"/>
              </w:rPr>
              <w:t xml:space="preserve">Brand (indefinite-lived)</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Long-term debt, less current portion</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tcMar>
              <w:top w:type="dxa" w:w="50"/>
              <w:left w:type="dxa" w:w="110"/>
              <w:bottom w:type="dxa" w:w="50"/>
              <w:right w:type="dxa" w:w="110"/>
            </w:tcMar>
          </w:tcPr>
          <w:p>
            <w:pPr>
              <w:spacing w:before="28" w:after="28"/>
            </w:pPr>
            <w:r>
              <w:rPr>
                <w:sz w:val="15"/>
                <w:szCs w:val="15"/>
              </w:rPr>
              <w:t xml:space="preserve">Commitments and contingencies (Note 12)</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Income taxes payable   ·   Contract liabilities   ·   Other noncurrent assets   ·   Current portion of long-term debt   ·   Additional paid-in capital   ·   Retained earnings   ·   available-for-sale   ·   receivable   ·   Accounts payable   ·   outstanding</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25–30</w:t>
      </w:r>
    </w:p>
    <w:p>
      <w:pPr>
        <w:spacing w:before="20" w:after="20" w:line="360" w:lineRule="auto"/>
        <w:ind w:left="200"/>
      </w:pPr>
      <w:r>
        <w:rPr>
          <w:sz w:val="19"/>
          <w:szCs w:val="19"/>
        </w:rPr>
        <w:t xml:space="preserve">Read the figure from the top. </w:t>
      </w:r>
      <w:r>
        <w:rPr>
          <w:sz w:val="19"/>
          <w:szCs w:val="19"/>
        </w:rPr>
        <w:t xml:space="preserve">Current assets come first, from cash down to assets held for sale. </w:t>
      </w:r>
      <w:r>
        <w:rPr>
          <w:sz w:val="19"/>
          <w:szCs w:val="19"/>
        </w:rPr>
        <w:t xml:space="preserve">Then come the noncurrent assets: investments, property, plant and equipment,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w:t>
      </w:r>
      <w:r>
        <w:rPr>
          <w:sz w:val="19"/>
          <w:szCs w:val="19"/>
        </w:rPr>
        <w:t xml:space="preserve">Liabilities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same order, and equity comes last.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accounts, such as the allowance for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losses and accumulated depreciation, are shown with the asset they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line Commitments and contingencies has no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contingencies   ·   Contra   ·   reduce   ·   credit   ·   intangible   ·   follow   ·   amount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 noncurrent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subtotal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 All the amounts come from the same records as the earlier chapters on receivables, inventory, investments and long-lived assets. For example, the equity-method investments include Jordan Glass Co. from, and goodwill fell after the impairments.</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using current assets or by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It takes about 32 days to sell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34 days to collect from customers: 66 days in total. </w:t>
      </w:r>
      <w:r>
        <w:rPr>
          <w:sz w:val="19"/>
          <w:szCs w:val="19"/>
        </w:rPr>
        <w:t xml:space="preserve">Because the cycle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than a year, Orontes uses one year to classify its items. </w:t>
      </w:r>
      <w:r>
        <w:rPr>
          <w:sz w:val="19"/>
          <w:szCs w:val="19"/>
        </w:rPr>
        <w:t xml:space="preserve">Some assets that look current are not. </w:t>
      </w:r>
      <w:r>
        <w:rPr>
          <w:sz w:val="19"/>
          <w:szCs w:val="19"/>
        </w:rPr>
        <w:t xml:space="preserve">Restricted cash set aside to repay long-term debt or to build a plant is noncurrent. </w:t>
      </w:r>
      <w:r>
        <w:rPr>
          <w:sz w:val="19"/>
          <w:szCs w:val="19"/>
        </w:rPr>
        <w:t xml:space="preserve">So are long-term investments,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will not be collected within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cash surrender value of life insurance, and long-term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   shorter   ·   average   ·   divided   ·   collecting   ·   settle   ·   obligations   ·   whichever   ·   receivables   ·   prepayments   ·   creating   ·   inventory</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On the liability side,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long-term debt is current, because that part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come directly from these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Orontes at the end of 2025, working capital is $14,188,100 − $4,280,000 = $9,908,100, and the current ratio is 3.31. </w:t>
      </w:r>
      <w:r>
        <w:rPr>
          <w:sz w:val="19"/>
          <w:szCs w:val="19"/>
        </w:rPr>
        <w:t xml:space="preserve">A year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principal   ·   analyzes   ·   portion   ·   inventory   ·   totals   ·   measures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19–22</w:t>
      </w:r>
    </w:p>
    <w:p>
      <w:pPr>
        <w:spacing w:before="20" w:after="20" w:line="360" w:lineRule="auto"/>
        <w:ind w:left="200"/>
      </w:pPr>
      <w:r>
        <w:rPr>
          <w:sz w:val="19"/>
          <w:szCs w:val="19"/>
        </w:rPr>
        <w:t xml:space="preserve">Paying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 cash reduces current assets and current liabilities by the same amount: working capital does not change, but the current ratio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debt from current to noncurrent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changes   ·   prepayments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23–26</w:t>
      </w:r>
    </w:p>
    <w:p>
      <w:pPr>
        <w:spacing w:before="20" w:after="20" w:line="360" w:lineRule="auto"/>
        <w:ind w:left="200"/>
      </w:pPr>
      <w:r>
        <w:rPr>
          <w:sz w:val="19"/>
          <w:szCs w:val="19"/>
        </w:rPr>
        <w:t xml:space="preserve">Next year's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liability; the rest of the debt stays noncurrent.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expects to sell it within the year, so it is a current asset,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PP&amp;E. </w:t>
      </w:r>
      <w:r>
        <w:rPr>
          <w:sz w:val="19"/>
          <w:szCs w:val="19"/>
        </w:rPr>
        <w:t xml:space="preserve">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outside   ·   installment   ·   equity-method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p>
      <w:pPr>
        <w:spacing w:before="20" w:after="20" w:line="360" w:lineRule="auto"/>
        <w:ind w:left="200"/>
      </w:pPr>
      <w:r>
        <w:rPr>
          <w:sz w:val="19"/>
          <w:szCs w:val="19"/>
        </w:rPr>
        <w:t xml:space="preserve">The first two are done. Classify the other four and give a reason.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operating cycle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دورة التشغيل   ·   restricted cash   ·   current liabilities   ·   current assets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divided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restricted cash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It takes about 32 days to sell its inventory and 34 days to collect from customers: 66 days in total. Because the cycle is shorter than a year, Orontes uses one year to classify its items. Some assets that look current are not. Restricted cash set aside to repay long-term debt or to build a plant is noncurrent. So are long-term investments, receivables that will not be collected within the period, the cash surrender value of life insurance, and long-term prepayments.</w:t>
      </w:r>
    </w:p>
    <w:p>
      <w:pPr>
        <w:spacing w:before="20" w:after="20"/>
        <w:ind w:left="240" w:hanging="240"/>
      </w:pPr>
      <w:r>
        <w:rPr>
          <w:b/>
          <w:bCs/>
          <w:color w:val="353A7C"/>
          <w:sz w:val="15"/>
          <w:szCs w:val="15"/>
        </w:rPr>
        <w:t xml:space="preserve">Summary 2   </w:t>
      </w:r>
      <w:r>
        <w:rPr>
          <w:color w:val="6B7280"/>
          <w:sz w:val="15"/>
          <w:szCs w:val="15"/>
        </w:rPr>
        <w:t xml:space="preserve">On the liability side, current portion of long-term debt is current, because that part of the principal is due within a year. Two measures come directly from these totals. 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covenant,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statements are issued, the lender gives a waiver for more than one year, or a grace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exists and the company will probably cure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breaks   ·   debt-to-equity   ·   waiver   ·   Orontes   ·   classification   ·   period   ·   expect   ·   installments   ·   agreements   ·   callable   ·   repayment   ·   violation</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Debt that is due on demand is always current. </w:t>
      </w:r>
      <w:r>
        <w:rPr>
          <w:sz w:val="19"/>
          <w:szCs w:val="19"/>
        </w:rPr>
        <w:t xml:space="preserve">Short-term debt can be shown as noncurrent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the reporting date, does the company have a right to defer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for at least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months? A waiver or refinancing obtained after the reporting date does not count. </w:t>
      </w:r>
      <w:r>
        <w:rPr>
          <w:sz w:val="19"/>
          <w:szCs w:val="19"/>
        </w:rPr>
        <w:t xml:space="preserve">U.S. GAAP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refinance   ·   through   ·   balance   ·   counts   ·   question   ·   qualifying   ·   issuing   ·   signing   ·   twelve   ·   settlement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85"/>
        <w:gridCol w:w="28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94"/>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06"/>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94"/>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506"/>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94"/>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06"/>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94"/>
            <w:tcMar>
              <w:top w:type="dxa" w:w="50"/>
              <w:left w:type="dxa" w:w="110"/>
              <w:bottom w:type="dxa" w:w="50"/>
              <w:right w:type="dxa" w:w="110"/>
            </w:tcMar>
          </w:tcPr>
          <w:p>
            <w:pPr>
              <w:spacing w:before="28" w:after="28"/>
            </w:pPr>
            <w:r>
              <w:rPr>
                <w:sz w:val="15"/>
                <w:szCs w:val="15"/>
              </w:rPr>
              <w:t xml:space="preserve">Noncurrent</w:t>
            </w:r>
          </w:p>
        </w:tc>
        <w:tc>
          <w:tcPr>
            <w:tcW w:type="pct" w:w="1506"/>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94"/>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06"/>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94"/>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06"/>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94"/>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06"/>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Ignored unless it removes the right to defer   ·   All non-current   ·   Noncurrent (intent and demonstrated ability)   ·   current liabilities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Noncurrent (intent and demonstrated 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breaks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Ignored unless it removes the right to defer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violation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issuing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balance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shows its deferred tax liability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contingency is an existing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may cause a loss, such as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determinable   ·   situation   ·   enforceable   ·   appears   ·   year-end   ·   noncurrent   ·   lawsuit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liability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estimated)</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accrual   ·   No disclosure (except guarantees)   ·   Disclose carefully, without misleading   ·   current ratio</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records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15–24</w:t>
      </w:r>
    </w:p>
    <w:p>
      <w:pPr>
        <w:spacing w:before="20" w:after="20" w:line="360" w:lineRule="auto"/>
        <w:ind w:left="200"/>
      </w:pPr>
      <w:r>
        <w:rPr>
          <w:sz w:val="19"/>
          <w:szCs w:val="19"/>
        </w:rPr>
        <w:t xml:space="preserve">Subsequent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happen after the balance sheet date but before the statements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If an event gives more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existed at year-end, the company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If the condition arose after year-end, the company only discloses it. </w:t>
      </w:r>
      <w:r>
        <w:rPr>
          <w:sz w:val="19"/>
          <w:szCs w:val="19"/>
        </w:rPr>
        <w:t xml:space="preserve">Finally, the notes begin with a summary of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contra-assets   ·   depreciation   ·   already   ·   midpoint   ·   events   ·   information   ·   issued   ·   provision   ·   adjusts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In U.S. GAAP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use allowance for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answers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cycle   ·   subsequent events   ·   right of setoff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issued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adjusts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lawsuit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accrual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answers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right of setoff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does nothing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subsequent events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In U.S. GAAP answers, use allowance for contra-assets, accrued liability or loss contingency for liabilities, and never call either a reserve.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Orontes's land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allowance for credit losses and useful lives.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Internally   ·   year-end   ·   buildings   ·   Finally   ·   Important   ·   obligations   ·   missing   ·   workforce   ·   improve   ·   estimates   ·   valuation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net change in cash in the statement of cash flows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Orontes's OCI of $(1,125) does not go into retained earnings. </w:t>
      </w:r>
      <w:r>
        <w:rPr>
          <w:sz w:val="19"/>
          <w:szCs w:val="19"/>
        </w:rPr>
        <w:t xml:space="preserve">It goes into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balance-sheet   ·   accumulated   ·   retained   ·   explains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market value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shares   ·   compare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Book value is not market value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Account / memo (USD 000)</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Balance / details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Side</w:t>
            </w:r>
          </w:p>
        </w:tc>
      </w:tr>
      <w:tr>
        <w:tc>
          <w:tcPr>
            <w:tcW w:type="pct" w:w="2042"/>
            <w:tcMar>
              <w:top w:type="dxa" w:w="50"/>
              <w:left w:type="dxa" w:w="110"/>
              <w:bottom w:type="dxa" w:w="50"/>
              <w:right w:type="dxa" w:w="110"/>
            </w:tcMar>
          </w:tcPr>
          <w:p>
            <w:pPr>
              <w:spacing w:before="28" w:after="28"/>
            </w:pPr>
            <w:r>
              <w:rPr>
                <w:sz w:val="15"/>
                <w:szCs w:val="15"/>
              </w:rPr>
              <w:t xml:space="preserve">Cash</w:t>
            </w:r>
          </w:p>
        </w:tc>
        <w:tc>
          <w:tcPr>
            <w:tcW w:type="pct" w:w="2200"/>
            <w:tcMar>
              <w:top w:type="dxa" w:w="50"/>
              <w:left w:type="dxa" w:w="110"/>
              <w:bottom w:type="dxa" w:w="50"/>
              <w:right w:type="dxa" w:w="110"/>
            </w:tcMar>
          </w:tcPr>
          <w:p>
            <w:pPr>
              <w:spacing w:before="28" w:after="28"/>
            </w:pPr>
            <w:r>
              <w:rPr>
                <w:sz w:val="15"/>
                <w:szCs w:val="15"/>
              </w:rPr>
              <w:t xml:space="preserve">1,050</w:t>
            </w:r>
          </w:p>
        </w:tc>
        <w:tc>
          <w:tcPr>
            <w:tcW w:type="pct" w:w="758"/>
            <w:tcMar>
              <w:top w:type="dxa" w:w="50"/>
              <w:left w:type="dxa" w:w="110"/>
              <w:bottom w:type="dxa" w:w="50"/>
              <w:right w:type="dxa" w:w="110"/>
            </w:tcMar>
          </w:tcPr>
          <w:p>
            <w:pPr>
              <w:spacing w:before="28" w:after="28"/>
            </w:pPr>
            <w:r>
              <w:rPr>
                <w:sz w:val="15"/>
                <w:szCs w:val="15"/>
              </w:rPr>
              <w:t xml:space="preserve">debit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2200"/>
            <w:shd w:fill="FBFAF6" w:val="clear"/>
            <w:tcMar>
              <w:top w:type="dxa" w:w="50"/>
              <w:left w:type="dxa" w:w="110"/>
              <w:bottom w:type="dxa" w:w="50"/>
              <w:right w:type="dxa" w:w="110"/>
            </w:tcMar>
          </w:tcPr>
          <w:p>
            <w:pPr>
              <w:spacing w:before="28" w:after="28"/>
            </w:pPr>
            <w:r>
              <w:rPr>
                <w:sz w:val="15"/>
                <w:szCs w:val="15"/>
              </w:rPr>
              <w:t xml:space="preserve">300</w:t>
            </w:r>
          </w:p>
        </w:tc>
        <w:tc>
          <w:tcPr>
            <w:tcW w:type="pct" w:w="758"/>
            <w:shd w:fill="FBFAF6" w:val="clear"/>
            <w:tcMar>
              <w:top w:type="dxa" w:w="50"/>
              <w:left w:type="dxa" w:w="110"/>
              <w:bottom w:type="dxa" w:w="50"/>
              <w:right w:type="dxa" w:w="110"/>
            </w:tcMar>
          </w:tcPr>
          <w:p>
            <w:pPr>
              <w:spacing w:before="28" w:after="28"/>
            </w:pPr>
            <w:r>
              <w:rPr>
                <w:sz w:val="15"/>
                <w:szCs w:val="15"/>
              </w:rPr>
              <w:t xml:space="preserve">debit</w:t>
            </w:r>
          </w:p>
        </w:tc>
      </w:tr>
      <w:tr>
        <w:tc>
          <w:tcPr>
            <w:tcW w:type="pct" w:w="2042"/>
            <w:tcMar>
              <w:top w:type="dxa" w:w="50"/>
              <w:left w:type="dxa" w:w="110"/>
              <w:bottom w:type="dxa" w:w="50"/>
              <w:right w:type="dxa" w:w="110"/>
            </w:tcMar>
          </w:tcPr>
          <w:p>
            <w:pPr>
              <w:spacing w:before="28" w:after="28"/>
            </w:pPr>
            <w:r>
              <w:rPr>
                <w:sz w:val="15"/>
                <w:szCs w:val="15"/>
              </w:rPr>
              <w:t xml:space="preserve">Allowance for credit losses</w:t>
            </w:r>
          </w:p>
        </w:tc>
        <w:tc>
          <w:tcPr>
            <w:tcW w:type="pct" w:w="2200"/>
            <w:tcMar>
              <w:top w:type="dxa" w:w="50"/>
              <w:left w:type="dxa" w:w="110"/>
              <w:bottom w:type="dxa" w:w="50"/>
              <w:right w:type="dxa" w:w="110"/>
            </w:tcMar>
          </w:tcPr>
          <w:p>
            <w:pPr>
              <w:spacing w:before="28" w:after="28"/>
            </w:pPr>
            <w:r>
              <w:rPr>
                <w:sz w:val="15"/>
                <w:szCs w:val="15"/>
              </w:rPr>
              <w:t xml:space="preserve">20</w:t>
            </w:r>
          </w:p>
        </w:tc>
        <w:tc>
          <w:tcPr>
            <w:tcW w:type="pct" w:w="758"/>
            <w:tcMar>
              <w:top w:type="dxa" w:w="50"/>
              <w:left w:type="dxa" w:w="110"/>
              <w:bottom w:type="dxa" w:w="50"/>
              <w:right w:type="dxa" w:w="110"/>
            </w:tcMar>
          </w:tcPr>
          <w:p>
            <w:pPr>
              <w:spacing w:before="28" w:after="28"/>
            </w:pPr>
            <w:r>
              <w:rPr>
                <w:sz w:val="15"/>
                <w:szCs w:val="15"/>
              </w:rPr>
              <w:t xml:space="preserve">credit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Inventory</w:t>
            </w:r>
          </w:p>
        </w:tc>
        <w:tc>
          <w:tcPr>
            <w:tcW w:type="pct" w:w="2200"/>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debit</w:t>
            </w:r>
          </w:p>
        </w:tc>
      </w:tr>
      <w:tr>
        <w:tc>
          <w:tcPr>
            <w:tcW w:type="pct" w:w="2042"/>
            <w:tcMar>
              <w:top w:type="dxa" w:w="50"/>
              <w:left w:type="dxa" w:w="110"/>
              <w:bottom w:type="dxa" w:w="50"/>
              <w:right w:type="dxa" w:w="110"/>
            </w:tcMar>
          </w:tcPr>
          <w:p>
            <w:pPr>
              <w:spacing w:before="28" w:after="28"/>
            </w:pPr>
            <w:r>
              <w:rPr>
                <w:sz w:val="15"/>
                <w:szCs w:val="15"/>
              </w:rPr>
              <w:t xml:space="preserve">Prepaid rent</w:t>
            </w:r>
          </w:p>
        </w:tc>
        <w:tc>
          <w:tcPr>
            <w:tcW w:type="pct" w:w="2200"/>
            <w:tcMar>
              <w:top w:type="dxa" w:w="50"/>
              <w:left w:type="dxa" w:w="110"/>
              <w:bottom w:type="dxa" w:w="50"/>
              <w:right w:type="dxa" w:w="110"/>
            </w:tcMar>
          </w:tcPr>
          <w:p>
            <w:pPr>
              <w:spacing w:before="28" w:after="28"/>
            </w:pPr>
            <w:r>
              <w:rPr>
                <w:sz w:val="15"/>
                <w:szCs w:val="15"/>
              </w:rPr>
              <w:t xml:space="preserve">24</w:t>
            </w:r>
          </w:p>
        </w:tc>
        <w:tc>
          <w:tcPr>
            <w:tcW w:type="pct" w:w="758"/>
            <w:tcMar>
              <w:top w:type="dxa" w:w="50"/>
              <w:left w:type="dxa" w:w="110"/>
              <w:bottom w:type="dxa" w:w="50"/>
              <w:right w:type="dxa" w:w="110"/>
            </w:tcMar>
          </w:tcPr>
          <w:p>
            <w:pPr>
              <w:spacing w:before="28" w:after="28"/>
            </w:pPr>
            <w:r>
              <w:rPr>
                <w:sz w:val="15"/>
                <w:szCs w:val="15"/>
              </w:rPr>
              <w:t xml:space="preserve">debit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Land</w:t>
            </w:r>
          </w:p>
        </w:tc>
        <w:tc>
          <w:tcPr>
            <w:tcW w:type="pct" w:w="2200"/>
            <w:shd w:fill="FBFAF6" w:val="clear"/>
            <w:tcMar>
              <w:top w:type="dxa" w:w="50"/>
              <w:left w:type="dxa" w:w="110"/>
              <w:bottom w:type="dxa" w:w="50"/>
              <w:right w:type="dxa" w:w="110"/>
            </w:tcMar>
          </w:tcPr>
          <w:p>
            <w:pPr>
              <w:spacing w:before="28" w:after="28"/>
            </w:pPr>
            <w:r>
              <w:rPr>
                <w:sz w:val="15"/>
                <w:szCs w:val="15"/>
              </w:rPr>
              <w:t xml:space="preserve">936</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042"/>
            <w:tcMar>
              <w:top w:type="dxa" w:w="50"/>
              <w:left w:type="dxa" w:w="110"/>
              <w:bottom w:type="dxa" w:w="50"/>
              <w:right w:type="dxa" w:w="110"/>
            </w:tcMar>
          </w:tcPr>
          <w:p>
            <w:pPr>
              <w:spacing w:before="28" w:after="28"/>
            </w:pPr>
            <w:r>
              <w:rPr>
                <w:sz w:val="15"/>
                <w:szCs w:val="15"/>
              </w:rPr>
              <w:t xml:space="preserve">Equipment</w:t>
            </w:r>
          </w:p>
        </w:tc>
        <w:tc>
          <w:tcPr>
            <w:tcW w:type="pct" w:w="2200"/>
            <w:tcMar>
              <w:top w:type="dxa" w:w="50"/>
              <w:left w:type="dxa" w:w="110"/>
              <w:bottom w:type="dxa" w:w="50"/>
              <w:right w:type="dxa" w:w="110"/>
            </w:tcMar>
          </w:tcPr>
          <w:p>
            <w:pPr>
              <w:spacing w:before="28" w:after="28"/>
            </w:pPr>
            <w:r>
              <w:rPr>
                <w:sz w:val="15"/>
                <w:szCs w:val="15"/>
              </w:rPr>
              <w:t xml:space="preserve">4,200</w:t>
            </w:r>
          </w:p>
        </w:tc>
        <w:tc>
          <w:tcPr>
            <w:tcW w:type="pct" w:w="758"/>
            <w:tcMar>
              <w:top w:type="dxa" w:w="50"/>
              <w:left w:type="dxa" w:w="110"/>
              <w:bottom w:type="dxa" w:w="50"/>
              <w:right w:type="dxa" w:w="110"/>
            </w:tcMar>
          </w:tcPr>
          <w:p>
            <w:pPr>
              <w:spacing w:before="28" w:after="28"/>
            </w:pPr>
            <w:r>
              <w:rPr>
                <w:sz w:val="15"/>
                <w:szCs w:val="15"/>
              </w:rPr>
              <w:t xml:space="preserve">debit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200"/>
            <w:shd w:fill="FBFAF6" w:val="clear"/>
            <w:tcMar>
              <w:top w:type="dxa" w:w="50"/>
              <w:left w:type="dxa" w:w="110"/>
              <w:bottom w:type="dxa" w:w="50"/>
              <w:right w:type="dxa" w:w="110"/>
            </w:tcMar>
          </w:tcPr>
          <w:p>
            <w:pPr>
              <w:spacing w:before="28" w:after="28"/>
            </w:pPr>
            <w:r>
              <w:rPr>
                <w:sz w:val="15"/>
                <w:szCs w:val="15"/>
              </w:rPr>
              <w:t xml:space="preserve">900</w:t>
            </w:r>
          </w:p>
        </w:tc>
        <w:tc>
          <w:tcPr>
            <w:tcW w:type="pct" w:w="758"/>
            <w:shd w:fill="FBFAF6" w:val="clear"/>
            <w:tcMar>
              <w:top w:type="dxa" w:w="50"/>
              <w:left w:type="dxa" w:w="110"/>
              <w:bottom w:type="dxa" w:w="50"/>
              <w:right w:type="dxa" w:w="110"/>
            </w:tcMar>
          </w:tcPr>
          <w:p>
            <w:pPr>
              <w:spacing w:before="28" w:after="28"/>
            </w:pPr>
            <w:r>
              <w:rPr>
                <w:sz w:val="15"/>
                <w:szCs w:val="15"/>
              </w:rPr>
              <w:t xml:space="preserve">credit</w:t>
            </w:r>
          </w:p>
        </w:tc>
      </w:tr>
      <w:tr>
        <w:tc>
          <w:tcPr>
            <w:tcW w:type="pct" w:w="2042"/>
            <w:tcMar>
              <w:top w:type="dxa" w:w="50"/>
              <w:left w:type="dxa" w:w="110"/>
              <w:bottom w:type="dxa" w:w="50"/>
              <w:right w:type="dxa" w:w="110"/>
            </w:tcMar>
          </w:tcPr>
          <w:p>
            <w:pPr>
              <w:spacing w:before="28" w:after="28"/>
            </w:pPr>
            <w:r>
              <w:rPr>
                <w:sz w:val="15"/>
                <w:szCs w:val="15"/>
              </w:rPr>
              <w:t xml:space="preserve">Accounts payable</w:t>
            </w:r>
          </w:p>
        </w:tc>
        <w:tc>
          <w:tcPr>
            <w:tcW w:type="pct" w:w="2200"/>
            <w:tcMar>
              <w:top w:type="dxa" w:w="50"/>
              <w:left w:type="dxa" w:w="110"/>
              <w:bottom w:type="dxa" w:w="50"/>
              <w:right w:type="dxa" w:w="110"/>
            </w:tcMar>
          </w:tcPr>
          <w:p>
            <w:pPr>
              <w:spacing w:before="28" w:after="28"/>
            </w:pPr>
            <w:r>
              <w:rPr>
                <w:sz w:val="15"/>
                <w:szCs w:val="15"/>
              </w:rPr>
              <w:t xml:space="preserve">380</w:t>
            </w:r>
          </w:p>
        </w:tc>
        <w:tc>
          <w:tcPr>
            <w:tcW w:type="pct" w:w="758"/>
            <w:tcMar>
              <w:top w:type="dxa" w:w="50"/>
              <w:left w:type="dxa" w:w="110"/>
              <w:bottom w:type="dxa" w:w="50"/>
              <w:right w:type="dxa" w:w="110"/>
            </w:tcMar>
          </w:tcPr>
          <w:p>
            <w:pPr>
              <w:spacing w:before="28" w:after="28"/>
            </w:pPr>
            <w:r>
              <w:rPr>
                <w:sz w:val="15"/>
                <w:szCs w:val="15"/>
              </w:rPr>
              <w:t xml:space="preserve">credit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200"/>
            <w:shd w:fill="FBFAF6" w:val="clear"/>
            <w:tcMar>
              <w:top w:type="dxa" w:w="50"/>
              <w:left w:type="dxa" w:w="110"/>
              <w:bottom w:type="dxa" w:w="50"/>
              <w:right w:type="dxa" w:w="110"/>
            </w:tcMar>
          </w:tcPr>
          <w:p>
            <w:pPr>
              <w:spacing w:before="28" w:after="28"/>
            </w:pPr>
            <w:r>
              <w:rPr>
                <w:sz w:val="15"/>
                <w:szCs w:val="15"/>
              </w:rPr>
              <w:t xml:space="preserve">50</w:t>
            </w:r>
          </w:p>
        </w:tc>
        <w:tc>
          <w:tcPr>
            <w:tcW w:type="pct" w:w="758"/>
            <w:shd w:fill="FBFAF6" w:val="clear"/>
            <w:tcMar>
              <w:top w:type="dxa" w:w="50"/>
              <w:left w:type="dxa" w:w="110"/>
              <w:bottom w:type="dxa" w:w="50"/>
              <w:right w:type="dxa" w:w="110"/>
            </w:tcMar>
          </w:tcPr>
          <w:p>
            <w:pPr>
              <w:spacing w:before="28" w:after="28"/>
            </w:pPr>
            <w:r>
              <w:rPr>
                <w:sz w:val="15"/>
                <w:szCs w:val="15"/>
              </w:rPr>
              <w:t xml:space="preserve">credit</w:t>
            </w:r>
          </w:p>
        </w:tc>
      </w:tr>
      <w:tr>
        <w:tc>
          <w:tcPr>
            <w:tcW w:type="pct" w:w="2042"/>
            <w:tcMar>
              <w:top w:type="dxa" w:w="50"/>
              <w:left w:type="dxa" w:w="110"/>
              <w:bottom w:type="dxa" w:w="50"/>
              <w:right w:type="dxa" w:w="110"/>
            </w:tcMar>
          </w:tcPr>
          <w:p>
            <w:pPr>
              <w:spacing w:before="28" w:after="28"/>
            </w:pPr>
            <w:r>
              <w:rPr>
                <w:sz w:val="15"/>
                <w:szCs w:val="15"/>
              </w:rPr>
              <w:t xml:space="preserve">Notes payable (long-term)</w:t>
            </w:r>
          </w:p>
        </w:tc>
        <w:tc>
          <w:tcPr>
            <w:tcW w:type="pct" w:w="2200"/>
            <w:tcMar>
              <w:top w:type="dxa" w:w="50"/>
              <w:left w:type="dxa" w:w="110"/>
              <w:bottom w:type="dxa" w:w="50"/>
              <w:right w:type="dxa" w:w="110"/>
            </w:tcMar>
          </w:tcPr>
          <w:p>
            <w:pPr>
              <w:spacing w:before="28" w:after="28"/>
            </w:pPr>
            <w:r>
              <w:rPr>
                <w:sz w:val="15"/>
                <w:szCs w:val="15"/>
              </w:rPr>
              <w:t xml:space="preserve">1,800</w:t>
            </w:r>
          </w:p>
        </w:tc>
        <w:tc>
          <w:tcPr>
            <w:tcW w:type="pct" w:w="758"/>
            <w:tcMar>
              <w:top w:type="dxa" w:w="50"/>
              <w:left w:type="dxa" w:w="110"/>
              <w:bottom w:type="dxa" w:w="50"/>
              <w:right w:type="dxa" w:w="110"/>
            </w:tcMar>
          </w:tcPr>
          <w:p>
            <w:pPr>
              <w:spacing w:before="28" w:after="28"/>
            </w:pPr>
            <w:r>
              <w:rPr>
                <w:sz w:val="15"/>
                <w:szCs w:val="15"/>
              </w:rPr>
              <w:t xml:space="preserve">credit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2200"/>
            <w:shd w:fill="FBFAF6" w:val="clear"/>
            <w:tcMar>
              <w:top w:type="dxa" w:w="50"/>
              <w:left w:type="dxa" w:w="110"/>
              <w:bottom w:type="dxa" w:w="50"/>
              <w:right w:type="dxa" w:w="110"/>
            </w:tcMar>
          </w:tcPr>
          <w:p>
            <w:pPr>
              <w:spacing w:before="28" w:after="28"/>
            </w:pPr>
            <w:r>
              <w:rPr>
                <w:sz w:val="15"/>
                <w:szCs w:val="15"/>
              </w:rPr>
              <w:t xml:space="preserve">600</w:t>
            </w:r>
          </w:p>
        </w:tc>
        <w:tc>
          <w:tcPr>
            <w:tcW w:type="pct" w:w="758"/>
            <w:shd w:fill="FBFAF6" w:val="clear"/>
            <w:tcMar>
              <w:top w:type="dxa" w:w="50"/>
              <w:left w:type="dxa" w:w="110"/>
              <w:bottom w:type="dxa" w:w="50"/>
              <w:right w:type="dxa" w:w="110"/>
            </w:tcMar>
          </w:tcPr>
          <w:p>
            <w:pPr>
              <w:spacing w:before="28" w:after="28"/>
            </w:pPr>
            <w:r>
              <w:rPr>
                <w:sz w:val="15"/>
                <w:szCs w:val="15"/>
              </w:rPr>
              <w:t xml:space="preserve">credit</w:t>
            </w:r>
          </w:p>
        </w:tc>
      </w:tr>
      <w:tr>
        <w:tc>
          <w:tcPr>
            <w:tcW w:type="pct" w:w="2042"/>
            <w:tcMar>
              <w:top w:type="dxa" w:w="50"/>
              <w:left w:type="dxa" w:w="110"/>
              <w:bottom w:type="dxa" w:w="50"/>
              <w:right w:type="dxa" w:w="110"/>
            </w:tcMar>
          </w:tcPr>
          <w:p>
            <w:pPr>
              <w:spacing w:before="28" w:after="28"/>
            </w:pPr>
            <w:r>
              <w:rPr>
                <w:sz w:val="15"/>
                <w:szCs w:val="15"/>
              </w:rPr>
              <w:t xml:space="preserve">Additional paid-in capital</w:t>
            </w:r>
          </w:p>
        </w:tc>
        <w:tc>
          <w:tcPr>
            <w:tcW w:type="pct" w:w="2200"/>
            <w:tcMar>
              <w:top w:type="dxa" w:w="50"/>
              <w:left w:type="dxa" w:w="110"/>
              <w:bottom w:type="dxa" w:w="50"/>
              <w:right w:type="dxa" w:w="110"/>
            </w:tcMar>
          </w:tcPr>
          <w:p>
            <w:pPr>
              <w:spacing w:before="28" w:after="28"/>
            </w:pPr>
            <w:r>
              <w:rPr>
                <w:sz w:val="15"/>
                <w:szCs w:val="15"/>
              </w:rPr>
              <w:t xml:space="preserve">1,900</w:t>
            </w:r>
          </w:p>
        </w:tc>
        <w:tc>
          <w:tcPr>
            <w:tcW w:type="pct" w:w="758"/>
            <w:tcMar>
              <w:top w:type="dxa" w:w="50"/>
              <w:left w:type="dxa" w:w="110"/>
              <w:bottom w:type="dxa" w:w="50"/>
              <w:right w:type="dxa" w:w="110"/>
            </w:tcMar>
          </w:tcPr>
          <w:p>
            <w:pPr>
              <w:spacing w:before="28" w:after="28"/>
            </w:pPr>
            <w:r>
              <w:rPr>
                <w:sz w:val="15"/>
                <w:szCs w:val="15"/>
              </w:rPr>
              <w:t xml:space="preserve">credit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Retained earnings, December 31 (after closing)</w:t>
            </w:r>
          </w:p>
        </w:tc>
        <w:tc>
          <w:tcPr>
            <w:tcW w:type="pct" w:w="2200"/>
            <w:shd w:fill="FBFAF6" w:val="clear"/>
            <w:tcMar>
              <w:top w:type="dxa" w:w="50"/>
              <w:left w:type="dxa" w:w="110"/>
              <w:bottom w:type="dxa" w:w="50"/>
              <w:right w:type="dxa" w:w="110"/>
            </w:tcMar>
          </w:tcPr>
          <w:p>
            <w:pPr>
              <w:spacing w:before="28" w:after="28"/>
            </w:pPr>
            <w:r>
              <w:rPr>
                <w:sz w:val="15"/>
                <w:szCs w:val="15"/>
              </w:rPr>
              <w:t xml:space="preserve">1,280</w:t>
            </w:r>
          </w:p>
        </w:tc>
        <w:tc>
          <w:tcPr>
            <w:tcW w:type="pct" w:w="758"/>
            <w:shd w:fill="FBFAF6" w:val="clear"/>
            <w:tcMar>
              <w:top w:type="dxa" w:w="50"/>
              <w:left w:type="dxa" w:w="110"/>
              <w:bottom w:type="dxa" w:w="50"/>
              <w:right w:type="dxa" w:w="110"/>
            </w:tcMar>
          </w:tcPr>
          <w:p>
            <w:pPr>
              <w:spacing w:before="28" w:after="28"/>
            </w:pPr>
            <w:r>
              <w:rPr>
                <w:sz w:val="15"/>
                <w:szCs w:val="15"/>
              </w:rPr>
              <w:t xml:space="preserve">credit</w:t>
            </w:r>
          </w:p>
        </w:tc>
      </w:tr>
      <w:tr>
        <w:tc>
          <w:tcPr>
            <w:tcW w:type="pct" w:w="2042"/>
            <w:tcMar>
              <w:top w:type="dxa" w:w="50"/>
              <w:left w:type="dxa" w:w="110"/>
              <w:bottom w:type="dxa" w:w="50"/>
              <w:right w:type="dxa" w:w="110"/>
            </w:tcMar>
          </w:tcPr>
          <w:p>
            <w:pPr>
              <w:spacing w:before="28" w:after="28"/>
            </w:pPr>
            <w:r>
              <w:rPr>
                <w:sz w:val="15"/>
                <w:szCs w:val="15"/>
              </w:rPr>
              <w:t xml:space="preserve">M1</w:t>
            </w:r>
          </w:p>
        </w:tc>
        <w:tc>
          <w:tcPr>
            <w:tcW w:type="pct" w:w="2200"/>
            <w:tcMar>
              <w:top w:type="dxa" w:w="50"/>
              <w:left w:type="dxa" w:w="110"/>
              <w:bottom w:type="dxa" w:w="50"/>
              <w:right w:type="dxa" w:w="110"/>
            </w:tcMar>
          </w:tcPr>
          <w:p>
            <w:pPr>
              <w:spacing w:before="28" w:after="28"/>
            </w:pPr>
            <w:r>
              <w:rPr>
                <w:sz w:val="15"/>
                <w:szCs w:val="15"/>
              </w:rPr>
              <w:t xml:space="preserve">Of the notes payable, 300 is an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due on June 30, 2026. The rest is due in 2029.</w:t>
            </w:r>
          </w:p>
        </w:tc>
        <w:tc>
          <w:tcPr>
            <w:tcW w:type="pct" w:w="758"/>
            <w:tcMar>
              <w:top w:type="dxa" w:w="50"/>
              <w:left w:type="dxa" w:w="110"/>
              <w:bottom w:type="dxa" w:w="50"/>
              <w:right w:type="dxa" w:w="110"/>
            </w:tcMar>
          </w:tcPr>
          <w:p>
            <w:pPr>
              <w:spacing w:before="28" w:after="28"/>
            </w:pPr>
            <w:r>
              <w:rPr>
                <w:sz w:val="15"/>
                <w:szCs w:val="15"/>
              </w:rPr>
              <w:t xml:space="preserve"> </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M2</w:t>
            </w:r>
          </w:p>
        </w:tc>
        <w:tc>
          <w:tcPr>
            <w:tcW w:type="pct" w:w="2200"/>
            <w:shd w:fill="FBFAF6" w:val="clear"/>
            <w:tcMar>
              <w:top w:type="dxa" w:w="50"/>
              <w:left w:type="dxa" w:w="110"/>
              <w:bottom w:type="dxa" w:w="50"/>
              <w:right w:type="dxa" w:w="110"/>
            </w:tcMar>
          </w:tcPr>
          <w:p>
            <w:pPr>
              <w:spacing w:before="28" w:after="28"/>
            </w:pPr>
            <w:r>
              <w:rPr>
                <w:sz w:val="15"/>
                <w:szCs w:val="15"/>
              </w:rPr>
              <w:t xml:space="preserve">At December 31, Barada broke a debt-to-equity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on the note. On January 20, 2026, before the statements were issued, the bank waived</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r>
      <w:tr>
        <w:tc>
          <w:tcPr>
            <w:tcW w:type="pct" w:w="2042"/>
            <w:tcMar>
              <w:top w:type="dxa" w:w="50"/>
              <w:left w:type="dxa" w:w="110"/>
              <w:bottom w:type="dxa" w:w="50"/>
              <w:right w:type="dxa" w:w="110"/>
            </w:tcMar>
          </w:tcPr>
          <w:p>
            <w:pPr>
              <w:spacing w:before="28" w:after="28"/>
            </w:pPr>
            <w:r>
              <w:rPr>
                <w:sz w:val="15"/>
                <w:szCs w:val="15"/>
              </w:rPr>
              <w:t xml:space="preserve">M3</w:t>
            </w:r>
          </w:p>
        </w:tc>
        <w:tc>
          <w:tcPr>
            <w:tcW w:type="pct" w:w="2200"/>
            <w:tcMar>
              <w:top w:type="dxa" w:w="50"/>
              <w:left w:type="dxa" w:w="110"/>
              <w:bottom w:type="dxa" w:w="50"/>
              <w:right w:type="dxa" w:w="110"/>
            </w:tcMar>
          </w:tcPr>
          <w:p>
            <w:pPr>
              <w:spacing w:before="28" w:after="28"/>
            </w:pPr>
            <w:r>
              <w:rPr>
                <w:sz w:val="15"/>
                <w:szCs w:val="15"/>
              </w:rPr>
              <w:t xml:space="preserve">A former employee has sued Barada. Its lawyers think a loss of about 60 is reasonably possible, but not probable.</w:t>
            </w:r>
          </w:p>
        </w:tc>
        <w:tc>
          <w:tcPr>
            <w:tcW w:type="pct" w:w="758"/>
            <w:tcMar>
              <w:top w:type="dxa" w:w="50"/>
              <w:left w:type="dxa" w:w="110"/>
              <w:bottom w:type="dxa" w:w="50"/>
              <w:right w:type="dxa" w:w="110"/>
            </w:tcMar>
          </w:tcPr>
          <w:p>
            <w:pPr>
              <w:spacing w:before="28" w:after="28"/>
            </w:pPr>
            <w:r>
              <w:rPr>
                <w:sz w:val="15"/>
                <w:szCs w:val="15"/>
              </w:rPr>
              <w:t xml:space="preserve"> </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M4</w:t>
            </w:r>
          </w:p>
        </w:tc>
        <w:tc>
          <w:tcPr>
            <w:tcW w:type="pct" w:w="2200"/>
            <w:shd w:fill="FBFAF6" w:val="clear"/>
            <w:tcMar>
              <w:top w:type="dxa" w:w="50"/>
              <w:left w:type="dxa" w:w="110"/>
              <w:bottom w:type="dxa" w:w="50"/>
              <w:right w:type="dxa" w:w="110"/>
            </w:tcMar>
          </w:tcPr>
          <w:p>
            <w:pPr>
              <w:spacing w:before="28" w:after="28"/>
            </w:pPr>
            <w:r>
              <w:rPr>
                <w:sz w:val="15"/>
                <w:szCs w:val="15"/>
              </w:rPr>
              <w:t xml:space="preserve">On February 10, 2026, before the statements were issued, a fire destroyed inventory that cost 70.</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installment   ·   credit   ·   debit   ·   covenant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Noncurrent asset: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December 31 (after closing)   ·   Noncurrent asset: all deferred taxes are noncurrent.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credit   ·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buildings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covenant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Noncurrent asset: all deferred taxes are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787336fc654f523ad74989a47cc8d612fe08f0b.png" Type="http://schemas.openxmlformats.org/officeDocument/2006/relationships/image"/><Relationship Id="rId102" Target="media/78dcd6ce27314b3f0e7c5df1f8068fbef49a14dc.png" Type="http://schemas.openxmlformats.org/officeDocument/2006/relationships/image"/><Relationship Id="rId103" Target="media/6ffec352f25f9e4f4ddf5d4b656b236549e1cc37.png" Type="http://schemas.openxmlformats.org/officeDocument/2006/relationships/image"/><Relationship Id="rId104" Target="media/b3c13ee14d573e9c11a446fa760a79c792d27b12.png" Type="http://schemas.openxmlformats.org/officeDocument/2006/relationships/image"/><Relationship Id="rId105" Target="media/fccfce352a0e8f7d2e62b27b0a0b73780fe834e3.png" Type="http://schemas.openxmlformats.org/officeDocument/2006/relationships/image"/><Relationship Id="rId106" Target="media/18b151c49f1681896c1fc5fdc1e29e0faaa31c5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dc:title>
  <dc:subject>Summary handouts</dc:subject>
  <cp:category>Student Book</cp:category>
</cp:coreProperties>
</file>