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income statement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balance sheet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use it to see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company earns enough to pay interest.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use it to compare results with budgets and with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Managers   ·   photograph   ·   increases   ·   company's   ·   earnings   ·   Lenders   ·   usually   ·   competitors   ·   require   ·   result   ·   profitable   ·   whether   ·   Investors</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All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come from the same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 the balance sheet. </w:t>
      </w:r>
      <w:r>
        <w:rPr>
          <w:sz w:val="19"/>
          <w:szCs w:val="19"/>
        </w:rPr>
        <w:t xml:space="preserve">For example, the impairment losses are the ones you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 and the equity-method income comes. </w:t>
      </w:r>
      <w:r>
        <w:rPr>
          <w:sz w:val="19"/>
          <w:szCs w:val="19"/>
        </w:rPr>
        <w:t xml:space="preserve">The single-step form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read, but it hides useful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The multi-step form tells a reader that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main business earned $4,176,000 before interest and tax, and that other items reduced this by a net $217,200.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Orontes's   ·   information   ·   statement   ·   simpler   ·   calculated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Net sales</w:t>
            </w:r>
          </w:p>
        </w:tc>
        <w:tc>
          <w:tcPr>
            <w:tcW w:type="pct" w:w="2400"/>
            <w:tcMar>
              <w:top w:type="dxa" w:w="50"/>
              <w:left w:type="dxa" w:w="110"/>
              <w:bottom w:type="dxa" w:w="50"/>
              <w:right w:type="dxa" w:w="110"/>
            </w:tcMar>
          </w:tcPr>
          <w:p>
            <w:pPr>
              <w:spacing w:before="28" w:after="28"/>
            </w:pPr>
            <w:r>
              <w:rPr>
                <w:sz w:val="15"/>
                <w:szCs w:val="15"/>
              </w:rPr>
              <w:t xml:space="preserve">42,000,000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shd w:fill="FBFAF6" w:val="clear"/>
            <w:tcMar>
              <w:top w:type="dxa" w:w="50"/>
              <w:left w:type="dxa" w:w="110"/>
              <w:bottom w:type="dxa" w:w="50"/>
              <w:right w:type="dxa" w:w="110"/>
            </w:tcMar>
          </w:tcPr>
          <w:p>
            <w:pPr>
              <w:spacing w:before="28" w:after="28"/>
            </w:pPr>
            <w:r>
              <w:rPr>
                <w:sz w:val="15"/>
                <w:szCs w:val="15"/>
              </w:rPr>
              <w:t xml:space="preserve">(27,300,000)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14,700,000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Operating expenses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Selling, general and administrative</w:t>
            </w:r>
          </w:p>
        </w:tc>
        <w:tc>
          <w:tcPr>
            <w:tcW w:type="pct" w:w="2400"/>
            <w:tcMar>
              <w:top w:type="dxa" w:w="50"/>
              <w:left w:type="dxa" w:w="110"/>
              <w:bottom w:type="dxa" w:w="50"/>
              <w:right w:type="dxa" w:w="110"/>
            </w:tcMar>
          </w:tcPr>
          <w:p>
            <w:pPr>
              <w:spacing w:before="28" w:after="28"/>
            </w:pPr>
            <w:r>
              <w:rPr>
                <w:sz w:val="15"/>
                <w:szCs w:val="15"/>
              </w:rPr>
              <w:t xml:space="preserve">(7,237,000)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shd w:fill="FBFAF6" w:val="clear"/>
            <w:tcMar>
              <w:top w:type="dxa" w:w="50"/>
              <w:left w:type="dxa" w:w="110"/>
              <w:bottom w:type="dxa" w:w="50"/>
              <w:right w:type="dxa" w:w="110"/>
            </w:tcMar>
          </w:tcPr>
          <w:p>
            <w:pPr>
              <w:spacing w:before="28" w:after="28"/>
            </w:pPr>
            <w:r>
              <w:rPr>
                <w:sz w:val="15"/>
                <w:szCs w:val="15"/>
              </w:rPr>
              <w:t xml:space="preserve">(63,000)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Impairment losses</w:t>
            </w:r>
          </w:p>
        </w:tc>
        <w:tc>
          <w:tcPr>
            <w:tcW w:type="pct" w:w="2400"/>
            <w:shd w:fill="FBFAF6" w:val="clear"/>
            <w:tcMar>
              <w:top w:type="dxa" w:w="50"/>
              <w:left w:type="dxa" w:w="110"/>
              <w:bottom w:type="dxa" w:w="50"/>
              <w:right w:type="dxa" w:w="110"/>
            </w:tcMar>
          </w:tcPr>
          <w:p>
            <w:pPr>
              <w:spacing w:before="28" w:after="28"/>
            </w:pPr>
            <w:r>
              <w:rPr>
                <w:sz w:val="15"/>
                <w:szCs w:val="15"/>
              </w:rPr>
              <w:t xml:space="preserve">(2,724,000)</w:t>
            </w:r>
          </w:p>
        </w:tc>
      </w:tr>
      <w:tr>
        <w:tc>
          <w:tcPr>
            <w:tcW w:type="pct" w:w="2600"/>
            <w:tcMar>
              <w:top w:type="dxa" w:w="50"/>
              <w:left w:type="dxa" w:w="110"/>
              <w:bottom w:type="dxa" w:w="50"/>
              <w:right w:type="dxa" w:w="110"/>
            </w:tcMar>
          </w:tcPr>
          <w:p>
            <w:pPr>
              <w:spacing w:before="28" w:after="28"/>
            </w:pPr>
            <w:r>
              <w:rPr>
                <w:sz w:val="15"/>
                <w:szCs w:val="15"/>
              </w:rPr>
              <w:t xml:space="preserve">Total operating expenses</w:t>
            </w:r>
          </w:p>
        </w:tc>
        <w:tc>
          <w:tcPr>
            <w:tcW w:type="pct" w:w="2400"/>
            <w:tcMar>
              <w:top w:type="dxa" w:w="50"/>
              <w:left w:type="dxa" w:w="110"/>
              <w:bottom w:type="dxa" w:w="50"/>
              <w:right w:type="dxa" w:w="110"/>
            </w:tcMar>
          </w:tcPr>
          <w:p>
            <w:pPr>
              <w:spacing w:before="28" w:after="28"/>
            </w:pPr>
            <w:r>
              <w:rPr>
                <w:sz w:val="15"/>
                <w:szCs w:val="15"/>
              </w:rPr>
              <w:t xml:space="preserve">(10,524,000)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Operating income</w:t>
            </w:r>
          </w:p>
        </w:tc>
        <w:tc>
          <w:tcPr>
            <w:tcW w:type="pct" w:w="2400"/>
            <w:shd w:fill="FBFAF6" w:val="clear"/>
            <w:tcMar>
              <w:top w:type="dxa" w:w="50"/>
              <w:left w:type="dxa" w:w="110"/>
              <w:bottom w:type="dxa" w:w="50"/>
              <w:right w:type="dxa" w:w="110"/>
            </w:tcMar>
          </w:tcPr>
          <w:p>
            <w:pPr>
              <w:spacing w:before="28" w:after="28"/>
            </w:pPr>
            <w:r>
              <w:rPr>
                <w:sz w:val="15"/>
                <w:szCs w:val="15"/>
              </w:rPr>
              <w:t xml:space="preserve">4,176,000</w:t>
            </w:r>
          </w:p>
        </w:tc>
      </w:tr>
      <w:tr>
        <w:tc>
          <w:tcPr>
            <w:tcW w:type="pct" w:w="2600"/>
            <w:tcMar>
              <w:top w:type="dxa" w:w="50"/>
              <w:left w:type="dxa" w:w="110"/>
              <w:bottom w:type="dxa" w:w="50"/>
              <w:right w:type="dxa" w:w="110"/>
            </w:tcMar>
          </w:tcPr>
          <w:p>
            <w:pPr>
              <w:spacing w:before="28" w:after="28"/>
            </w:pPr>
            <w:r>
              <w:rPr>
                <w:sz w:val="15"/>
                <w:szCs w:val="15"/>
              </w:rPr>
              <w:t xml:space="preserve">Other income and (expense)</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tcMar>
              <w:top w:type="dxa" w:w="50"/>
              <w:left w:type="dxa" w:w="110"/>
              <w:bottom w:type="dxa" w:w="50"/>
              <w:right w:type="dxa" w:w="110"/>
            </w:tcMar>
          </w:tcPr>
          <w:p>
            <w:pPr>
              <w:spacing w:before="28" w:after="28"/>
            </w:pPr>
            <w:r>
              <w:rPr>
                <w:sz w:val="15"/>
                <w:szCs w:val="15"/>
              </w:rPr>
              <w:t xml:space="preserve">3,800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00"/>
            <w:tcMar>
              <w:top w:type="dxa" w:w="50"/>
              <w:left w:type="dxa" w:w="110"/>
              <w:bottom w:type="dxa" w:w="50"/>
              <w:right w:type="dxa" w:w="110"/>
            </w:tcMar>
          </w:tcPr>
          <w:p>
            <w:pPr>
              <w:spacing w:before="28" w:after="28"/>
            </w:pPr>
            <w:r>
              <w:rPr>
                <w:sz w:val="15"/>
                <w:szCs w:val="15"/>
              </w:rPr>
              <w:t xml:space="preserve">Equity-method income</w:t>
            </w:r>
          </w:p>
        </w:tc>
        <w:tc>
          <w:tcPr>
            <w:tcW w:type="pct" w:w="2400"/>
            <w:tcMar>
              <w:top w:type="dxa" w:w="50"/>
              <w:left w:type="dxa" w:w="110"/>
              <w:bottom w:type="dxa" w:w="50"/>
              <w:right w:type="dxa" w:w="110"/>
            </w:tcMar>
          </w:tcPr>
          <w:p>
            <w:pPr>
              <w:spacing w:before="28" w:after="28"/>
            </w:pPr>
            <w:r>
              <w:rPr>
                <w:sz w:val="15"/>
                <w:szCs w:val="15"/>
              </w:rPr>
              <w:t xml:space="preserve">177,000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tcMar>
              <w:top w:type="dxa" w:w="50"/>
              <w:left w:type="dxa" w:w="110"/>
              <w:bottom w:type="dxa" w:w="50"/>
              <w:right w:type="dxa" w:w="110"/>
            </w:tcMar>
          </w:tcPr>
          <w:p>
            <w:pPr>
              <w:spacing w:before="28" w:after="28"/>
            </w:pPr>
            <w:r>
              <w:rPr>
                <w:sz w:val="15"/>
                <w:szCs w:val="15"/>
              </w:rPr>
              <w:t xml:space="preserve">Loss on sale of receivables</w:t>
            </w:r>
          </w:p>
        </w:tc>
        <w:tc>
          <w:tcPr>
            <w:tcW w:type="pct" w:w="2400"/>
            <w:tcMar>
              <w:top w:type="dxa" w:w="50"/>
              <w:left w:type="dxa" w:w="110"/>
              <w:bottom w:type="dxa" w:w="50"/>
              <w:right w:type="dxa" w:w="110"/>
            </w:tcMar>
          </w:tcPr>
          <w:p>
            <w:pPr>
              <w:spacing w:before="28" w:after="28"/>
            </w:pPr>
            <w:r>
              <w:rPr>
                <w:sz w:val="15"/>
                <w:szCs w:val="15"/>
              </w:rPr>
              <w:t xml:space="preserve">(15,000)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shd w:fill="FBFAF6" w:val="clear"/>
            <w:tcMar>
              <w:top w:type="dxa" w:w="50"/>
              <w:left w:type="dxa" w:w="110"/>
              <w:bottom w:type="dxa" w:w="50"/>
              <w:right w:type="dxa" w:w="110"/>
            </w:tcMar>
          </w:tcPr>
          <w:p>
            <w:pPr>
              <w:spacing w:before="28" w:after="28"/>
            </w:pPr>
            <w:r>
              <w:rPr>
                <w:sz w:val="15"/>
                <w:szCs w:val="15"/>
              </w:rPr>
              <w:t xml:space="preserve">(217,200)</w:t>
            </w:r>
          </w:p>
        </w:tc>
      </w:tr>
      <w:tr>
        <w:tc>
          <w:tcPr>
            <w:tcW w:type="pct" w:w="2600"/>
            <w:tcMar>
              <w:top w:type="dxa" w:w="50"/>
              <w:left w:type="dxa" w:w="110"/>
              <w:bottom w:type="dxa" w:w="50"/>
              <w:right w:type="dxa" w:w="110"/>
            </w:tcMar>
          </w:tcPr>
          <w:p>
            <w:pPr>
              <w:spacing w:before="28" w:after="28"/>
            </w:pPr>
            <w:r>
              <w:rPr>
                <w:sz w:val="15"/>
                <w:szCs w:val="15"/>
              </w:rPr>
              <w:t xml:space="preserve">Income before income taxes</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Income tax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tcMar>
              <w:top w:type="dxa" w:w="50"/>
              <w:left w:type="dxa" w:w="110"/>
              <w:bottom w:type="dxa" w:w="50"/>
              <w:right w:type="dxa" w:w="110"/>
            </w:tcMar>
          </w:tcPr>
          <w:p>
            <w:pPr>
              <w:spacing w:before="28" w:after="28"/>
            </w:pPr>
            <w:r>
              <w:rPr>
                <w:sz w:val="15"/>
                <w:szCs w:val="15"/>
              </w:rPr>
              <w:t xml:space="preserve">Net income</w:t>
            </w:r>
          </w:p>
        </w:tc>
        <w:tc>
          <w:tcPr>
            <w:tcW w:type="pct" w:w="2400"/>
            <w:tcMar>
              <w:top w:type="dxa" w:w="50"/>
              <w:left w:type="dxa" w:w="110"/>
              <w:bottom w:type="dxa" w:w="50"/>
              <w:right w:type="dxa" w:w="110"/>
            </w:tcMar>
          </w:tcPr>
          <w:p>
            <w:pPr>
              <w:spacing w:before="28" w:after="28"/>
            </w:pPr>
            <w:r>
              <w:rPr>
                <w:sz w:val="15"/>
                <w:szCs w:val="15"/>
              </w:rPr>
              <w:t xml:space="preserve">2,969,100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Earnings per share, basic and diluted</w:t>
            </w:r>
          </w:p>
        </w:tc>
        <w:tc>
          <w:tcPr>
            <w:tcW w:type="pct" w:w="2400"/>
            <w:shd w:fill="FBFAF6" w:val="clear"/>
            <w:tcMar>
              <w:top w:type="dxa" w:w="50"/>
              <w:left w:type="dxa" w:w="110"/>
              <w:bottom w:type="dxa" w:w="50"/>
              <w:right w:type="dxa" w:w="110"/>
            </w:tcMar>
          </w:tcPr>
          <w:p>
            <w:pPr>
              <w:spacing w:before="28" w:after="28"/>
            </w:pPr>
            <w:r>
              <w:rPr>
                <w:sz w:val="15"/>
                <w:szCs w:val="15"/>
              </w:rPr>
              <w:t xml:space="preserve">$0.37</w:t>
            </w:r>
          </w:p>
        </w:tc>
      </w:tr>
      <w:tr>
        <w:tc>
          <w:tcPr>
            <w:tcW w:type="pct" w:w="2600"/>
            <w:tcMar>
              <w:top w:type="dxa" w:w="50"/>
              <w:left w:type="dxa" w:w="110"/>
              <w:bottom w:type="dxa" w:w="50"/>
              <w:right w:type="dxa" w:w="110"/>
            </w:tcMar>
          </w:tcPr>
          <w:p>
            <w:pPr>
              <w:spacing w:before="28" w:after="28"/>
            </w:pPr>
            <w:r>
              <w:rPr>
                <w:sz w:val="15"/>
                <w:szCs w:val="15"/>
              </w:rPr>
              <w:t xml:space="preserve">Weighted-average shares outstanding</w:t>
            </w:r>
          </w:p>
        </w:tc>
        <w:tc>
          <w:tcPr>
            <w:tcW w:type="pct" w:w="2400"/>
            <w:tcMar>
              <w:top w:type="dxa" w:w="50"/>
              <w:left w:type="dxa" w:w="110"/>
              <w:bottom w:type="dxa" w:w="50"/>
              <w:right w:type="dxa" w:w="110"/>
            </w:tcMar>
          </w:tcPr>
          <w:p>
            <w:pPr>
              <w:spacing w:before="28" w:after="28"/>
            </w:pPr>
            <w:r>
              <w:rPr>
                <w:sz w:val="15"/>
                <w:szCs w:val="15"/>
              </w:rPr>
              <w:t xml:space="preserve">8,099,726</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Unrealized loss on available-for-sale debt securities, net of tax of 375</w:t>
            </w:r>
          </w:p>
        </w:tc>
        <w:tc>
          <w:tcPr>
            <w:tcW w:type="pct" w:w="2400"/>
            <w:tcMar>
              <w:top w:type="dxa" w:w="50"/>
              <w:left w:type="dxa" w:w="110"/>
              <w:bottom w:type="dxa" w:w="50"/>
              <w:right w:type="dxa" w:w="110"/>
            </w:tcMar>
          </w:tcPr>
          <w:p>
            <w:pPr>
              <w:spacing w:before="28" w:after="28"/>
            </w:pPr>
            <w:r>
              <w:rPr>
                <w:sz w:val="15"/>
                <w:szCs w:val="15"/>
              </w:rPr>
              <w:t xml:space="preserve">(1,125)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Comprehensive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2,967,975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 loss expense   ·   Total other income and (expense)   ·   Other comprehensive income   ·   Interest and dividend income   ·   Interest expense   ·   Cost of goods sold   ·   Research and development   ·   Unrealized gains on securities   ·   Gain on sale of equipment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tax allocation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calculated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simpler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photograph</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Credit loss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Research and 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Interest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Interest and dividend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Total 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competitors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require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single-step income statement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pacing w:before="20" w:after="20"/>
        <w:ind w:left="240" w:hanging="240"/>
      </w:pPr>
      <w:r>
        <w:rPr>
          <w:b/>
          <w:bCs/>
          <w:color w:val="353A7C"/>
          <w:sz w:val="15"/>
          <w:szCs w:val="15"/>
        </w:rPr>
        <w:t xml:space="preserve">Summary 2   </w:t>
      </w:r>
      <w:r>
        <w:rPr>
          <w:color w:val="6B7280"/>
          <w:sz w:val="15"/>
          <w:szCs w:val="15"/>
        </w:rPr>
        <w:t xml:space="preserve">All the amounts come from the same records as the balance sheet. For example, the impairment losses are the ones you calculated in, and the equity-method income comes. The single-step form is simpler to read, but it hides useful information. The multi-step form tells a reader that Orontes's main business earned $4,176,000 before interest and tax, and that other items reduced this by a net $217,200.</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selling, general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expenses, research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credit losses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or incidental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not the full proceeds. </w:t>
      </w:r>
      <w:r>
        <w:rPr>
          <w:sz w:val="19"/>
          <w:szCs w:val="19"/>
        </w:rPr>
        <w:t xml:space="preserve">Income tax expense is then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development   ·   peripheral   ·   carrying   ·   follows   ·   administrative   ·   reported   ·   transaction   ·   expenses   ·   deducted   ·   impairments</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EPS in depth.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step is the cost of goods sold.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biggest   ·   analyzes   ·   statement   ·   weighted-average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Gross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investment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p>
      <w:pPr>
        <w:spacing w:before="20" w:after="20" w:line="360" w:lineRule="auto"/>
        <w:ind w:left="200"/>
      </w:pPr>
      <w:r>
        <w:rPr>
          <w:sz w:val="19"/>
          <w:szCs w:val="19"/>
        </w:rPr>
        <w:t xml:space="preserve">Barada's 2025 statements ignore income tax. Fill in the three blanks.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18–20</w:t>
      </w:r>
    </w:p>
    <w:p>
      <w:pPr>
        <w:spacing w:before="20" w:after="20" w:line="360" w:lineRule="auto"/>
        <w:ind w:left="200"/>
      </w:pPr>
      <w:r>
        <w:rPr>
          <w:sz w:val="19"/>
          <w:szCs w:val="19"/>
        </w:rPr>
        <w:t xml:space="preserve">Interest expense is below operating income, never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it. </w:t>
      </w:r>
      <w:r>
        <w:rPr>
          <w:sz w:val="19"/>
          <w:szCs w:val="19"/>
        </w:rPr>
        <w:t xml:space="preserve">A gain on selling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depreciation outside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equipment   ·   production   ·   inside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year ended December 31, 2025 (</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3,100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400"/>
            <w:shd w:fill="FBFAF6" w:val="clear"/>
            <w:tcMar>
              <w:top w:type="dxa" w:w="50"/>
              <w:left w:type="dxa" w:w="110"/>
              <w:bottom w:type="dxa" w:w="50"/>
              <w:right w:type="dxa" w:w="110"/>
            </w:tcMar>
          </w:tcPr>
          <w:p>
            <w:pPr>
              <w:spacing w:before="28" w:after="28"/>
            </w:pPr>
            <w:r>
              <w:rPr>
                <w:sz w:val="15"/>
                <w:szCs w:val="15"/>
              </w:rPr>
              <w:t xml:space="preserve">(1,860)</w:t>
            </w:r>
          </w:p>
        </w:tc>
      </w:tr>
      <w:tr>
        <w:tc>
          <w:tcPr>
            <w:tcW w:type="pct" w:w="2600"/>
            <w:tcMar>
              <w:top w:type="dxa" w:w="50"/>
              <w:left w:type="dxa" w:w="110"/>
              <w:bottom w:type="dxa" w:w="50"/>
              <w:right w:type="dxa" w:w="110"/>
            </w:tcMar>
          </w:tcPr>
          <w:p>
            <w:pPr>
              <w:spacing w:before="28" w:after="28"/>
            </w:pPr>
            <w:r>
              <w:rPr>
                <w:sz w:val="15"/>
                <w:szCs w:val="15"/>
              </w:rPr>
              <w:t xml:space="preserve">Gross profit</w:t>
            </w:r>
          </w:p>
        </w:tc>
        <w:tc>
          <w:tcPr>
            <w:tcW w:type="pct" w:w="2400"/>
            <w:tcMar>
              <w:top w:type="dxa" w:w="50"/>
              <w:left w:type="dxa" w:w="110"/>
              <w:bottom w:type="dxa" w:w="50"/>
              <w:right w:type="dxa" w:w="110"/>
            </w:tcMar>
          </w:tcPr>
          <w:p>
            <w:pPr>
              <w:spacing w:before="28" w:after="28"/>
            </w:pPr>
            <w:r>
              <w:rPr>
                <w:sz w:val="15"/>
                <w:szCs w:val="15"/>
              </w:rPr>
              <w:t xml:space="preserve">1,240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(520)</w:t>
            </w:r>
          </w:p>
        </w:tc>
      </w:tr>
      <w:tr>
        <w:tc>
          <w:tcPr>
            <w:tcW w:type="pct" w:w="2600"/>
            <w:tcMar>
              <w:top w:type="dxa" w:w="50"/>
              <w:left w:type="dxa" w:w="110"/>
              <w:bottom w:type="dxa" w:w="50"/>
              <w:right w:type="dxa" w:w="110"/>
            </w:tcMar>
          </w:tcPr>
          <w:p>
            <w:pPr>
              <w:spacing w:before="28" w:after="28"/>
            </w:pPr>
            <w:r>
              <w:rPr>
                <w:sz w:val="15"/>
                <w:szCs w:val="15"/>
              </w:rPr>
              <w:t xml:space="preserve">Depreciation expense</w:t>
            </w:r>
          </w:p>
        </w:tc>
        <w:tc>
          <w:tcPr>
            <w:tcW w:type="pct" w:w="2400"/>
            <w:tcMar>
              <w:top w:type="dxa" w:w="50"/>
              <w:left w:type="dxa" w:w="110"/>
              <w:bottom w:type="dxa" w:w="50"/>
              <w:right w:type="dxa" w:w="110"/>
            </w:tcMar>
          </w:tcPr>
          <w:p>
            <w:pPr>
              <w:spacing w:before="28" w:after="28"/>
            </w:pPr>
            <w:r>
              <w:rPr>
                <w:sz w:val="15"/>
                <w:szCs w:val="15"/>
              </w:rPr>
              <w:t xml:space="preserve">(300)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Operating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Interest expense</w:t>
            </w:r>
          </w:p>
        </w:tc>
        <w:tc>
          <w:tcPr>
            <w:tcW w:type="pct" w:w="2400"/>
            <w:tcMar>
              <w:top w:type="dxa" w:w="50"/>
              <w:left w:type="dxa" w:w="110"/>
              <w:bottom w:type="dxa" w:w="50"/>
              <w:right w:type="dxa" w:w="110"/>
            </w:tcMar>
          </w:tcPr>
          <w:p>
            <w:pPr>
              <w:spacing w:before="28" w:after="28"/>
            </w:pPr>
            <w:r>
              <w:rPr>
                <w:sz w:val="15"/>
                <w:szCs w:val="15"/>
              </w:rPr>
              <w:t xml:space="preserve">(90)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Gross profit as a percentage of sales   ·   Cost of goods sold   ·   Sales revenue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other income and expense   ·   earnings per share (EPS)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biggest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impairments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Gross profit as a percentage of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earnings per share (EPS)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 The biggest step is the cost of goods sold.</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has extraordinary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infrequent item, such as a large fire loss, is shown as a separate line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continuing operations, before tax. </w:t>
      </w:r>
      <w:r>
        <w:rPr>
          <w:sz w:val="19"/>
          <w:szCs w:val="19"/>
        </w:rPr>
        <w:t xml:space="preserve">It is never shown net of tax. </w:t>
      </w:r>
      <w:r>
        <w:rPr>
          <w:sz w:val="19"/>
          <w:szCs w:val="19"/>
        </w:rPr>
        <w:t xml:space="preserve">A discontinued operation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strategic shift with a major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leaving a major line of business or a major geographic area.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one store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one small product does not qualify. </w:t>
      </w:r>
      <w:r>
        <w:rPr>
          <w:sz w:val="19"/>
          <w:szCs w:val="19"/>
        </w:rPr>
        <w:t xml:space="preserve">The results of a discontinued operation,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   stopping   ·   Examples   ·   removed   ·   classified   ·   within   ·   reduces   ·   attention   ·   effect   ·   including   ·   Closing   ·   happen   ·   longer</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Ask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order: OCI first, then discontinued operations, then unusual items, and finally main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or other income and expense. </w:t>
      </w:r>
      <w:r>
        <w:rPr>
          <w:sz w:val="19"/>
          <w:szCs w:val="19"/>
        </w:rPr>
        <w:t xml:space="preserve">Suppose that in 2026 Orontes sells its frozen-foods business to focus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dry foods. </w:t>
      </w:r>
      <w:r>
        <w:rPr>
          <w:sz w:val="19"/>
          <w:szCs w:val="19"/>
        </w:rPr>
        <w:t xml:space="preserve">This is a strategic shift. </w:t>
      </w:r>
      <w:r>
        <w:rPr>
          <w:sz w:val="19"/>
          <w:szCs w:val="19"/>
        </w:rPr>
        <w:t xml:space="preserve">The business lost $420,000 before tax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year, and the sale caused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loss of $180,000. </w:t>
      </w:r>
      <w:r>
        <w:rPr>
          <w:sz w:val="19"/>
          <w:szCs w:val="19"/>
        </w:rPr>
        <w:t xml:space="preserve">Each loss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tax, so Orontes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 loss from discontinued operations of $450,000, net of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during   ·   activities   ·   reduces   ·   further   ·   reports   ·   questions   ·   component   ·   beverages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43"/>
        <w:gridCol w:w="1091"/>
        <w:gridCol w:w="214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116"/>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1116"/>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200"/>
            <w:tcMar>
              <w:top w:type="dxa" w:w="50"/>
              <w:left w:type="dxa" w:w="110"/>
              <w:bottom w:type="dxa" w:w="50"/>
              <w:right w:type="dxa" w:w="110"/>
            </w:tcMar>
          </w:tcPr>
          <w:p>
            <w:pPr>
              <w:spacing w:before="28" w:after="28"/>
            </w:pPr>
            <w:r>
              <w:rPr>
                <w:sz w:val="15"/>
                <w:szCs w:val="15"/>
              </w:rPr>
              <w:t xml:space="preserve">Loss from operations of the frozen-foods business</w:t>
            </w:r>
          </w:p>
        </w:tc>
        <w:tc>
          <w:tcPr>
            <w:tcW w:type="pct" w:w="1116"/>
            <w:tcMar>
              <w:top w:type="dxa" w:w="50"/>
              <w:left w:type="dxa" w:w="110"/>
              <w:bottom w:type="dxa" w:w="50"/>
              <w:right w:type="dxa" w:w="110"/>
            </w:tcMar>
          </w:tcPr>
          <w:p>
            <w:pPr>
              <w:spacing w:before="28" w:after="28"/>
            </w:pPr>
            <w:r>
              <w:rPr>
                <w:sz w:val="15"/>
                <w:szCs w:val="15"/>
              </w:rPr>
              <w:t xml:space="preserve">(420,000)</w:t>
            </w:r>
          </w:p>
        </w:tc>
        <w:tc>
          <w:tcPr>
            <w:tcW w:type="pct" w:w="568"/>
            <w:tcMar>
              <w:top w:type="dxa" w:w="50"/>
              <w:left w:type="dxa" w:w="110"/>
              <w:bottom w:type="dxa" w:w="50"/>
              <w:right w:type="dxa" w:w="110"/>
            </w:tcMar>
          </w:tcPr>
          <w:p>
            <w:pPr>
              <w:spacing w:before="28" w:after="28"/>
            </w:pPr>
            <w:r>
              <w:rPr>
                <w:sz w:val="15"/>
                <w:szCs w:val="15"/>
              </w:rPr>
              <w:t xml:space="preserve">105,000</w:t>
            </w:r>
          </w:p>
        </w:tc>
        <w:tc>
          <w:tcPr>
            <w:tcW w:type="pct" w:w="1116"/>
            <w:tcMar>
              <w:top w:type="dxa" w:w="50"/>
              <w:left w:type="dxa" w:w="110"/>
              <w:bottom w:type="dxa" w:w="50"/>
              <w:right w:type="dxa" w:w="110"/>
            </w:tcMar>
          </w:tcPr>
          <w:p>
            <w:pPr>
              <w:spacing w:before="28" w:after="28"/>
            </w:pPr>
            <w:r>
              <w:rPr>
                <w:sz w:val="15"/>
                <w:szCs w:val="15"/>
              </w:rPr>
              <w:t xml:space="preserve">(315,000)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16"/>
            <w:shd w:fill="FBFAF6" w:val="clear"/>
            <w:tcMar>
              <w:top w:type="dxa" w:w="50"/>
              <w:left w:type="dxa" w:w="110"/>
              <w:bottom w:type="dxa" w:w="50"/>
              <w:right w:type="dxa" w:w="110"/>
            </w:tcMar>
          </w:tcPr>
          <w:p>
            <w:pPr>
              <w:spacing w:before="28" w:after="28"/>
            </w:pPr>
            <w:r>
              <w:rPr>
                <w:sz w:val="15"/>
                <w:szCs w:val="15"/>
              </w:rPr>
              <w:t xml:space="preserve">(180,000)</w:t>
            </w:r>
          </w:p>
        </w:tc>
        <w:tc>
          <w:tcPr>
            <w:tcW w:type="pct" w:w="568"/>
            <w:shd w:fill="FBFAF6" w:val="clear"/>
            <w:tcMar>
              <w:top w:type="dxa" w:w="50"/>
              <w:left w:type="dxa" w:w="110"/>
              <w:bottom w:type="dxa" w:w="50"/>
              <w:right w:type="dxa" w:w="110"/>
            </w:tcMar>
          </w:tcPr>
          <w:p>
            <w:pPr>
              <w:spacing w:before="28" w:after="28"/>
            </w:pPr>
            <w:r>
              <w:rPr>
                <w:sz w:val="15"/>
                <w:szCs w:val="15"/>
              </w:rPr>
              <w:t xml:space="preserve">45,000</w:t>
            </w:r>
          </w:p>
        </w:tc>
        <w:tc>
          <w:tcPr>
            <w:tcW w:type="pct" w:w="1116"/>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200"/>
            <w:tcMar>
              <w:top w:type="dxa" w:w="50"/>
              <w:left w:type="dxa" w:w="110"/>
              <w:bottom w:type="dxa" w:w="50"/>
              <w:right w:type="dxa" w:w="110"/>
            </w:tcMar>
          </w:tcPr>
          <w:p>
            <w:pPr>
              <w:spacing w:before="28" w:after="28"/>
            </w:pPr>
            <w:r>
              <w:rPr>
                <w:sz w:val="15"/>
                <w:szCs w:val="15"/>
              </w:rPr>
              <w:t xml:space="preserve">Loss from discontinued operations</w:t>
            </w:r>
          </w:p>
        </w:tc>
        <w:tc>
          <w:tcPr>
            <w:tcW w:type="pct" w:w="1116"/>
            <w:tcMar>
              <w:top w:type="dxa" w:w="50"/>
              <w:left w:type="dxa" w:w="110"/>
              <w:bottom w:type="dxa" w:w="50"/>
              <w:right w:type="dxa" w:w="110"/>
            </w:tcMar>
          </w:tcPr>
          <w:p>
            <w:pPr>
              <w:spacing w:before="28" w:after="28"/>
            </w:pPr>
            <w:r>
              <w:rPr>
                <w:sz w:val="15"/>
                <w:szCs w:val="15"/>
              </w:rPr>
              <w:t xml:space="preserve">(600,000)</w:t>
            </w:r>
          </w:p>
        </w:tc>
        <w:tc>
          <w:tcPr>
            <w:tcW w:type="pct" w:w="568"/>
            <w:tcMar>
              <w:top w:type="dxa" w:w="50"/>
              <w:left w:type="dxa" w:w="110"/>
              <w:bottom w:type="dxa" w:w="50"/>
              <w:right w:type="dxa" w:w="110"/>
            </w:tcMar>
          </w:tcPr>
          <w:p>
            <w:pPr>
              <w:spacing w:before="28" w:after="28"/>
            </w:pPr>
            <w:r>
              <w:rPr>
                <w:sz w:val="15"/>
                <w:szCs w:val="15"/>
              </w:rPr>
              <w:t xml:space="preserve">150,000</w:t>
            </w:r>
          </w:p>
        </w:tc>
        <w:tc>
          <w:tcPr>
            <w:tcW w:type="pct" w:w="1116"/>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on disposal of the business   ·   Loss from operations of the frozen-foods business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21–26</w:t>
      </w:r>
    </w:p>
    <w:p>
      <w:pPr>
        <w:spacing w:before="20" w:after="20" w:line="360" w:lineRule="auto"/>
        <w:ind w:left="200"/>
      </w:pPr>
      <w:r>
        <w:rPr>
          <w:sz w:val="19"/>
          <w:szCs w:val="19"/>
        </w:rPr>
        <w:t xml:space="preserve">Older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show earthquakes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exam, such an item is unusual or infrequent: a separate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line in continuing operations. </w:t>
      </w:r>
      <w:r>
        <w:rPr>
          <w:sz w:val="19"/>
          <w:szCs w:val="19"/>
        </w:rPr>
        <w:t xml:space="preserve">Only discontinued operations are shown net of tax below continuing operations. </w:t>
      </w:r>
      <w:r>
        <w:rPr>
          <w:sz w:val="19"/>
          <w:szCs w:val="19"/>
        </w:rPr>
        <w:t xml:space="preserve">IFRS 5 uses a similar idea: a separate major line of business or geographic area. </w:t>
      </w:r>
      <w:r>
        <w:rPr>
          <w:sz w:val="19"/>
          <w:szCs w:val="19"/>
        </w:rPr>
        <w:t xml:space="preserve">IFRS also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extraordinary items, so the two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pre-tax   ·   discontinued   ·   today's   ·   expropriations   ·   prohibits   ·   frameworks   ·   textbooks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component of an entity   ·   unusual or infrequent item   ·   other income and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further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longer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within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Loss on disposal of the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textbooks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pre-tax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Closing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prohibits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stopping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income from continuing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unusual or infrequent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beverages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Ask the questions in order: OCI first, then discontinued operations, then unusual items, and finally main activities or other income and expense. Suppose that in 2026 Orontes sells its frozen-foods business to focus on beverages and dry foods. This is a strategic shift. The business lost $420,000 before tax during the year, and the sale caused a further loss of $180,000. Each loss reduces tax, so Orontes reports a loss from discontinued operations of $450,000, net of tax.</w:t>
      </w:r>
    </w:p>
    <w:p>
      <w:pPr>
        <w:spacing w:before="20" w:after="20"/>
        <w:ind w:left="240" w:hanging="240"/>
      </w:pPr>
      <w:r>
        <w:rPr>
          <w:b/>
          <w:bCs/>
          <w:color w:val="353A7C"/>
          <w:sz w:val="15"/>
          <w:szCs w:val="15"/>
        </w:rPr>
        <w:t xml:space="preserve">Summary 3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realized. </w:t>
      </w:r>
      <w:r>
        <w:rPr>
          <w:sz w:val="19"/>
          <w:szCs w:val="19"/>
        </w:rPr>
        <w:t xml:space="preserve">Comprehensive income is net income plus OCI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OCI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balance in equity called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other comprehensive income (AOCI). </w:t>
      </w:r>
      <w:r>
        <w:rPr>
          <w:sz w:val="19"/>
          <w:szCs w:val="19"/>
        </w:rPr>
        <w:t xml:space="preserve">When an item is realized, for example when Orontes sells an AFS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or loss moves from AOCI into net income. </w:t>
      </w:r>
      <w:r>
        <w:rPr>
          <w:sz w:val="19"/>
          <w:szCs w:val="19"/>
        </w:rPr>
        <w:t xml:space="preserve">This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adjustment stops the same gain being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allowed   ·   through   ·   counted   ·   Showing   ·   accumulated   ·   security   ·   continuous   ·   builds   ·   consecutive   ·   period   ·   reclassification   ·   available-for-sale</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Revaluation surplus in OCI; never reclassified   ·   OCI; reclassified when the foreign operation is sold   ·   OCI; amortized into net income later   ·   OCI; reclassified to net income on sale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reclassifies   ·   investments   ·   remeasurements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Comprehensive income adds this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OCI, not the AOCI balance.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year's   ·   through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الدخل الشامل الآخر المتراكم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reclassified to net income on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OCI; reclassified when the foreign operation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OCI; amortized into net income later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other comprehensive income (AOCI)</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useful lives, credit losses,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FIFO or LIFO for inventory. </w:t>
      </w:r>
      <w:r>
        <w:rPr>
          <w:sz w:val="19"/>
          <w:szCs w:val="19"/>
        </w:rPr>
        <w:t xml:space="preserve">Two similar companies can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report different profits from the same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income statement also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the value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such as research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near the year-end. </w:t>
      </w:r>
      <w:r>
        <w:rPr>
          <w:sz w:val="19"/>
          <w:szCs w:val="19"/>
        </w:rPr>
        <w:t xml:space="preserve">Most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net income is not cash. </w:t>
      </w:r>
      <w:r>
        <w:rPr>
          <w:sz w:val="19"/>
          <w:szCs w:val="19"/>
        </w:rPr>
        <w:t xml:space="preserve">Accrual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records revenue when it is earned and expenses when they are incurred. </w:t>
      </w:r>
      <w:r>
        <w:rPr>
          <w:sz w:val="19"/>
          <w:szCs w:val="19"/>
        </w:rPr>
        <w:t xml:space="preserve">Depreciation and impairments of $4,824,000 reduced income but used no cash in 2025. </w:t>
      </w:r>
      <w:r>
        <w:rPr>
          <w:sz w:val="19"/>
          <w:szCs w:val="19"/>
        </w:rPr>
        <w:t xml:space="preserve">Net income then moves to the statement of changes in equity, where it increases retained earnings. </w:t>
      </w:r>
      <w:r>
        <w:rPr>
          <w:sz w:val="19"/>
          <w:szCs w:val="19"/>
        </w:rPr>
        <w:t xml:space="preserve">In the statement of cash flows, the indirect method starts from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increase   ·   results   ·   impairment   ·   discretionary   ·   accounting   ·   leaves   ·   estimates   ·   Orontes's   ·   therefore   ·   importantly   ·   methods   ·   advertising</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ASU 2024-03 (DISE)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public companies to break down some expense captions in the notes, such as employee pay and depreciation. </w:t>
      </w:r>
      <w:r>
        <w:rPr>
          <w:sz w:val="19"/>
          <w:szCs w:val="19"/>
        </w:rPr>
        <w:t xml:space="preserve">The face of the statement does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IFRS 18 replaces IAS 1 and adds required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   ·   earnings   ·   requires   ·   subtotals   ·   testable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 memo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Net sales</w:t>
            </w:r>
          </w:p>
        </w:tc>
        <w:tc>
          <w:tcPr>
            <w:tcW w:type="pct" w:w="2600"/>
            <w:tcMar>
              <w:top w:type="dxa" w:w="50"/>
              <w:left w:type="dxa" w:w="110"/>
              <w:bottom w:type="dxa" w:w="50"/>
              <w:right w:type="dxa" w:w="110"/>
            </w:tcMar>
          </w:tcPr>
          <w:p>
            <w:pPr>
              <w:spacing w:before="28" w:after="28"/>
            </w:pPr>
            <w:r>
              <w:rPr>
                <w:sz w:val="15"/>
                <w:szCs w:val="15"/>
              </w:rPr>
              <w:t xml:space="preserve">3,400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2,040</w:t>
            </w:r>
          </w:p>
        </w:tc>
      </w:tr>
      <w:tr>
        <w:tc>
          <w:tcPr>
            <w:tcW w:type="pct" w:w="2400"/>
            <w:tcMar>
              <w:top w:type="dxa" w:w="50"/>
              <w:left w:type="dxa" w:w="110"/>
              <w:bottom w:type="dxa" w:w="50"/>
              <w:right w:type="dxa" w:w="110"/>
            </w:tcMar>
          </w:tcPr>
          <w:p>
            <w:pPr>
              <w:spacing w:before="28" w:after="28"/>
            </w:pPr>
            <w:r>
              <w:rPr>
                <w:sz w:val="15"/>
                <w:szCs w:val="15"/>
              </w:rPr>
              <w:t xml:space="preserve">Wages expense</w:t>
            </w:r>
          </w:p>
        </w:tc>
        <w:tc>
          <w:tcPr>
            <w:tcW w:type="pct" w:w="2600"/>
            <w:tcMar>
              <w:top w:type="dxa" w:w="50"/>
              <w:left w:type="dxa" w:w="110"/>
              <w:bottom w:type="dxa" w:w="50"/>
              <w:right w:type="dxa" w:w="110"/>
            </w:tcMar>
          </w:tcPr>
          <w:p>
            <w:pPr>
              <w:spacing w:before="28" w:after="28"/>
            </w:pPr>
            <w:r>
              <w:rPr>
                <w:sz w:val="15"/>
                <w:szCs w:val="15"/>
              </w:rPr>
              <w:t xml:space="preserve">560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Depreciation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400"/>
            <w:tcMar>
              <w:top w:type="dxa" w:w="50"/>
              <w:left w:type="dxa" w:w="110"/>
              <w:bottom w:type="dxa" w:w="50"/>
              <w:right w:type="dxa" w:w="110"/>
            </w:tcMar>
          </w:tcPr>
          <w:p>
            <w:pPr>
              <w:spacing w:before="28" w:after="28"/>
            </w:pPr>
            <w:r>
              <w:rPr>
                <w:sz w:val="15"/>
                <w:szCs w:val="15"/>
              </w:rPr>
              <w:t xml:space="preserve">Fire loss (uninsured inventory)</w:t>
            </w:r>
          </w:p>
        </w:tc>
        <w:tc>
          <w:tcPr>
            <w:tcW w:type="pct" w:w="2600"/>
            <w:tcMar>
              <w:top w:type="dxa" w:w="50"/>
              <w:left w:type="dxa" w:w="110"/>
              <w:bottom w:type="dxa" w:w="50"/>
              <w:right w:type="dxa" w:w="110"/>
            </w:tcMar>
          </w:tcPr>
          <w:p>
            <w:pPr>
              <w:spacing w:before="28" w:after="28"/>
            </w:pPr>
            <w:r>
              <w:rPr>
                <w:sz w:val="15"/>
                <w:szCs w:val="15"/>
              </w:rPr>
              <w:t xml:space="preserve">70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Lawsuit settlement</w:t>
            </w:r>
          </w:p>
        </w:tc>
        <w:tc>
          <w:tcPr>
            <w:tcW w:type="pct" w:w="26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400"/>
            <w:tcMar>
              <w:top w:type="dxa" w:w="50"/>
              <w:left w:type="dxa" w:w="110"/>
              <w:bottom w:type="dxa" w:w="50"/>
              <w:right w:type="dxa" w:w="110"/>
            </w:tcMar>
          </w:tcPr>
          <w:p>
            <w:pPr>
              <w:spacing w:before="28" w:after="28"/>
            </w:pPr>
            <w:r>
              <w:rPr>
                <w:sz w:val="15"/>
                <w:szCs w:val="15"/>
              </w:rPr>
              <w:t xml:space="preserve">Interest expense</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600"/>
            <w:shd w:fill="FBFAF6" w:val="clear"/>
            <w:tcMar>
              <w:top w:type="dxa" w:w="50"/>
              <w:left w:type="dxa" w:w="110"/>
              <w:bottom w:type="dxa" w:w="50"/>
              <w:right w:type="dxa" w:w="110"/>
            </w:tcMar>
          </w:tcPr>
          <w:p>
            <w:pPr>
              <w:spacing w:before="28" w:after="28"/>
            </w:pPr>
            <w:r>
              <w:rPr>
                <w:sz w:val="15"/>
                <w:szCs w:val="15"/>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August 2026 Barada sold its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division to focus only on wholesale food. The division was one of Barada's two lines of busin</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2026 the division had an operating loss of 60 before tax. Barada lost 40 before tax on the sale.</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The fire loss is the uninsured inventory destroyed on February 10, 2026. Fires are unusual for Barada.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The income tax rate is 25% on all items. Barada has no other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catering-supply   ·   comprehensive income   ·   operating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Loss on sale of the division   ·   1,240 − 520 − 300 = 420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Fire loss</w:t>
            </w:r>
          </w:p>
        </w:tc>
        <w:tc>
          <w:tcPr>
            <w:tcW w:type="pct" w:w="2400"/>
            <w:tcMar>
              <w:top w:type="dxa" w:w="50"/>
              <w:left w:type="dxa" w:w="110"/>
              <w:bottom w:type="dxa" w:w="50"/>
              <w:right w:type="dxa" w:w="110"/>
            </w:tcMar>
          </w:tcPr>
          <w:p>
            <w:pPr>
              <w:spacing w:before="28" w:after="28"/>
            </w:pPr>
            <w:r>
              <w:rPr>
                <w:sz w:val="15"/>
                <w:szCs w:val="15"/>
              </w:rPr>
              <w:t xml:space="preserve">Operating expenses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Lawsuit settlement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Interest expense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Other income and expense</w:t>
            </w:r>
          </w:p>
        </w:tc>
      </w:tr>
      <w:tr>
        <w:tc>
          <w:tcPr>
            <w:tcW w:type="pct" w:w="2600"/>
            <w:tcMar>
              <w:top w:type="dxa" w:w="50"/>
              <w:left w:type="dxa" w:w="110"/>
              <w:bottom w:type="dxa" w:w="50"/>
              <w:right w:type="dxa" w:w="110"/>
            </w:tcMar>
          </w:tcPr>
          <w:p>
            <w:pPr>
              <w:spacing w:before="28" w:after="28"/>
            </w:pPr>
            <w:r>
              <w:rPr>
                <w:sz w:val="15"/>
                <w:szCs w:val="15"/>
              </w:rPr>
              <w:t xml:space="preserve">Loss on sale of the division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expenses   ·   Discontinued operations   ·   Other income and expense   ·   intraperiod tax allocation</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catering-supply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Operating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importantly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Most importantly, net income is not cash. Accrual accounting records revenue when it is earned and expenses when they are incurred. Depreciation and impairments of $4,824,000 reduced income but used no cash in 2025. Net income then moves to the statement of changes in equity, where it increases retained earnings. In the statement of cash flows, the indirect method starts from net income.</w:t>
      </w:r>
    </w:p>
    <w:p>
      <w:pPr>
        <w:spacing w:before="20" w:after="20"/>
        <w:ind w:left="240" w:hanging="240"/>
      </w:pPr>
      <w:r>
        <w:rPr>
          <w:b/>
          <w:bCs/>
          <w:color w:val="353A7C"/>
          <w:sz w:val="15"/>
          <w:szCs w:val="15"/>
        </w:rPr>
        <w:t xml:space="preserve">Summary 2   </w:t>
      </w:r>
      <w:r>
        <w:rPr>
          <w:color w:val="6B7280"/>
          <w:sz w:val="15"/>
          <w:szCs w:val="15"/>
        </w:rPr>
        <w:t xml:space="preserve">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8d893ed39d62d80f594cff6c158c76e2880c991.png" Type="http://schemas.openxmlformats.org/officeDocument/2006/relationships/image"/><Relationship Id="rId102" Target="media/630b6022c7095b36d8a316f859af7814dec51f7d.png" Type="http://schemas.openxmlformats.org/officeDocument/2006/relationships/image"/><Relationship Id="rId103" Target="media/4f14cdc56edad9eac44edaee06f5ddfbfa0362b4.png" Type="http://schemas.openxmlformats.org/officeDocument/2006/relationships/image"/><Relationship Id="rId104" Target="media/e9ad9483159ff8121044dea9362df124e7a773f6.png" Type="http://schemas.openxmlformats.org/officeDocument/2006/relationships/image"/><Relationship Id="rId105" Target="media/74c3341ead4c1174cdd6be8e2f7f4166ec0e3a72.png" Type="http://schemas.openxmlformats.org/officeDocument/2006/relationships/image"/><Relationship Id="rId106" Target="media/82030786494837d1e00a382193d3fee737a62007.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3</dc:title>
  <dc:subject>Summary handouts</dc:subject>
  <cp:category>Student Book</cp:category>
</cp:coreProperties>
</file>