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cash, pay its debts and dividends,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r>
        <w:rPr>
          <w:sz w:val="19"/>
          <w:szCs w:val="19"/>
        </w:rPr>
        <w:t xml:space="preserve">Strong operating cash is a good sign, but a reader should also ask where the cash went. </w:t>
      </w:r>
      <w:r>
        <w:rPr>
          <w:sz w:val="19"/>
          <w:szCs w:val="19"/>
        </w:rPr>
        <w:t xml:space="preserve">Orontes spent heavily on equipment and on its investment in Jordan Glass, and it also raised new shares and a bank loan.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produce   ·   restricted   ·   payments   ·   provided   ·   grouped   ·   company's   ·   short-term   ·   because   ·   investments   ·   Moving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flows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0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00"/>
            <w:tcMar>
              <w:top w:type="dxa" w:w="50"/>
              <w:left w:type="dxa" w:w="110"/>
              <w:bottom w:type="dxa" w:w="50"/>
              <w:right w:type="dxa" w:w="110"/>
            </w:tcMar>
          </w:tcPr>
          <w:p>
            <w:pPr>
              <w:spacing w:before="28" w:after="28"/>
            </w:pPr>
            <w:r>
              <w:rPr>
                <w:sz w:val="15"/>
                <w:szCs w:val="15"/>
              </w:rPr>
              <w:t xml:space="preserve">Impairment losses</w:t>
            </w:r>
          </w:p>
        </w:tc>
        <w:tc>
          <w:tcPr>
            <w:tcW w:type="pct" w:w="2400"/>
            <w:tcMar>
              <w:top w:type="dxa" w:w="50"/>
              <w:left w:type="dxa" w:w="110"/>
              <w:bottom w:type="dxa" w:w="50"/>
              <w:right w:type="dxa" w:w="110"/>
            </w:tcMar>
          </w:tcPr>
          <w:p>
            <w:pPr>
              <w:spacing w:before="28" w:after="28"/>
            </w:pPr>
            <w:r>
              <w:rPr>
                <w:sz w:val="15"/>
                <w:szCs w:val="15"/>
              </w:rPr>
              <w:t xml:space="preserve">2,724,000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0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400"/>
            <w:tcMar>
              <w:top w:type="dxa" w:w="50"/>
              <w:left w:type="dxa" w:w="110"/>
              <w:bottom w:type="dxa" w:w="50"/>
              <w:right w:type="dxa" w:w="110"/>
            </w:tcMar>
          </w:tcPr>
          <w:p>
            <w:pPr>
              <w:spacing w:before="28" w:after="28"/>
            </w:pPr>
            <w:r>
              <w:rPr>
                <w:sz w:val="15"/>
                <w:szCs w:val="15"/>
              </w:rPr>
              <w:t xml:space="preserve">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(384,000)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Increase in prepaid expenses</w:t>
            </w:r>
          </w:p>
        </w:tc>
        <w:tc>
          <w:tcPr>
            <w:tcW w:type="pct" w:w="2400"/>
            <w:tcMar>
              <w:top w:type="dxa" w:w="50"/>
              <w:left w:type="dxa" w:w="110"/>
              <w:bottom w:type="dxa" w:w="50"/>
              <w:right w:type="dxa" w:w="110"/>
            </w:tcMar>
          </w:tcPr>
          <w:p>
            <w:pPr>
              <w:spacing w:before="28" w:after="28"/>
            </w:pPr>
            <w:r>
              <w:rPr>
                <w:sz w:val="15"/>
                <w:szCs w:val="15"/>
              </w:rPr>
              <w:t xml:space="preserve">(24,000)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Increase in contract liabilities</w:t>
            </w:r>
          </w:p>
        </w:tc>
        <w:tc>
          <w:tcPr>
            <w:tcW w:type="pct" w:w="2400"/>
            <w:tcMar>
              <w:top w:type="dxa" w:w="50"/>
              <w:left w:type="dxa" w:w="110"/>
              <w:bottom w:type="dxa" w:w="50"/>
              <w:right w:type="dxa" w:w="110"/>
            </w:tcMar>
          </w:tcPr>
          <w:p>
            <w:pPr>
              <w:spacing w:before="28" w:after="28"/>
            </w:pPr>
            <w:r>
              <w:rPr>
                <w:sz w:val="15"/>
                <w:szCs w:val="15"/>
              </w:rPr>
              <w:t xml:space="preserve">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00"/>
            <w:tcMar>
              <w:top w:type="dxa" w:w="50"/>
              <w:left w:type="dxa" w:w="110"/>
              <w:bottom w:type="dxa" w:w="50"/>
              <w:right w:type="dxa" w:w="110"/>
            </w:tcMar>
          </w:tcPr>
          <w:p>
            <w:pPr>
              <w:spacing w:before="28" w:after="28"/>
            </w:pPr>
            <w:r>
              <w:rPr>
                <w:sz w:val="15"/>
                <w:szCs w:val="15"/>
              </w:rPr>
              <w:t xml:space="preserve">Cash flows from investing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00"/>
            <w:tcMar>
              <w:top w:type="dxa" w:w="50"/>
              <w:left w:type="dxa" w:w="110"/>
              <w:bottom w:type="dxa" w:w="50"/>
              <w:right w:type="dxa" w:w="110"/>
            </w:tcMar>
          </w:tcPr>
          <w:p>
            <w:pPr>
              <w:spacing w:before="28" w:after="28"/>
            </w:pPr>
            <w:r>
              <w:rPr>
                <w:sz w:val="15"/>
                <w:szCs w:val="15"/>
              </w:rPr>
              <w:t xml:space="preserve">Proceeds from sale of equipment</w:t>
            </w:r>
          </w:p>
        </w:tc>
        <w:tc>
          <w:tcPr>
            <w:tcW w:type="pct" w:w="2400"/>
            <w:tcMar>
              <w:top w:type="dxa" w:w="50"/>
              <w:left w:type="dxa" w:w="110"/>
              <w:bottom w:type="dxa" w:w="50"/>
              <w:right w:type="dxa" w:w="110"/>
            </w:tcMar>
          </w:tcPr>
          <w:p>
            <w:pPr>
              <w:spacing w:before="28" w:after="28"/>
            </w:pPr>
            <w:r>
              <w:rPr>
                <w:sz w:val="15"/>
                <w:szCs w:val="15"/>
              </w:rPr>
              <w:t xml:space="preserve">21,000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40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0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400"/>
            <w:tcMar>
              <w:top w:type="dxa" w:w="50"/>
              <w:left w:type="dxa" w:w="110"/>
              <w:bottom w:type="dxa" w:w="50"/>
              <w:right w:type="dxa" w:w="110"/>
            </w:tcMar>
          </w:tcPr>
          <w:p>
            <w:pPr>
              <w:spacing w:before="28" w:after="28"/>
            </w:pPr>
            <w:r>
              <w:rPr>
                <w:sz w:val="15"/>
                <w:szCs w:val="15"/>
              </w:rPr>
              <w:t xml:space="preserve">(4,179,000)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Repayment of long-term debt</w:t>
            </w:r>
          </w:p>
        </w:tc>
        <w:tc>
          <w:tcPr>
            <w:tcW w:type="pct" w:w="2400"/>
            <w:tcMar>
              <w:top w:type="dxa" w:w="50"/>
              <w:left w:type="dxa" w:w="110"/>
              <w:bottom w:type="dxa" w:w="50"/>
              <w:right w:type="dxa" w:w="110"/>
            </w:tcMar>
          </w:tcPr>
          <w:p>
            <w:pPr>
              <w:spacing w:before="28" w:after="28"/>
            </w:pPr>
            <w:r>
              <w:rPr>
                <w:sz w:val="15"/>
                <w:szCs w:val="15"/>
              </w:rPr>
              <w:t xml:space="preserve">(400,000)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400"/>
            <w:tcMar>
              <w:top w:type="dxa" w:w="50"/>
              <w:left w:type="dxa" w:w="110"/>
              <w:bottom w:type="dxa" w:w="50"/>
              <w:right w:type="dxa" w:w="110"/>
            </w:tcMar>
          </w:tcPr>
          <w:p>
            <w:pPr>
              <w:spacing w:before="28" w:after="28"/>
            </w:pPr>
            <w:r>
              <w:rPr>
                <w:sz w:val="15"/>
                <w:szCs w:val="15"/>
              </w:rPr>
              <w:t xml:space="preserve">1,850,000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40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00"/>
            <w:tcMar>
              <w:top w:type="dxa" w:w="50"/>
              <w:left w:type="dxa" w:w="110"/>
              <w:bottom w:type="dxa" w:w="50"/>
              <w:right w:type="dxa" w:w="110"/>
            </w:tcMar>
          </w:tcPr>
          <w:p>
            <w:pPr>
              <w:spacing w:before="28" w:after="28"/>
            </w:pPr>
            <w:r>
              <w:rPr>
                <w:sz w:val="15"/>
                <w:szCs w:val="15"/>
              </w:rPr>
              <w:t xml:space="preserve">Cash, January 1, 2025</w:t>
            </w:r>
          </w:p>
        </w:tc>
        <w:tc>
          <w:tcPr>
            <w:tcW w:type="pct" w:w="2400"/>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40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Income taxes paid</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Depreciation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grouped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financing 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 Strong operating cash is a good sign, but a reader should also ask where the cash went. Orontes spent heavily on equipment and on its investment in Jordan Glass, and it also raised new shares and a bank loan.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disclosed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316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issuing shares or a note. </w:t>
      </w:r>
      <w:r>
        <w:rPr>
          <w:sz w:val="19"/>
          <w:szCs w:val="19"/>
        </w:rPr>
        <w:t xml:space="preserve">These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investing and financing activities are not shown in the body of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had none in 2025. </w:t>
      </w:r>
      <w:r>
        <w:rPr>
          <w:sz w:val="19"/>
          <w:szCs w:val="19"/>
        </w:rPr>
        <w:t xml:space="preserve">Under IAS 7 today, interest paid can be operating or financing, and interest and dividends received can be operating or investing.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that come with IFRS 18 remove some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from 2027, but they are not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choices   ·   separately   ·   transactions   ·   noncash   ·   testable   ·   amendments   ·   lenders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spacing w:before="20" w:after="20" w:line="360" w:lineRule="auto"/>
        <w:ind w:left="200"/>
      </w:pPr>
      <w:r>
        <w:rPr>
          <w:sz w:val="19"/>
          <w:szCs w:val="19"/>
        </w:rPr>
        <w:t xml:space="preserve">The first two are done. Classify the other four under U.S. GAAP.</w:t>
      </w:r>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buy back the company's own shares   ·   Land acquired by issuing a long-term note (no cash)   ·   Cash paid to buy a delivery truck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received are operating. </w:t>
      </w:r>
      <w:r>
        <w:rPr>
          <w:sz w:val="19"/>
          <w:szCs w:val="19"/>
        </w:rPr>
        <w:t xml:space="preserve">A note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issued   ·   disclose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noncash investing and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noncash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amendments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choices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Cash paid to buy back the company's own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issued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noncash investing and 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for operating activities.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impairments   ·   indirect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Start with net income: $2,969,100. </w:t>
      </w:r>
      <w:r>
        <w:rPr>
          <w:sz w:val="19"/>
          <w:szCs w:val="19"/>
        </w:rPr>
        <w:t xml:space="preserve">Add depreciation, impairments and deferred taxes, which used no cash: $4,924,000. </w:t>
      </w:r>
      <w:r>
        <w:rPr>
          <w:sz w:val="19"/>
          <w:szCs w:val="19"/>
        </w:rPr>
        <w:t xml:space="preserve">Subtract equity-method income of $177,000, add dividends from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$70,000, and subtract the oven gain of $3,000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gains of $4,000.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changes reduce cash by a net $248,000. </w:t>
      </w:r>
      <w:r>
        <w:rPr>
          <w:sz w:val="19"/>
          <w:szCs w:val="19"/>
        </w:rPr>
        <w:t xml:space="preserve">The total, $7,531,100,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net cash from operating activities.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investees   ·   include   ·   unrealized   ·   Working-capital   ·   equals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Start from net income, never from operating income. </w:t>
      </w:r>
      <w:r>
        <w:rPr>
          <w:sz w:val="19"/>
          <w:szCs w:val="19"/>
        </w:rPr>
        <w:t xml:space="preserve">Dividends payable and notes payable are financing items. </w:t>
      </w:r>
      <w:r>
        <w:rPr>
          <w:sz w:val="19"/>
          <w:szCs w:val="19"/>
        </w:rPr>
        <w:t xml:space="preserve">Do not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their changes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capital. </w:t>
      </w:r>
      <w:r>
        <w:rPr>
          <w:sz w:val="19"/>
          <w:szCs w:val="19"/>
        </w:rPr>
        <w:t xml:space="preserve">Show the full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a sale in investing,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   ·   proceeds   ·   include   ·   investing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activities   ·   indirect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working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indirect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investees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 The total, $7,531,100, equals net cash from operating activities.</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direct method shows the main classes of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payments, such as cash from customers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r>
        <w:rPr>
          <w:sz w:val="19"/>
          <w:szCs w:val="19"/>
        </w:rPr>
        <w:t xml:space="preserve">Cash from customers is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the change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customer deposits. </w:t>
      </w:r>
      <w:r>
        <w:rPr>
          <w:sz w:val="19"/>
          <w:szCs w:val="19"/>
        </w:rPr>
        <w:t xml:space="preserve">Both methods give the same total, $7,531,100; only the presentation differs.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reconciliation   ·   encourages   ·   methods   ·   receipts   ·   adjusted   ·   suppliers</w:t>
            </w:r>
          </w:p>
        </w:tc>
      </w:tr>
    </w:tbl>
    <w:p/>
    <w:p>
      <w:pPr>
        <w:spacing w:before="44" w:after="10"/>
      </w:pPr>
      <w:r>
        <w:rPr>
          <w:b/>
          <w:bCs/>
          <w:color w:val="353A7C"/>
          <w:sz w:val="18"/>
          <w:szCs w:val="18"/>
        </w:rPr>
        <w:t xml:space="preserve">Orontes Foods Inc. — operating activities by the direct method,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6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685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Cash paid to suppliers and employees   ·   Cash received from customers</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 company using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indirect   ·   increase   ·   Orontes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الطريقة المباشرة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receipts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paid to suppliers and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direct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 Cash from customers is sales adjusted for the change in receivables and customer deposits. Both methods give the same total, $7,531,100; only the presentation differs.</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also shows only one year, and it is not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also arbitrary: interest paid is operating under U.S. GAAP but may be financing under IFRS, which makes companies harder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one year of cash flows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stops investing will show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cash flow for a while, even if its future is weak. </w:t>
      </w:r>
      <w:r>
        <w:rPr>
          <w:sz w:val="19"/>
          <w:szCs w:val="19"/>
        </w:rPr>
        <w:t xml:space="preserve">Net income starts the statement of cash flows and increases retained earnings. </w:t>
      </w:r>
      <w:r>
        <w:rPr>
          <w:sz w:val="19"/>
          <w:szCs w:val="19"/>
        </w:rPr>
        <w:t xml:space="preserve">Changes in balance sheet accounts drive the working-capital adjustments. </w:t>
      </w:r>
      <w:r>
        <w:rPr>
          <w:sz w:val="19"/>
          <w:szCs w:val="19"/>
        </w:rPr>
        <w:t xml:space="preserve">Closing cash equals the cash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building   ·   manage   ·   mislead   ·   measure   ·   suppliers   ·   classifications   ·   impossible   ·   strong   ·   Finally   ·   equivalents   ·   receivables   ·   Important   ·   compare</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The links also help you find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are not given.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declared dividends of $450,000, but dividends payable rose by $400,000, so dividends paid were only $50,000. </w:t>
      </w:r>
      <w:r>
        <w:rPr>
          <w:sz w:val="19"/>
          <w:szCs w:val="19"/>
        </w:rPr>
        <w:t xml:space="preserve">That is the amount in the financing section. </w:t>
      </w:r>
      <w:r>
        <w:rPr>
          <w:sz w:val="19"/>
          <w:szCs w:val="19"/>
        </w:rPr>
        <w:t xml:space="preserve">In August 2026 the FASB proposed new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jurisdiction   ·   amounts   ·   digital   ·   change   ·   Closing   ·   definition   ·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586"/>
        <w:gridCol w:w="179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868"/>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932"/>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0"/>
            <w:tcMar>
              <w:top w:type="dxa" w:w="50"/>
              <w:left w:type="dxa" w:w="110"/>
              <w:bottom w:type="dxa" w:w="50"/>
              <w:right w:type="dxa" w:w="110"/>
            </w:tcMar>
          </w:tcPr>
          <w:p>
            <w:pPr>
              <w:spacing w:before="28" w:after="28"/>
            </w:pPr>
            <w:r>
              <w:rPr>
                <w:sz w:val="15"/>
                <w:szCs w:val="15"/>
              </w:rPr>
              <w:t xml:space="preserve">Income statement items, 2026</w:t>
            </w:r>
          </w:p>
        </w:tc>
        <w:tc>
          <w:tcPr>
            <w:tcW w:type="pct" w:w="1868"/>
            <w:tcMar>
              <w:top w:type="dxa" w:w="50"/>
              <w:left w:type="dxa" w:w="110"/>
              <w:bottom w:type="dxa" w:w="50"/>
              <w:right w:type="dxa" w:w="110"/>
            </w:tcMar>
          </w:tcPr>
          <w:p>
            <w:pPr>
              <w:spacing w:before="28" w:after="28"/>
            </w:pPr>
            <w:r>
              <w:rPr>
                <w:sz w:val="15"/>
                <w:szCs w:val="15"/>
              </w:rPr>
              <w:t xml:space="preserve"> </w:t>
            </w:r>
          </w:p>
        </w:tc>
        <w:tc>
          <w:tcPr>
            <w:tcW w:type="pct" w:w="932"/>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1868"/>
            <w:shd w:fill="FBFAF6" w:val="clear"/>
            <w:tcMar>
              <w:top w:type="dxa" w:w="50"/>
              <w:left w:type="dxa" w:w="110"/>
              <w:bottom w:type="dxa" w:w="50"/>
              <w:right w:type="dxa" w:w="110"/>
            </w:tcMar>
          </w:tcPr>
          <w:p>
            <w:pPr>
              <w:spacing w:before="28" w:after="28"/>
            </w:pPr>
            <w:r>
              <w:rPr>
                <w:sz w:val="15"/>
                <w:szCs w:val="15"/>
              </w:rPr>
              <w:t xml:space="preserve">165</w:t>
            </w:r>
          </w:p>
        </w:tc>
        <w:tc>
          <w:tcPr>
            <w:tcW w:type="pct" w:w="932"/>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Depreciation expense</w:t>
            </w:r>
          </w:p>
        </w:tc>
        <w:tc>
          <w:tcPr>
            <w:tcW w:type="pct" w:w="1868"/>
            <w:tcMar>
              <w:top w:type="dxa" w:w="50"/>
              <w:left w:type="dxa" w:w="110"/>
              <w:bottom w:type="dxa" w:w="50"/>
              <w:right w:type="dxa" w:w="110"/>
            </w:tcMar>
          </w:tcPr>
          <w:p>
            <w:pPr>
              <w:spacing w:before="28" w:after="28"/>
            </w:pPr>
            <w:r>
              <w:rPr>
                <w:sz w:val="15"/>
                <w:szCs w:val="15"/>
              </w:rPr>
              <w:t xml:space="preserve">300</w:t>
            </w:r>
          </w:p>
        </w:tc>
        <w:tc>
          <w:tcPr>
            <w:tcW w:type="pct" w:w="932"/>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868"/>
            <w:shd w:fill="FBFAF6" w:val="clear"/>
            <w:tcMar>
              <w:top w:type="dxa" w:w="50"/>
              <w:left w:type="dxa" w:w="110"/>
              <w:bottom w:type="dxa" w:w="50"/>
              <w:right w:type="dxa" w:w="110"/>
            </w:tcMar>
          </w:tcPr>
          <w:p>
            <w:pPr>
              <w:spacing w:before="28" w:after="28"/>
            </w:pPr>
            <w:r>
              <w:rPr>
                <w:sz w:val="15"/>
                <w:szCs w:val="15"/>
              </w:rPr>
              <w:t xml:space="preserve">20</w:t>
            </w:r>
          </w:p>
        </w:tc>
        <w:tc>
          <w:tcPr>
            <w:tcW w:type="pct" w:w="932"/>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868"/>
            <w:tcMar>
              <w:top w:type="dxa" w:w="50"/>
              <w:left w:type="dxa" w:w="110"/>
              <w:bottom w:type="dxa" w:w="50"/>
              <w:right w:type="dxa" w:w="110"/>
            </w:tcMar>
          </w:tcPr>
          <w:p>
            <w:pPr>
              <w:spacing w:before="28" w:after="28"/>
            </w:pPr>
            <w:r>
              <w:rPr>
                <w:sz w:val="15"/>
                <w:szCs w:val="15"/>
              </w:rPr>
              <w:t xml:space="preserve">40</w:t>
            </w:r>
          </w:p>
        </w:tc>
        <w:tc>
          <w:tcPr>
            <w:tcW w:type="pct" w:w="932"/>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Balances</w:t>
            </w:r>
          </w:p>
        </w:tc>
        <w:tc>
          <w:tcPr>
            <w:tcW w:type="pct" w:w="1868"/>
            <w:shd w:fill="FBFAF6" w:val="clear"/>
            <w:tcMar>
              <w:top w:type="dxa" w:w="50"/>
              <w:left w:type="dxa" w:w="110"/>
              <w:bottom w:type="dxa" w:w="50"/>
              <w:right w:type="dxa" w:w="110"/>
            </w:tcMar>
          </w:tcPr>
          <w:p>
            <w:pPr>
              <w:spacing w:before="28" w:after="28"/>
            </w:pPr>
            <w:r>
              <w:rPr>
                <w:sz w:val="15"/>
                <w:szCs w:val="15"/>
              </w:rPr>
              <w:t xml:space="preserve"> </w:t>
            </w:r>
          </w:p>
        </w:tc>
        <w:tc>
          <w:tcPr>
            <w:tcW w:type="pct" w:w="932"/>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Accounts receivable, net</w:t>
            </w:r>
          </w:p>
        </w:tc>
        <w:tc>
          <w:tcPr>
            <w:tcW w:type="pct" w:w="1868"/>
            <w:tcMar>
              <w:top w:type="dxa" w:w="50"/>
              <w:left w:type="dxa" w:w="110"/>
              <w:bottom w:type="dxa" w:w="50"/>
              <w:right w:type="dxa" w:w="110"/>
            </w:tcMar>
          </w:tcPr>
          <w:p>
            <w:pPr>
              <w:spacing w:before="28" w:after="28"/>
            </w:pPr>
            <w:r>
              <w:rPr>
                <w:sz w:val="15"/>
                <w:szCs w:val="15"/>
              </w:rPr>
              <w:t xml:space="preserve">280</w:t>
            </w:r>
          </w:p>
        </w:tc>
        <w:tc>
          <w:tcPr>
            <w:tcW w:type="pct" w:w="932"/>
            <w:tcMar>
              <w:top w:type="dxa" w:w="50"/>
              <w:left w:type="dxa" w:w="110"/>
              <w:bottom w:type="dxa" w:w="50"/>
              <w:right w:type="dxa" w:w="110"/>
            </w:tcMar>
          </w:tcPr>
          <w:p>
            <w:pPr>
              <w:spacing w:before="28" w:after="28"/>
            </w:pPr>
            <w:r>
              <w:rPr>
                <w:sz w:val="15"/>
                <w:szCs w:val="15"/>
              </w:rPr>
              <w:t xml:space="preserve">310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1868"/>
            <w:shd w:fill="FBFAF6" w:val="clear"/>
            <w:tcMar>
              <w:top w:type="dxa" w:w="50"/>
              <w:left w:type="dxa" w:w="110"/>
              <w:bottom w:type="dxa" w:w="50"/>
              <w:right w:type="dxa" w:w="110"/>
            </w:tcMar>
          </w:tcPr>
          <w:p>
            <w:pPr>
              <w:spacing w:before="28" w:after="28"/>
            </w:pPr>
            <w:r>
              <w:rPr>
                <w:sz w:val="15"/>
                <w:szCs w:val="15"/>
              </w:rPr>
              <w:t xml:space="preserve">420</w:t>
            </w:r>
          </w:p>
        </w:tc>
        <w:tc>
          <w:tcPr>
            <w:tcW w:type="pct" w:w="932"/>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868"/>
            <w:tcMar>
              <w:top w:type="dxa" w:w="50"/>
              <w:left w:type="dxa" w:w="110"/>
              <w:bottom w:type="dxa" w:w="50"/>
              <w:right w:type="dxa" w:w="110"/>
            </w:tcMar>
          </w:tcPr>
          <w:p>
            <w:pPr>
              <w:spacing w:before="28" w:after="28"/>
            </w:pPr>
            <w:r>
              <w:rPr>
                <w:sz w:val="15"/>
                <w:szCs w:val="15"/>
              </w:rPr>
              <w:t xml:space="preserve">24</w:t>
            </w:r>
          </w:p>
        </w:tc>
        <w:tc>
          <w:tcPr>
            <w:tcW w:type="pct" w:w="932"/>
            <w:tcMar>
              <w:top w:type="dxa" w:w="50"/>
              <w:left w:type="dxa" w:w="110"/>
              <w:bottom w:type="dxa" w:w="50"/>
              <w:right w:type="dxa" w:w="110"/>
            </w:tcMar>
          </w:tcPr>
          <w:p>
            <w:pPr>
              <w:spacing w:before="28" w:after="28"/>
            </w:pPr>
            <w:r>
              <w:rPr>
                <w:sz w:val="15"/>
                <w:szCs w:val="15"/>
              </w:rPr>
              <w:t xml:space="preserve">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868"/>
            <w:shd w:fill="FBFAF6" w:val="clear"/>
            <w:tcMar>
              <w:top w:type="dxa" w:w="50"/>
              <w:left w:type="dxa" w:w="110"/>
              <w:bottom w:type="dxa" w:w="50"/>
              <w:right w:type="dxa" w:w="110"/>
            </w:tcMar>
          </w:tcPr>
          <w:p>
            <w:pPr>
              <w:spacing w:before="28" w:after="28"/>
            </w:pPr>
            <w:r>
              <w:rPr>
                <w:sz w:val="15"/>
                <w:szCs w:val="15"/>
              </w:rPr>
              <w:t xml:space="preserve">380</w:t>
            </w:r>
          </w:p>
        </w:tc>
        <w:tc>
          <w:tcPr>
            <w:tcW w:type="pct" w:w="932"/>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868"/>
            <w:tcMar>
              <w:top w:type="dxa" w:w="50"/>
              <w:left w:type="dxa" w:w="110"/>
              <w:bottom w:type="dxa" w:w="50"/>
              <w:right w:type="dxa" w:w="110"/>
            </w:tcMar>
          </w:tcPr>
          <w:p>
            <w:pPr>
              <w:spacing w:before="28" w:after="28"/>
            </w:pPr>
            <w:r>
              <w:rPr>
                <w:sz w:val="15"/>
                <w:szCs w:val="15"/>
              </w:rPr>
              <w:t xml:space="preserve">0</w:t>
            </w:r>
          </w:p>
        </w:tc>
        <w:tc>
          <w:tcPr>
            <w:tcW w:type="pct" w:w="932"/>
            <w:tcMar>
              <w:top w:type="dxa" w:w="50"/>
              <w:left w:type="dxa" w:w="110"/>
              <w:bottom w:type="dxa" w:w="50"/>
              <w:right w:type="dxa" w:w="110"/>
            </w:tcMar>
          </w:tcPr>
          <w:p>
            <w:pPr>
              <w:spacing w:before="28" w:after="28"/>
            </w:pPr>
            <w:r>
              <w:rPr>
                <w:sz w:val="15"/>
                <w:szCs w:val="15"/>
              </w:rPr>
              <w:t xml:space="preserve">30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Cash</w:t>
            </w:r>
          </w:p>
        </w:tc>
        <w:tc>
          <w:tcPr>
            <w:tcW w:type="pct" w:w="1868"/>
            <w:shd w:fill="FBFAF6" w:val="clear"/>
            <w:tcMar>
              <w:top w:type="dxa" w:w="50"/>
              <w:left w:type="dxa" w:w="110"/>
              <w:bottom w:type="dxa" w:w="50"/>
              <w:right w:type="dxa" w:w="110"/>
            </w:tcMar>
          </w:tcPr>
          <w:p>
            <w:pPr>
              <w:spacing w:before="28" w:after="28"/>
            </w:pPr>
            <w:r>
              <w:rPr>
                <w:sz w:val="15"/>
                <w:szCs w:val="15"/>
              </w:rPr>
              <w:t xml:space="preserve">1,050</w:t>
            </w:r>
          </w:p>
        </w:tc>
        <w:tc>
          <w:tcPr>
            <w:tcW w:type="pct" w:w="932"/>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868"/>
            <w:tcMar>
              <w:top w:type="dxa" w:w="50"/>
              <w:left w:type="dxa" w:w="110"/>
              <w:bottom w:type="dxa" w:w="50"/>
              <w:right w:type="dxa" w:w="110"/>
            </w:tcMar>
          </w:tcPr>
          <w:p>
            <w:pPr>
              <w:spacing w:before="28" w:after="28"/>
            </w:pPr>
            <w:r>
              <w:rPr>
                <w:sz w:val="15"/>
                <w:szCs w:val="15"/>
              </w:rPr>
              <w:t xml:space="preserve"> </w:t>
            </w:r>
          </w:p>
        </w:tc>
        <w:tc>
          <w:tcPr>
            <w:tcW w:type="pct" w:w="932"/>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868"/>
            <w:shd w:fill="FBFAF6" w:val="clear"/>
            <w:tcMar>
              <w:top w:type="dxa" w:w="50"/>
              <w:left w:type="dxa" w:w="110"/>
              <w:bottom w:type="dxa" w:w="50"/>
              <w:right w:type="dxa" w:w="110"/>
            </w:tcMar>
          </w:tcPr>
          <w:p>
            <w:pPr>
              <w:spacing w:before="28" w:after="28"/>
            </w:pPr>
            <w:r>
              <w:rPr>
                <w:sz w:val="15"/>
                <w:szCs w:val="15"/>
              </w:rPr>
              <w:t xml:space="preserve">70</w:t>
            </w:r>
          </w:p>
        </w:tc>
        <w:tc>
          <w:tcPr>
            <w:tcW w:type="pct" w:w="932"/>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Proceeds from sale of the division</w:t>
            </w:r>
          </w:p>
        </w:tc>
        <w:tc>
          <w:tcPr>
            <w:tcW w:type="pct" w:w="1868"/>
            <w:tcMar>
              <w:top w:type="dxa" w:w="50"/>
              <w:left w:type="dxa" w:w="110"/>
              <w:bottom w:type="dxa" w:w="50"/>
              <w:right w:type="dxa" w:w="110"/>
            </w:tcMar>
          </w:tcPr>
          <w:p>
            <w:pPr>
              <w:spacing w:before="28" w:after="28"/>
            </w:pPr>
            <w:r>
              <w:rPr>
                <w:sz w:val="15"/>
                <w:szCs w:val="15"/>
              </w:rPr>
              <w:t xml:space="preserve">150</w:t>
            </w:r>
          </w:p>
        </w:tc>
        <w:tc>
          <w:tcPr>
            <w:tcW w:type="pct" w:w="932"/>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Purchases of equipment</w:t>
            </w:r>
          </w:p>
        </w:tc>
        <w:tc>
          <w:tcPr>
            <w:tcW w:type="pct" w:w="1868"/>
            <w:shd w:fill="FBFAF6" w:val="clear"/>
            <w:tcMar>
              <w:top w:type="dxa" w:w="50"/>
              <w:left w:type="dxa" w:w="110"/>
              <w:bottom w:type="dxa" w:w="50"/>
              <w:right w:type="dxa" w:w="110"/>
            </w:tcMar>
          </w:tcPr>
          <w:p>
            <w:pPr>
              <w:spacing w:before="28" w:after="28"/>
            </w:pPr>
            <w:r>
              <w:rPr>
                <w:sz w:val="15"/>
                <w:szCs w:val="15"/>
              </w:rPr>
              <w:t xml:space="preserve">200</w:t>
            </w:r>
          </w:p>
        </w:tc>
        <w:tc>
          <w:tcPr>
            <w:tcW w:type="pct" w:w="932"/>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1868"/>
            <w:tcMar>
              <w:top w:type="dxa" w:w="50"/>
              <w:left w:type="dxa" w:w="110"/>
              <w:bottom w:type="dxa" w:w="50"/>
              <w:right w:type="dxa" w:w="110"/>
            </w:tcMar>
          </w:tcPr>
          <w:p>
            <w:pPr>
              <w:spacing w:before="28" w:after="28"/>
            </w:pPr>
            <w:r>
              <w:rPr>
                <w:sz w:val="15"/>
                <w:szCs w:val="15"/>
              </w:rPr>
              <w:t xml:space="preserve">300</w:t>
            </w:r>
          </w:p>
        </w:tc>
        <w:tc>
          <w:tcPr>
            <w:tcW w:type="pct" w:w="932"/>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868"/>
            <w:shd w:fill="FBFAF6" w:val="clear"/>
            <w:tcMar>
              <w:top w:type="dxa" w:w="50"/>
              <w:left w:type="dxa" w:w="110"/>
              <w:bottom w:type="dxa" w:w="50"/>
              <w:right w:type="dxa" w:w="110"/>
            </w:tcMar>
          </w:tcPr>
          <w:p>
            <w:pPr>
              <w:spacing w:before="28" w:after="28"/>
            </w:pPr>
            <w:r>
              <w:rPr>
                <w:sz w:val="15"/>
                <w:szCs w:val="15"/>
              </w:rPr>
              <w:t xml:space="preserve">50</w:t>
            </w:r>
          </w:p>
        </w:tc>
        <w:tc>
          <w:tcPr>
            <w:tcW w:type="pct" w:w="932"/>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868"/>
            <w:tcMar>
              <w:top w:type="dxa" w:w="50"/>
              <w:left w:type="dxa" w:w="110"/>
              <w:bottom w:type="dxa" w:w="50"/>
              <w:right w:type="dxa" w:w="110"/>
            </w:tcMar>
          </w:tcPr>
          <w:p>
            <w:pPr>
              <w:spacing w:before="28" w:after="28"/>
            </w:pPr>
            <w:r>
              <w:rPr>
                <w:sz w:val="15"/>
                <w:szCs w:val="15"/>
              </w:rPr>
              <w:t xml:space="preserve">480</w:t>
            </w:r>
          </w:p>
        </w:tc>
        <w:tc>
          <w:tcPr>
            <w:tcW w:type="pct" w:w="932"/>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868"/>
            <w:shd w:fill="FBFAF6" w:val="clear"/>
            <w:tcMar>
              <w:top w:type="dxa" w:w="50"/>
              <w:left w:type="dxa" w:w="110"/>
              <w:bottom w:type="dxa" w:w="50"/>
              <w:right w:type="dxa" w:w="110"/>
            </w:tcMar>
          </w:tcPr>
          <w:p>
            <w:pPr>
              <w:spacing w:before="28" w:after="28"/>
            </w:pPr>
            <w:r>
              <w:rPr>
                <w:sz w:val="15"/>
                <w:szCs w:val="15"/>
              </w:rPr>
              <w:t xml:space="preserve">200</w:t>
            </w:r>
          </w:p>
        </w:tc>
        <w:tc>
          <w:tcPr>
            <w:tcW w:type="pct" w:w="932"/>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868"/>
            <w:tcMar>
              <w:top w:type="dxa" w:w="50"/>
              <w:left w:type="dxa" w:w="110"/>
              <w:bottom w:type="dxa" w:w="50"/>
              <w:right w:type="dxa" w:w="110"/>
            </w:tcMar>
          </w:tcPr>
          <w:p>
            <w:pPr>
              <w:spacing w:before="28" w:after="28"/>
            </w:pPr>
            <w:r>
              <w:rPr>
                <w:sz w:val="15"/>
                <w:szCs w:val="15"/>
              </w:rPr>
              <w:t xml:space="preserve">121</w:t>
            </w:r>
          </w:p>
        </w:tc>
        <w:tc>
          <w:tcPr>
            <w:tcW w:type="pct" w:w="932"/>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Proceeds from sale of equipment   ·   Proceeds from sale of the division   ·   Income taxes payable   ·   Gain on sale of equipment   ·   Accounts payable   ·   Other 2026 cash information   ·   Prepaid rent   ·   Treasury stock bought (Chapter 4, E1)   ·   Note installment repaid (Chapter 2, M1)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Investing: another company's securities.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bought   ·   operating activities   ·   Lawsuit settlement paid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statement of cash flows   ·   cash equivalents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Other 2026 cash 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Proceeds from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Note installment repaid (Chapter 2,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Treasury stock bought (Chapter 4, E1)</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strong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Investing: another company's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Lawsuit settlement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Treasury stock 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cash equivalents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definition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Net income starts the statement of cash flows and increases retained earnings. Changes in balance sheet accounts drive the working-capital adjustments. Closing cash equals the cash on the balance sheet.</w:t>
      </w:r>
    </w:p>
    <w:p>
      <w:pPr>
        <w:spacing w:before="20" w:after="20"/>
        <w:ind w:left="240" w:hanging="240"/>
      </w:pPr>
      <w:r>
        <w:rPr>
          <w:b/>
          <w:bCs/>
          <w:color w:val="353A7C"/>
          <w:sz w:val="15"/>
          <w:szCs w:val="15"/>
        </w:rPr>
        <w:t xml:space="preserve">Summary 2   </w:t>
      </w:r>
      <w:r>
        <w:rPr>
          <w:color w:val="6B7280"/>
          <w:sz w:val="15"/>
          <w:szCs w:val="15"/>
        </w:rPr>
        <w:t xml:space="preserve">The links also help you find amounts that are not given. Orontes declared dividends of $450,000, but dividends payable rose by $400,000, so dividends paid were only $50,000. That is the amount in the financing section. 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2ccdcef03ee4613a15991a3f896b6b54d951f4d.png" Type="http://schemas.openxmlformats.org/officeDocument/2006/relationships/image"/><Relationship Id="rId102" Target="media/f82deda45a82a14e264ea539b199d017d2b38e40.png" Type="http://schemas.openxmlformats.org/officeDocument/2006/relationships/image"/><Relationship Id="rId103" Target="media/5b69b18091c224a5d668911800d96392b59f9951.png" Type="http://schemas.openxmlformats.org/officeDocument/2006/relationships/image"/><Relationship Id="rId104" Target="media/609f0d9f0eb62dac0dfa2f268f8ad76b23f5b497.png" Type="http://schemas.openxmlformats.org/officeDocument/2006/relationships/image"/><Relationship Id="rId105" Target="media/e9863b3a917dd597b7804a372b570b27ff46c482.png" Type="http://schemas.openxmlformats.org/officeDocument/2006/relationships/image"/><Relationship Id="rId106" Target="media/0e3dcc198ce4b402c04a40ded42335ed43da313a.png" Type="http://schemas.openxmlformats.org/officeDocument/2006/relationships/image"/><Relationship Id="rId107" Target="media/4c9bf201afe717464ecdb6dbdcafe1b5eb8a1a70.png" Type="http://schemas.openxmlformats.org/officeDocument/2006/relationships/image"/><Relationship Id="rId108" Target="media/509789cb55b99496ea9980b1315d826230115f89.png" Type="http://schemas.openxmlformats.org/officeDocument/2006/relationships/image"/><Relationship Id="rId109" Target="media/e3ae8f768a944b53a05e3e3266d45e8ac1446d42.png" Type="http://schemas.openxmlformats.org/officeDocument/2006/relationships/image"/><Relationship Id="rId110" Target="media/b65c4dc59e0a57811a7a204e7705c1965b0eda86.png" Type="http://schemas.openxmlformats.org/officeDocument/2006/relationships/image"/><Relationship Id="rId111" Target="media/d64106c3134633d5b57940535a25c2a49872351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5</dc:title>
  <dc:subject>Summary handouts</dc:subject>
  <cp:category>Student Book</cp:category>
</cp:coreProperties>
</file>