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year-end. </w:t>
      </w:r>
      <w:r>
        <w:rPr>
          <w:sz w:val="19"/>
          <w:szCs w:val="19"/>
        </w:rPr>
        <w:t xml:space="preserve">Under FOB shipping point, control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passes   ·   arrive   ·   manufacturer   ·   special   ·   situations</w:t>
            </w:r>
          </w:p>
        </w:tc>
      </w:tr>
    </w:tbl>
    <w:p/>
    <w:p>
      <w:pPr>
        <w:spacing w:before="44" w:after="14"/>
      </w:pPr>
      <w:r>
        <w:rPr>
          <w:b/>
          <w:bCs/>
          <w:color w:val="353A7C"/>
          <w:sz w:val="18"/>
          <w:szCs w:val="18"/>
        </w:rPr>
        <w:t xml:space="preserve">Summary 2</w:t>
      </w:r>
      <w:r>
        <w:rPr>
          <w:color w:val="6B7280"/>
          <w:sz w:val="16"/>
          <w:szCs w:val="16"/>
        </w:rPr>
        <w:t xml:space="preserve">      gaps 15–24</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consignee never includes them, even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Use it for every year-end item in an exam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somewhere   ·   question   ·   chapters   ·   warehouse   ·   customers   ·   consigned   ·   others   ·   special   ·   physical   ·   though   ·   consignor's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FOB shipping point: the BUYER includes goods in transit. </w:t>
      </w:r>
      <w:r>
        <w:rPr>
          <w:sz w:val="19"/>
          <w:szCs w:val="19"/>
        </w:rPr>
        <w:t xml:space="preserve">FOB destination: the SELLER includes them. </w:t>
      </w:r>
      <w:r>
        <w:rPr>
          <w:sz w:val="19"/>
          <w:szCs w:val="19"/>
        </w:rPr>
        <w:t xml:space="preserve">Many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goods, even when they are on its own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shelves   ·   consigned   ·   candidates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destination are simple shipping terms that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who controls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consignee   ·   decide   ·   loading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consigned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arrive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others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Use it for every year-end item in an exam question.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condition and location. </w:t>
      </w:r>
      <w:r>
        <w:rPr>
          <w:sz w:val="19"/>
          <w:szCs w:val="19"/>
        </w:rPr>
        <w:t xml:space="preserve">These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expenses in the period in which they occur. </w:t>
      </w:r>
      <w:r>
        <w:rPr>
          <w:sz w:val="19"/>
          <w:szCs w:val="19"/>
        </w:rPr>
        <w:t xml:space="preserve">For goods that are bought, cost includes the purchase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taxes and handling, less trade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any purchase discount taken for early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   ·   needed   ·   discounts   ·   expects   ·   direct   ·   recorded   ·   inventoriable   ·   freight-in   ·   capacity   ·   unusually   ·   expense   ·   non-refundable   ·   payment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abnormal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an expense, not inventory cost. </w:t>
      </w:r>
      <w:r>
        <w:rPr>
          <w:sz w:val="19"/>
          <w:szCs w:val="19"/>
        </w:rPr>
        <w:t xml:space="preserve">Period costs include freight-out to customers, sales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advertising, general and administrative costs, and the storage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freight   ·   finished   ·   commissions   ·   routinely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p>
      <w:pPr>
        <w:spacing w:before="44" w:after="10"/>
      </w:pPr>
      <w:r>
        <w:rPr>
          <w:b/>
          <w:bCs/>
          <w:color w:val="353A7C"/>
          <w:sz w:val="18"/>
          <w:szCs w:val="18"/>
        </w:rPr>
        <w:t xml:space="preserve">The cost of imported glass bottles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01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13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capacity   ·   Insurance while the bottles are in transit   ·   Invoice price</w:t>
            </w:r>
          </w:p>
        </w:tc>
      </w:tr>
    </w:tbl>
    <w:p/>
    <w:p>
      <w:pPr>
        <w:spacing w:before="44" w:after="14"/>
      </w:pPr>
      <w:r>
        <w:rPr>
          <w:b/>
          <w:bCs/>
          <w:color w:val="353A7C"/>
          <w:sz w:val="18"/>
          <w:szCs w:val="18"/>
        </w:rPr>
        <w:t xml:space="preserve">Summary 4</w:t>
      </w:r>
      <w:r>
        <w:rPr>
          <w:color w:val="6B7280"/>
          <w:sz w:val="16"/>
          <w:szCs w:val="16"/>
        </w:rPr>
        <w:t xml:space="preserve">      gaps 21–25</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condition and location, so they are expenses. </w:t>
      </w:r>
      <w:r>
        <w:rPr>
          <w:sz w:val="19"/>
          <w:szCs w:val="19"/>
        </w:rPr>
        <w:t xml:space="preserve">IAS 2 uses the same idea of cost and lists the same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abnormal waste, storage, administrative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selling costs. </w:t>
      </w:r>
      <w:r>
        <w:rPr>
          <w:sz w:val="19"/>
          <w:szCs w:val="19"/>
        </w:rPr>
        <w:t xml:space="preserve">The big IFRS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overheads   ·   exclusions   ·   difference   ·   payment   ·   bottom   ·   happen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Invoice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Insurance while the bottles are in transit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overheads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abnormal waste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identification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actual cost of each item. </w:t>
      </w:r>
      <w:r>
        <w:rPr>
          <w:sz w:val="19"/>
          <w:szCs w:val="19"/>
        </w:rPr>
        <w:t xml:space="preserve">It suits unique,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last-in   ·   change   ·   physical   ·   jewelry   ·   expensive   ·   decision   ·   available   ·   others   ·   first-in   ·   tracks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sells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olive oil in cases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periodic system. </w:t>
      </w:r>
      <w:r>
        <w:rPr>
          <w:sz w:val="19"/>
          <w:szCs w:val="19"/>
        </w:rPr>
        <w:t xml:space="preserve">Goods available: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twelve   ·   premium   ·   Prices   ·   bought</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In each row, ending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20–27</w:t>
      </w:r>
    </w:p>
    <w:p>
      <w:pPr>
        <w:spacing w:before="20" w:after="20" w:line="360" w:lineRule="auto"/>
        <w:ind w:left="200"/>
      </w:pPr>
      <w:r>
        <w:rPr>
          <w:sz w:val="19"/>
          <w:szCs w:val="19"/>
        </w:rPr>
        <w:t xml:space="preserve">In a periodic inventory system,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calculates cost of goods sold for the whole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In a perpetual inventory system,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because the oldest units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always   ·   because   ·   updates   ·   November   ·   systems   ·   year-end   ·   moving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28–33</w:t>
      </w:r>
    </w:p>
    <w:p>
      <w:pPr>
        <w:spacing w:before="20" w:after="20" w:line="360" w:lineRule="auto"/>
        <w:ind w:left="200"/>
      </w:pPr>
      <w:r>
        <w:rPr>
          <w:sz w:val="19"/>
          <w:szCs w:val="19"/>
        </w:rPr>
        <w:t xml:space="preserve">The Dubai plant had 3,000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pastry trays available in 2025, costing $68,000. </w:t>
      </w:r>
      <w:r>
        <w:rPr>
          <w:sz w:val="19"/>
          <w:szCs w:val="19"/>
        </w:rPr>
        <w:t xml:space="preserve">It sold 2,200 trays.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inventory equals the cost of goods available. </w:t>
      </w:r>
      <w:r>
        <w:rPr>
          <w:sz w:val="19"/>
          <w:szCs w:val="19"/>
        </w:rPr>
        <w:t xml:space="preserve">IAS 2 allows FIFO and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average, and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specific identification for items that are not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jewelry   ·   frozen   ·   requires   ·   weighted   ·   interchangeable   ·   frameworks   ·   Complete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Talking about time and order</w:t>
            </w:r>
          </w:p>
        </w:tc>
      </w:tr>
    </w:tbl>
    <w:p/>
    <w:p>
      <w:pPr>
        <w:spacing w:before="20" w:after="20" w:line="360" w:lineRule="auto"/>
        <w:ind w:left="200"/>
      </w:pPr>
      <w:r>
        <w:rPr>
          <w:sz w:val="19"/>
          <w:szCs w:val="19"/>
        </w:rPr>
        <w:t xml:space="preserve">Under LIFO, the company adds a layer when it buys more than it sells. A company can use LIFO even if it ships its oldest bottles first.</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tracks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twelve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rising,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 very different results. </w:t>
      </w:r>
      <w:r>
        <w:rPr>
          <w:sz w:val="19"/>
          <w:szCs w:val="19"/>
        </w:rPr>
        <w:t xml:space="preserve">FIFO puts the 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all these relationships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Each method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reverse   ·   includes   ·   weighted   ·   lowest   ·   profit   ·   revenues   ·   opposite   ·   strength   ·   methods   ·   falling   ·   sometimes   ·   economic   ·   cheaper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relationships.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Income rises for one year. </w:t>
      </w:r>
      <w:r>
        <w:rPr>
          <w:sz w:val="19"/>
          <w:szCs w:val="19"/>
        </w:rPr>
        <w:t xml:space="preserve">This is not a lasting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disclose   ·   improvement   ·   analyst   ·   illustrative   ·   during   ·   low-cost   ·   material   ·   started</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rising prices, LIFO gives LOWER income and LOWER taxes,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higher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inventory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amounts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illustrative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Orontes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Retained earnings are overstated at the end of 2025 but correct at the end of 2026. </w:t>
      </w:r>
      <w:r>
        <w:rPr>
          <w:sz w:val="19"/>
          <w:szCs w:val="19"/>
        </w:rPr>
        <w:t xml:space="preserve">This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exam item: when a purchase is left out of both purchases and the count, cost of goods sold and income are still correct, but inventory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already   ·   classic   ·   because   ·   accounts   ·   cancel   ·   Remember   ·   counterbalancing   ·   similar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3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319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tells you the direction. </w:t>
      </w:r>
      <w:r>
        <w:rPr>
          <w:sz w:val="19"/>
          <w:szCs w:val="19"/>
        </w:rPr>
        <w:t xml:space="preserve">Net income is overstated by 40 (the size of the error), not overstated to 940. </w:t>
      </w:r>
      <w:r>
        <w:rPr>
          <w:sz w:val="19"/>
          <w:szCs w:val="19"/>
        </w:rPr>
        <w:t xml:space="preserve">In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find the direction for the first year, then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reverse   ·   prefix   ·   correct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Over- and under-</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Date / item</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Details</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Cartons</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USD</w:t>
            </w:r>
          </w:p>
        </w:tc>
      </w:tr>
      <w:tr>
        <w:tc>
          <w:tcPr>
            <w:tcW w:type="pct" w:w="933"/>
            <w:tcMar>
              <w:top w:type="dxa" w:w="50"/>
              <w:left w:type="dxa" w:w="110"/>
              <w:bottom w:type="dxa" w:w="50"/>
              <w:right w:type="dxa" w:w="110"/>
            </w:tcMar>
          </w:tcPr>
          <w:p>
            <w:pPr>
              <w:spacing w:before="28" w:after="28"/>
            </w:pPr>
            <w:r>
              <w:rPr>
                <w:sz w:val="15"/>
                <w:szCs w:val="15"/>
              </w:rPr>
              <w:t xml:space="preserve">Jan 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933"/>
            <w:tcMar>
              <w:top w:type="dxa" w:w="50"/>
              <w:left w:type="dxa" w:w="110"/>
              <w:bottom w:type="dxa" w:w="50"/>
              <w:right w:type="dxa" w:w="110"/>
            </w:tcMar>
          </w:tcPr>
          <w:p>
            <w:pPr>
              <w:spacing w:before="28" w:after="28"/>
            </w:pPr>
            <w:r>
              <w:rPr>
                <w:sz w:val="15"/>
                <w:szCs w:val="15"/>
              </w:rPr>
              <w:t xml:space="preserve">4,000</w:t>
            </w:r>
          </w:p>
        </w:tc>
        <w:tc>
          <w:tcPr>
            <w:tcW w:type="pct" w:w="933"/>
            <w:tcMar>
              <w:top w:type="dxa" w:w="50"/>
              <w:left w:type="dxa" w:w="110"/>
              <w:bottom w:type="dxa" w:w="50"/>
              <w:right w:type="dxa" w:w="110"/>
            </w:tcMar>
          </w:tcPr>
          <w:p>
            <w:pPr>
              <w:spacing w:before="28" w:after="28"/>
            </w:pPr>
            <w:r>
              <w:rPr>
                <w:sz w:val="15"/>
                <w:szCs w:val="15"/>
              </w:rPr>
              <w:t xml:space="preserve">120,000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Feb 14</w:t>
            </w:r>
          </w:p>
        </w:tc>
        <w:tc>
          <w:tcPr>
            <w:tcW w:type="pct" w:w="2200"/>
            <w:shd w:fill="FBFAF6" w:val="clear"/>
            <w:tcMar>
              <w:top w:type="dxa" w:w="50"/>
              <w:left w:type="dxa" w:w="110"/>
              <w:bottom w:type="dxa" w:w="50"/>
              <w:right w:type="dxa" w:w="110"/>
            </w:tcMar>
          </w:tcPr>
          <w:p>
            <w:pPr>
              <w:spacing w:before="28" w:after="28"/>
            </w:pPr>
            <w:r>
              <w:rPr>
                <w:sz w:val="15"/>
                <w:szCs w:val="15"/>
              </w:rPr>
              <w:t xml:space="preserve">Purchase at $31</w:t>
            </w:r>
          </w:p>
        </w:tc>
        <w:tc>
          <w:tcPr>
            <w:tcW w:type="pct" w:w="933"/>
            <w:shd w:fill="FBFAF6" w:val="clear"/>
            <w:tcMar>
              <w:top w:type="dxa" w:w="50"/>
              <w:left w:type="dxa" w:w="110"/>
              <w:bottom w:type="dxa" w:w="50"/>
              <w:right w:type="dxa" w:w="110"/>
            </w:tcMar>
          </w:tcPr>
          <w:p>
            <w:pPr>
              <w:spacing w:before="28" w:after="28"/>
            </w:pPr>
            <w:r>
              <w:rPr>
                <w:sz w:val="15"/>
                <w:szCs w:val="15"/>
              </w:rPr>
              <w:t xml:space="preserve">10,000</w:t>
            </w:r>
          </w:p>
        </w:tc>
        <w:tc>
          <w:tcPr>
            <w:tcW w:type="pct" w:w="933"/>
            <w:shd w:fill="FBFAF6" w:val="clear"/>
            <w:tcMar>
              <w:top w:type="dxa" w:w="50"/>
              <w:left w:type="dxa" w:w="110"/>
              <w:bottom w:type="dxa" w:w="50"/>
              <w:right w:type="dxa" w:w="110"/>
            </w:tcMar>
          </w:tcPr>
          <w:p>
            <w:pPr>
              <w:spacing w:before="28" w:after="28"/>
            </w:pPr>
            <w:r>
              <w:rPr>
                <w:sz w:val="15"/>
                <w:szCs w:val="15"/>
              </w:rPr>
              <w:t xml:space="preserve">310,000</w:t>
            </w:r>
          </w:p>
        </w:tc>
      </w:tr>
      <w:tr>
        <w:tc>
          <w:tcPr>
            <w:tcW w:type="pct" w:w="933"/>
            <w:tcMar>
              <w:top w:type="dxa" w:w="50"/>
              <w:left w:type="dxa" w:w="110"/>
              <w:bottom w:type="dxa" w:w="50"/>
              <w:right w:type="dxa" w:w="110"/>
            </w:tcMar>
          </w:tcPr>
          <w:p>
            <w:pPr>
              <w:spacing w:before="28" w:after="28"/>
            </w:pPr>
            <w:r>
              <w:rPr>
                <w:sz w:val="15"/>
                <w:szCs w:val="15"/>
              </w:rPr>
              <w:t xml:space="preserve">Jun 3</w:t>
            </w:r>
          </w:p>
        </w:tc>
        <w:tc>
          <w:tcPr>
            <w:tcW w:type="pct" w:w="2200"/>
            <w:tcMar>
              <w:top w:type="dxa" w:w="50"/>
              <w:left w:type="dxa" w:w="110"/>
              <w:bottom w:type="dxa" w:w="50"/>
              <w:right w:type="dxa" w:w="110"/>
            </w:tcMar>
          </w:tcPr>
          <w:p>
            <w:pPr>
              <w:spacing w:before="28" w:after="28"/>
            </w:pPr>
            <w:r>
              <w:rPr>
                <w:sz w:val="15"/>
                <w:szCs w:val="15"/>
              </w:rPr>
              <w:t xml:space="preserve">Purchase at $33</w:t>
            </w:r>
          </w:p>
        </w:tc>
        <w:tc>
          <w:tcPr>
            <w:tcW w:type="pct" w:w="933"/>
            <w:tcMar>
              <w:top w:type="dxa" w:w="50"/>
              <w:left w:type="dxa" w:w="110"/>
              <w:bottom w:type="dxa" w:w="50"/>
              <w:right w:type="dxa" w:w="110"/>
            </w:tcMar>
          </w:tcPr>
          <w:p>
            <w:pPr>
              <w:spacing w:before="28" w:after="28"/>
            </w:pPr>
            <w:r>
              <w:rPr>
                <w:sz w:val="15"/>
                <w:szCs w:val="15"/>
              </w:rPr>
              <w:t xml:space="preserve">12,000</w:t>
            </w:r>
          </w:p>
        </w:tc>
        <w:tc>
          <w:tcPr>
            <w:tcW w:type="pct" w:w="933"/>
            <w:tcMar>
              <w:top w:type="dxa" w:w="50"/>
              <w:left w:type="dxa" w:w="110"/>
              <w:bottom w:type="dxa" w:w="50"/>
              <w:right w:type="dxa" w:w="110"/>
            </w:tcMar>
          </w:tcPr>
          <w:p>
            <w:pPr>
              <w:spacing w:before="28" w:after="28"/>
            </w:pPr>
            <w:r>
              <w:rPr>
                <w:sz w:val="15"/>
                <w:szCs w:val="15"/>
              </w:rPr>
              <w:t xml:space="preserve">396,000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Sep 21</w:t>
            </w:r>
          </w:p>
        </w:tc>
        <w:tc>
          <w:tcPr>
            <w:tcW w:type="pct" w:w="2200"/>
            <w:shd w:fill="FBFAF6" w:val="clear"/>
            <w:tcMar>
              <w:top w:type="dxa" w:w="50"/>
              <w:left w:type="dxa" w:w="110"/>
              <w:bottom w:type="dxa" w:w="50"/>
              <w:right w:type="dxa" w:w="110"/>
            </w:tcMar>
          </w:tcPr>
          <w:p>
            <w:pPr>
              <w:spacing w:before="28" w:after="28"/>
            </w:pPr>
            <w:r>
              <w:rPr>
                <w:sz w:val="15"/>
                <w:szCs w:val="15"/>
              </w:rPr>
              <w:t xml:space="preserve">Purchase at $34</w:t>
            </w:r>
          </w:p>
        </w:tc>
        <w:tc>
          <w:tcPr>
            <w:tcW w:type="pct" w:w="933"/>
            <w:shd w:fill="FBFAF6" w:val="clear"/>
            <w:tcMar>
              <w:top w:type="dxa" w:w="50"/>
              <w:left w:type="dxa" w:w="110"/>
              <w:bottom w:type="dxa" w:w="50"/>
              <w:right w:type="dxa" w:w="110"/>
            </w:tcMar>
          </w:tcPr>
          <w:p>
            <w:pPr>
              <w:spacing w:before="28" w:after="28"/>
            </w:pPr>
            <w:r>
              <w:rPr>
                <w:sz w:val="15"/>
                <w:szCs w:val="15"/>
              </w:rPr>
              <w:t xml:space="preserve">8,000</w:t>
            </w:r>
          </w:p>
        </w:tc>
        <w:tc>
          <w:tcPr>
            <w:tcW w:type="pct" w:w="933"/>
            <w:shd w:fill="FBFAF6" w:val="clear"/>
            <w:tcMar>
              <w:top w:type="dxa" w:w="50"/>
              <w:left w:type="dxa" w:w="110"/>
              <w:bottom w:type="dxa" w:w="50"/>
              <w:right w:type="dxa" w:w="110"/>
            </w:tcMar>
          </w:tcPr>
          <w:p>
            <w:pPr>
              <w:spacing w:before="28" w:after="28"/>
            </w:pPr>
            <w:r>
              <w:rPr>
                <w:sz w:val="15"/>
                <w:szCs w:val="15"/>
              </w:rPr>
              <w:t xml:space="preserve">272,000</w:t>
            </w:r>
          </w:p>
        </w:tc>
      </w:tr>
      <w:tr>
        <w:tc>
          <w:tcPr>
            <w:tcW w:type="pct" w:w="933"/>
            <w:tcMar>
              <w:top w:type="dxa" w:w="50"/>
              <w:left w:type="dxa" w:w="110"/>
              <w:bottom w:type="dxa" w:w="50"/>
              <w:right w:type="dxa" w:w="110"/>
            </w:tcMar>
          </w:tcPr>
          <w:p>
            <w:pPr>
              <w:spacing w:before="28" w:after="28"/>
            </w:pPr>
            <w:r>
              <w:rPr>
                <w:sz w:val="15"/>
                <w:szCs w:val="15"/>
              </w:rPr>
              <w:t xml:space="preserve">Dec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933"/>
            <w:tcMar>
              <w:top w:type="dxa" w:w="50"/>
              <w:left w:type="dxa" w:w="110"/>
              <w:bottom w:type="dxa" w:w="50"/>
              <w:right w:type="dxa" w:w="110"/>
            </w:tcMar>
          </w:tcPr>
          <w:p>
            <w:pPr>
              <w:spacing w:before="28" w:after="28"/>
            </w:pPr>
            <w:r>
              <w:rPr>
                <w:sz w:val="15"/>
                <w:szCs w:val="15"/>
              </w:rPr>
              <w:t xml:space="preserve">6,000</w:t>
            </w:r>
          </w:p>
        </w:tc>
        <w:tc>
          <w:tcPr>
            <w:tcW w:type="pct" w:w="933"/>
            <w:tcMar>
              <w:top w:type="dxa" w:w="50"/>
              <w:left w:type="dxa" w:w="110"/>
              <w:bottom w:type="dxa" w:w="50"/>
              <w:right w:type="dxa" w:w="110"/>
            </w:tcMar>
          </w:tcPr>
          <w:p>
            <w:pPr>
              <w:spacing w:before="28" w:after="28"/>
            </w:pPr>
            <w:r>
              <w:rPr>
                <w:sz w:val="15"/>
                <w:szCs w:val="15"/>
              </w:rPr>
              <w:t xml:space="preserve">210,000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Goods available for sale</w:t>
            </w:r>
          </w:p>
        </w:tc>
        <w:tc>
          <w:tcPr>
            <w:tcW w:type="pct" w:w="933"/>
            <w:shd w:fill="FBFAF6" w:val="clear"/>
            <w:tcMar>
              <w:top w:type="dxa" w:w="50"/>
              <w:left w:type="dxa" w:w="110"/>
              <w:bottom w:type="dxa" w:w="50"/>
              <w:right w:type="dxa" w:w="110"/>
            </w:tcMar>
          </w:tcPr>
          <w:p>
            <w:pPr>
              <w:spacing w:before="28" w:after="28"/>
            </w:pPr>
            <w:r>
              <w:rPr>
                <w:sz w:val="15"/>
                <w:szCs w:val="15"/>
              </w:rPr>
              <w:t xml:space="preserve">40,000</w:t>
            </w:r>
          </w:p>
        </w:tc>
        <w:tc>
          <w:tcPr>
            <w:tcW w:type="pct" w:w="933"/>
            <w:shd w:fill="FBFAF6" w:val="clear"/>
            <w:tcMar>
              <w:top w:type="dxa" w:w="50"/>
              <w:left w:type="dxa" w:w="110"/>
              <w:bottom w:type="dxa" w:w="50"/>
              <w:right w:type="dxa" w:w="110"/>
            </w:tcMar>
          </w:tcPr>
          <w:p>
            <w:pPr>
              <w:spacing w:before="28" w:after="28"/>
            </w:pPr>
            <w:r>
              <w:rPr>
                <w:sz w:val="15"/>
                <w:szCs w:val="15"/>
              </w:rPr>
              <w:t xml:space="preserve">1,308,000</w:t>
            </w:r>
          </w:p>
        </w:tc>
      </w:tr>
      <w:tr>
        <w:tc>
          <w:tcPr>
            <w:tcW w:type="pct" w:w="933"/>
            <w:tcMar>
              <w:top w:type="dxa" w:w="50"/>
              <w:left w:type="dxa" w:w="110"/>
              <w:bottom w:type="dxa" w:w="50"/>
              <w:right w:type="dxa" w:w="110"/>
            </w:tcMar>
          </w:tcPr>
          <w:p>
            <w:pPr>
              <w:spacing w:before="28" w:after="28"/>
            </w:pPr>
            <w:r>
              <w:rPr>
                <w:sz w:val="15"/>
                <w:szCs w:val="15"/>
              </w:rPr>
              <w:t xml:space="preserve">Dec 31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7,500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M1</w:t>
            </w:r>
          </w:p>
        </w:tc>
        <w:tc>
          <w:tcPr>
            <w:tcW w:type="pct" w:w="2200"/>
            <w:tcMar>
              <w:top w:type="dxa" w:w="50"/>
              <w:left w:type="dxa" w:w="110"/>
              <w:bottom w:type="dxa" w:w="50"/>
              <w:right w:type="dxa" w:w="110"/>
            </w:tcMar>
          </w:tcPr>
          <w:p>
            <w:pPr>
              <w:spacing w:before="28" w:after="28"/>
            </w:pPr>
            <w:r>
              <w:rPr>
                <w:sz w:val="15"/>
                <w:szCs w:val="15"/>
              </w:rPr>
              <w:t xml:space="preserve">Cartons bought on December 29, FOB shipping point, still on the truck on December 31. The purchase is already recorded.</w:t>
            </w:r>
          </w:p>
        </w:tc>
        <w:tc>
          <w:tcPr>
            <w:tcW w:type="pct" w:w="933"/>
            <w:tcMar>
              <w:top w:type="dxa" w:w="50"/>
              <w:left w:type="dxa" w:w="110"/>
              <w:bottom w:type="dxa" w:w="50"/>
              <w:right w:type="dxa" w:w="110"/>
            </w:tcMar>
          </w:tcPr>
          <w:p>
            <w:pPr>
              <w:spacing w:before="28" w:after="28"/>
            </w:pPr>
            <w:r>
              <w:rPr>
                <w:sz w:val="15"/>
                <w:szCs w:val="15"/>
              </w:rPr>
              <w:t xml:space="preserve">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M2</w:t>
            </w:r>
          </w:p>
        </w:tc>
        <w:tc>
          <w:tcPr>
            <w:tcW w:type="pct" w:w="2200"/>
            <w:shd w:fill="FBFAF6" w:val="clear"/>
            <w:tcMar>
              <w:top w:type="dxa" w:w="50"/>
              <w:left w:type="dxa" w:w="110"/>
              <w:bottom w:type="dxa" w:w="50"/>
              <w:right w:type="dxa" w:w="110"/>
            </w:tcMar>
          </w:tcPr>
          <w:p>
            <w:pPr>
              <w:spacing w:before="28" w:after="28"/>
            </w:pPr>
            <w:r>
              <w:rPr>
                <w:sz w:val="15"/>
                <w:szCs w:val="15"/>
              </w:rPr>
              <w:t xml:space="preserve">Cartons shipped to a customer on December 30,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They arrive on January 3.</w:t>
            </w:r>
          </w:p>
        </w:tc>
        <w:tc>
          <w:tcPr>
            <w:tcW w:type="pct" w:w="933"/>
            <w:shd w:fill="FBFAF6" w:val="clear"/>
            <w:tcMar>
              <w:top w:type="dxa" w:w="50"/>
              <w:left w:type="dxa" w:w="110"/>
              <w:bottom w:type="dxa" w:w="50"/>
              <w:right w:type="dxa" w:w="110"/>
            </w:tcMar>
          </w:tcPr>
          <w:p>
            <w:pPr>
              <w:spacing w:before="28" w:after="28"/>
            </w:pPr>
            <w:r>
              <w:rPr>
                <w:sz w:val="15"/>
                <w:szCs w:val="15"/>
              </w:rPr>
              <w:t xml:space="preserve">500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M3</w:t>
            </w:r>
          </w:p>
        </w:tc>
        <w:tc>
          <w:tcPr>
            <w:tcW w:type="pct" w:w="2200"/>
            <w:tcMar>
              <w:top w:type="dxa" w:w="50"/>
              <w:left w:type="dxa" w:w="110"/>
              <w:bottom w:type="dxa" w:w="50"/>
              <w:right w:type="dxa" w:w="110"/>
            </w:tcMar>
          </w:tcPr>
          <w:p>
            <w:pPr>
              <w:spacing w:before="28" w:after="28"/>
            </w:pPr>
            <w:r>
              <w:rPr>
                <w:sz w:val="15"/>
                <w:szCs w:val="15"/>
              </w:rPr>
              <w:t xml:space="preserve">Cartons in the warehouse that belong to a Beirut producer. Orontes sells them on consignment for the producer. They were included in the cou</w:t>
            </w:r>
          </w:p>
        </w:tc>
        <w:tc>
          <w:tcPr>
            <w:tcW w:type="pct" w:w="933"/>
            <w:tcMar>
              <w:top w:type="dxa" w:w="50"/>
              <w:left w:type="dxa" w:w="110"/>
              <w:bottom w:type="dxa" w:w="50"/>
              <w:right w:type="dxa" w:w="110"/>
            </w:tcMar>
          </w:tcPr>
          <w:p>
            <w:pPr>
              <w:spacing w:before="28" w:after="28"/>
            </w:pPr>
            <w:r>
              <w:rPr>
                <w:sz w:val="15"/>
                <w:szCs w:val="15"/>
              </w:rPr>
              <w:t xml:space="preserve">800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M4</w:t>
            </w:r>
          </w:p>
        </w:tc>
        <w:tc>
          <w:tcPr>
            <w:tcW w:type="pct" w:w="2200"/>
            <w:shd w:fill="FBFAF6" w:val="clear"/>
            <w:tcMar>
              <w:top w:type="dxa" w:w="50"/>
              <w:left w:type="dxa" w:w="110"/>
              <w:bottom w:type="dxa" w:w="50"/>
              <w:right w:type="dxa" w:w="110"/>
            </w:tcMar>
          </w:tcPr>
          <w:p>
            <w:pPr>
              <w:spacing w:before="28" w:after="28"/>
            </w:pPr>
            <w:r>
              <w:rPr>
                <w:sz w:val="15"/>
                <w:szCs w:val="15"/>
              </w:rPr>
              <w:t xml:space="preserve">Cartons that Orontes has placed on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with a retailer in Doha. They were not counted.</w:t>
            </w:r>
          </w:p>
        </w:tc>
        <w:tc>
          <w:tcPr>
            <w:tcW w:type="pct" w:w="933"/>
            <w:shd w:fill="FBFAF6" w:val="clear"/>
            <w:tcMar>
              <w:top w:type="dxa" w:w="50"/>
              <w:left w:type="dxa" w:w="110"/>
              <w:bottom w:type="dxa" w:w="50"/>
              <w:right w:type="dxa" w:w="110"/>
            </w:tcMar>
          </w:tcPr>
          <w:p>
            <w:pPr>
              <w:spacing w:before="28" w:after="28"/>
            </w:pPr>
            <w:r>
              <w:rPr>
                <w:sz w:val="15"/>
                <w:szCs w:val="15"/>
              </w:rPr>
              <w:t xml:space="preserve">300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inventory at $30   ·   consignment   ·   FIFO (first-in, first-out)   ·   FOB destination   ·   Year-end memo from the warehouse manager   ·   Physical count in the Amman warehouse   ·   Purchase at $35</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available.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$25,000 + $26,400 = $51,400</w:t>
            </w:r>
          </w:p>
        </w:tc>
      </w:tr>
    </w:tbl>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Beginning inventory at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Purchase at $35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 count in the Amman 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Year-end memo from the warehouse 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FOB 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prefix</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The prefix tells you the direction. 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55fba116821b807c9ab51a62accc1d61365b658.png" Type="http://schemas.openxmlformats.org/officeDocument/2006/relationships/image"/><Relationship Id="rId102" Target="media/42dba3d6655ed6b730ca17aee695b94b39c2a2e0.png" Type="http://schemas.openxmlformats.org/officeDocument/2006/relationships/image"/><Relationship Id="rId103" Target="media/e7d009f3c514cbc832ac4d2111689c02bb6e52ae.png" Type="http://schemas.openxmlformats.org/officeDocument/2006/relationships/image"/><Relationship Id="rId104" Target="media/6b16915951a4ed3f03430ff73548e7751f4ab023.png" Type="http://schemas.openxmlformats.org/officeDocument/2006/relationships/image"/><Relationship Id="rId105" Target="media/5134cf83f2999417b36abc48673bf46aa05b5abf.png" Type="http://schemas.openxmlformats.org/officeDocument/2006/relationships/image"/><Relationship Id="rId106" Target="media/0a70f517db3d603d087092496d93d78df9879fbb.png" Type="http://schemas.openxmlformats.org/officeDocument/2006/relationships/image"/><Relationship Id="rId107" Target="media/ecf13d49d197081af8d55445b2cfe18d22258afb.png" Type="http://schemas.openxmlformats.org/officeDocument/2006/relationships/image"/><Relationship Id="rId108" Target="media/50d656b5e5ed54173d586ac30746a053bc282b8d.png" Type="http://schemas.openxmlformats.org/officeDocument/2006/relationships/image"/><Relationship Id="rId109" Target="media/b4f9e243dda621dc309629999d33ee7b14335097.png" Type="http://schemas.openxmlformats.org/officeDocument/2006/relationships/image"/><Relationship Id="rId110" Target="media/e811568abf22501e62ff28b652b349d5d1d9ba44.png" Type="http://schemas.openxmlformats.org/officeDocument/2006/relationships/image"/><Relationship Id="rId111" Target="media/5dc0c2a4cd990806a84f13f5afa27b688adb547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